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河南省人工影响天气水资源保障工程火箭作业装置升级更新</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河南省人工影响天气中心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河南省人工影响天气水资源保障工程火箭作业装置升级更新</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合同签订后120天内交货并完成安装调试具备验收条件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郑州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2026年06月29日 00:00:00</w:t>
      </w:r>
      <w:bookmarkEnd w:id="26"/>
      <w:r>
        <w:rPr>
          <w:rFonts w:ascii="宋体" w:hint="eastAsia"/>
          <w:szCs w:val="21"/>
          <w:highlight w:val="none"/>
        </w:rPr>
        <w:t>至</w:t>
      </w:r>
      <w:bookmarkStart w:id="27" w:name="项目公告_signUpLastTime"/>
      <w:r>
        <w:rPr>
          <w:rFonts w:ascii="宋体" w:hint="eastAsia"/>
          <w:szCs w:val="21"/>
          <w:highlight w:val="none"/>
        </w:rPr>
        <w:t>2026年07月06日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河南省人工影响天气中心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王山海</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0371-65934086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南三环郑州市气象局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河南省人工影响天气中心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不允许（仅针对以下产品：火箭发射装置不允许代理商投标）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设有，核心产品为火箭发射装置</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火箭发射装置 （2）火箭作业安全监控终端（3）基于三码绑定的人影火箭发射安全锁控系统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2,454.747678</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2,454.747678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(6)</w:t>
            </w:r>
          </w:p>
        </w:tc>
        <w:tc>
          <w:tcPr/>
          <w:p>
            <w:r>
              <w:t>评审标准：</w:t>
            </w:r>
          </w:p>
          <w:p>
            <w:r>
              <w:t xml:space="preserve">1、投标人具有 ISO9001质量管理体系认证，得2分。否则不得分。  </w:t>
              <w:cr/>
              <w:t xml:space="preserve">2、投标人具有有效期内的民用爆炸物品安全生产许可证，得2分，否则不得分。  </w:t>
              <w:cr/>
              <w:t xml:space="preserve">3、投标人具有有效期内的道路危险货物运输许可证得2分，否则不得分。 </w:t>
            </w:r>
          </w:p>
          <w:p>
            <w:r>
              <w:t>评审标准说明：</w:t>
            </w:r>
          </w:p>
          <w:p>
            <w:r>
              <w:t xml:space="preserve"> 以上需提供有效期内的认证证书复印件并加盖投标人公章。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销售合同必须包括与本项目标的相同的产品，每提供1份合同得1分，最多得4分。否则不得分。</w:t>
            </w:r>
          </w:p>
          <w:p>
            <w:r>
              <w:t>评审标准说明：</w:t>
            </w:r>
          </w:p>
          <w:p>
            <w:r>
              <w:t xml:space="preserve">1、需提供投标人的销售合同（必须包括合同首页、金额页、标的页、签字盖章页）和验收材料复印件，并加盖投标人公章。 </w:t>
              <w:cr/>
              <w:t>2、合同签署日期为投标截止日前三年内。如合同无签署日期无效。</w:t>
              <w:cr/>
              <w:t xml:space="preserve">3、合同标的必须包括该项评审标准中要求的标的。 </w:t>
              <w:cr/>
              <w:t xml:space="preserve">4、合同签字盖章页必须有甲乙双方的签字和盖章。 </w:t>
              <w:cr/>
              <w:t>5、所有复印件应清晰，不得有任何涂改、遮挡。 提供的材料不符合以上1-5要求的无效。</w:t>
              <w:cr/>
              <w:t xml:space="preserve"> 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针对本标的包含产品，每提供 1份用户满意度证明材料得1分，最多得4分，否则不得分。</w:t>
            </w:r>
          </w:p>
          <w:p>
            <w:r>
              <w:t>评审标准说明：</w:t>
            </w:r>
          </w:p>
          <w:p>
            <w:r>
              <w:t>需提供在投标截止日前三年内出具的，涵盖本标的包含产品稳定运行、实际应用情况等内容且用户评价为正面或满意的用户证明（含用户单位联系人、联系方式），并加盖投标人公章。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装备年检方案（客观分）</w:t>
            </w:r>
          </w:p>
        </w:tc>
        <w:tc>
          <w:tcPr/>
          <w:p>
            <w:r>
              <w:t>勾选打分</w:t>
            </w:r>
            <w:r>
              <w:t>(4)</w:t>
            </w:r>
          </w:p>
        </w:tc>
        <w:tc>
          <w:tcPr/>
          <w:p>
            <w:r>
              <w:t>评审标准：</w:t>
            </w:r>
          </w:p>
          <w:p>
            <w:r>
              <w:t>投标人提供项目核心标的年检方案，方案包含年检计划、年检路线、年检内容、年检相关费用说明四个部分内容，方案中每包含一个部分得1分，满分4分。</w:t>
            </w:r>
          </w:p>
          <w:p>
            <w:r>
              <w:t>评审标准说明：</w:t>
            </w:r>
          </w:p>
          <w:p>
            <w:r>
              <w:t>须提供方案并加盖投标人公章</w:t>
            </w:r>
          </w:p>
          <w:p/>
        </w:tc>
      </w:tr>
      <w:tr>
        <w:tblPrEx>
          <w:tblW w:w="5000" w:type="pct"/>
          <w:tblCellMar>
            <w:left w:w="108" w:type="dxa"/>
            <w:right w:w="108" w:type="dxa"/>
          </w:tblCellMar>
        </w:tblPrEx>
        <w:tc>
          <w:tcPr/>
          <w:p>
            <w:r>
              <w:t>6</w:t>
            </w:r>
          </w:p>
        </w:tc>
        <w:tc>
          <w:tcPr>
            <w:vMerge/>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7</w:t>
            </w:r>
          </w:p>
        </w:tc>
        <w:tc>
          <w:tcPr>
            <w:vMerge/>
          </w:tcPr>
          <w:p>
            <w:r>
              <w:t>服务部分</w:t>
            </w:r>
          </w:p>
        </w:tc>
        <w:tc>
          <w:tcPr/>
          <w:p>
            <w:r>
              <w:t>不合格货物措施（主观分）</w:t>
            </w:r>
          </w:p>
        </w:tc>
        <w:tc>
          <w:tcPr/>
          <w:p>
            <w:r>
              <w:t>勾选打分</w:t>
            </w:r>
            <w:r>
              <w:t>(4)</w:t>
            </w:r>
          </w:p>
        </w:tc>
        <w:tc>
          <w:tcPr/>
          <w:p>
            <w:r>
              <w:t>评审标准：</w:t>
            </w:r>
          </w:p>
          <w:p>
            <w:r>
              <w:t>一档：0分</w:t>
              <w:cr/>
              <w:t xml:space="preserve">二档：1分 </w:t>
              <w:cr/>
              <w:t xml:space="preserve">三档：2分 </w:t>
              <w:cr/>
              <w:t>四档：4分</w:t>
            </w:r>
          </w:p>
          <w:p>
            <w:r>
              <w:t>评审标准说明：</w:t>
            </w:r>
          </w:p>
          <w:p>
            <w:r>
              <w:t>根据各投标人针对本项目提供的交货后不合格的货物及质保期内出现问题的货物所采取的措施（包含但不限于：货物质量保证、货物检验标准、货物来源渠道等方面）由评委进行评分：</w:t>
              <w:cr/>
              <w:t xml:space="preserve">一档：未提供不得分; </w:t>
              <w:cr/>
              <w:t xml:space="preserve">二档：方案所包含的要点有缺漏或内容存在错误； </w:t>
              <w:cr/>
              <w:t xml:space="preserve">三档：方案所包含的要点齐全、内容与要点相符，但仅有纲要内容简略，未展开阐述,针对性差； </w:t>
              <w:cr/>
              <w:t>四档：方案包含的要点齐全无缺漏项、内容与要点相符、内容完善，针对性强，完全满足招标文件要求。</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 xml:space="preserve"> 一档：未提供培训方案；</w:t>
              <w:cr/>
              <w:t xml:space="preserve"> 二档：提供培训方案，但培训方案不完整（指缺失培训计划、培训材料（讲义）、培训课表、主要授课教师介绍任意一项）；</w:t>
              <w:cr/>
              <w:t xml:space="preserve"> 三档：提供培训方案，培训方案完整，但课程设计重点不突出或针对性不强，基本满足采购文件需求；</w:t>
              <w:cr/>
              <w:t xml:space="preserve"> 四档：提供培训方案，培训方案完整，课程设计重点突出、针对性强，完全满足采购文件需求。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进度计划及应急服务 （客观分）</w:t>
            </w:r>
          </w:p>
        </w:tc>
        <w:tc>
          <w:tcPr/>
          <w:p>
            <w:r>
              <w:t>勾选打分</w:t>
            </w:r>
            <w:r>
              <w:t>(2)</w:t>
            </w:r>
          </w:p>
        </w:tc>
        <w:tc>
          <w:tcPr/>
          <w:p>
            <w:r>
              <w:t>评审标准：</w:t>
            </w:r>
          </w:p>
          <w:p>
            <w:r>
              <w:t>1、投标人针对本项目提供项目进度计划方案的，得1分。</w:t>
              <w:cr/>
              <w:t>2、投标人针对本项目提供突发事件应对方案（包含但不限于：对发生突发性事件后，明确投入的人力、时间、各种应对措施等方面）的，得1分。</w:t>
            </w:r>
          </w:p>
          <w:p>
            <w:r>
              <w:t>评审标准说明：</w:t>
            </w:r>
          </w:p>
          <w:p>
            <w:r>
              <w:t>须提供方案并加盖投标人公章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(4)</w:t>
            </w:r>
          </w:p>
        </w:tc>
        <w:tc>
          <w:tcPr/>
          <w:p>
            <w:r>
              <w:t>评审标准：</w:t>
            </w:r>
          </w:p>
          <w:p>
            <w:r>
              <w:t>投标人为本项目拟派的服务团队中每有1人具有的化工或机械或机电或火工等与本项目相关专业的高级（或以上）职称的得1分，最多得4分，不提供不得分。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投标产品技术性能（客观分）</w:t>
            </w:r>
          </w:p>
        </w:tc>
        <w:tc>
          <w:tcPr/>
          <w:p>
            <w:r>
              <w:t>区间打分</w:t>
            </w:r>
            <w:r>
              <w:t>(30)</w:t>
            </w:r>
          </w:p>
        </w:tc>
        <w:tc>
          <w:tcPr/>
          <w:p>
            <w:r>
              <w:t>评审标准：</w:t>
            </w:r>
          </w:p>
          <w:p>
            <w:r>
              <w:t>招标文件第七章第三节（表1、2、3）中：标注*的为拒绝条款，不满足将被拒绝投标。标注#的12项重要指标（如有多个下级指标，则每个下级指标均应满足），每个2.5分，共30分。</w:t>
            </w:r>
          </w:p>
          <w:p>
            <w:r>
              <w:t>评审标准说明：</w:t>
            </w:r>
          </w:p>
          <w:p>
            <w:r>
              <w:t>标注*和#的指标均需提供产品说明书或检测报告等证明材料并进行书面承诺加盖投标人公章。</w:t>
            </w:r>
          </w:p>
          <w:p/>
        </w:tc>
      </w:tr>
      <w:tr>
        <w:tblPrEx>
          <w:tblW w:w="5000" w:type="pct"/>
          <w:tblCellMar>
            <w:left w:w="108" w:type="dxa"/>
            <w:right w:w="108" w:type="dxa"/>
          </w:tblCellMar>
        </w:tblPrEx>
        <w:tc>
          <w:tcPr/>
          <w:p>
            <w:r>
              <w:t>12</w:t>
            </w:r>
          </w:p>
        </w:tc>
        <w:tc>
          <w:tcPr>
            <w:vMerge/>
          </w:tcPr>
          <w:p>
            <w:r>
              <w:t>技术部分</w:t>
            </w:r>
          </w:p>
        </w:tc>
        <w:tc>
          <w:tcPr/>
          <w:p>
            <w:r>
              <w:t>满足项目需求的生产适配方案（主观分））</w:t>
            </w:r>
          </w:p>
        </w:tc>
        <w:tc>
          <w:tcPr/>
          <w:p>
            <w:r>
              <w:t>勾选打分</w:t>
            </w:r>
            <w:r>
              <w:t>(4)</w:t>
            </w:r>
          </w:p>
        </w:tc>
        <w:tc>
          <w:tcPr/>
          <w:p>
            <w:r>
              <w:t>评审标准：</w:t>
            </w:r>
          </w:p>
          <w:p>
            <w:r>
              <w:t>一档：0分</w:t>
              <w:cr/>
              <w:t xml:space="preserve">二档：1分 </w:t>
              <w:cr/>
              <w:t xml:space="preserve">三档：2分 </w:t>
              <w:cr/>
              <w:t>四档：4分</w:t>
            </w:r>
          </w:p>
          <w:p>
            <w:r>
              <w:t>评审标准说明：</w:t>
            </w:r>
          </w:p>
          <w:p>
            <w:r>
              <w:t>火箭发射装置应与自毁型火箭弹适配，根据各投标人针对本项目提供的生产适配方案由评委进行评分：</w:t>
              <w:cr/>
              <w:t xml:space="preserve"> 一档：未提供该部分；  </w:t>
              <w:cr/>
              <w:t xml:space="preserve">二档：对项目背景和现状理解片面，未能抓住重点、难点、关键技术； </w:t>
              <w:cr/>
              <w:t xml:space="preserve">三档：与自毁型火箭弹适配方案不够详尽可行，针对性差；  </w:t>
              <w:cr/>
              <w:t>四档：对项目背景和现状理解准确，能抓住重点、难点和关键技术，提供装备设计和生产与自毁型火箭弹适配的可执行方案，方案详尽可行，针对性强，完全满足招标文件要求。  注：须提供项目分析材料。</w:t>
            </w:r>
          </w:p>
          <w:p/>
        </w:tc>
      </w:tr>
      <w:tr>
        <w:tblPrEx>
          <w:tblW w:w="5000" w:type="pct"/>
          <w:tblCellMar>
            <w:left w:w="108" w:type="dxa"/>
            <w:right w:w="108" w:type="dxa"/>
          </w:tblCellMar>
        </w:tblPrEx>
        <w:tc>
          <w:tcPr/>
          <w:p>
            <w:r>
              <w:t>13</w:t>
            </w:r>
          </w:p>
        </w:tc>
        <w:tc>
          <w:tcPr>
            <w:vMerge/>
          </w:tcPr>
          <w:p>
            <w:r>
              <w:t>技术部分</w:t>
            </w:r>
          </w:p>
        </w:tc>
        <w:tc>
          <w:tcPr/>
          <w:p>
            <w:r>
              <w:t>供货安装调试方案（主观分）</w:t>
            </w:r>
          </w:p>
        </w:tc>
        <w:tc>
          <w:tcPr/>
          <w:p>
            <w:r>
              <w:t>勾选打分</w:t>
            </w:r>
            <w:r>
              <w:t>(4)</w:t>
            </w:r>
          </w:p>
        </w:tc>
        <w:tc>
          <w:tcPr/>
          <w:p>
            <w:r>
              <w:t>评审标准：</w:t>
            </w:r>
          </w:p>
          <w:p>
            <w:r>
              <w:t>一档：0分</w:t>
              <w:cr/>
              <w:t xml:space="preserve">二档：1分 </w:t>
              <w:cr/>
              <w:t xml:space="preserve">三档：2分 </w:t>
              <w:cr/>
              <w:t>四档：4分</w:t>
            </w:r>
          </w:p>
          <w:p>
            <w:r>
              <w:t>评审标准说明：</w:t>
            </w:r>
          </w:p>
          <w:p>
            <w:r>
              <w:t xml:space="preserve">根据各投标人针对本项目提供的供货安装调试方案（包含但不限于：货物的包装、保险、运输、安装计划、到货验收等方面）由评委进行评分： </w:t>
              <w:cr/>
              <w:t>一档：未提供 ；</w:t>
              <w:cr/>
              <w:t>二档：方案所包含的要点有缺漏或内容存在错误；</w:t>
              <w:cr/>
              <w:t xml:space="preserve">三档：方案包含的要点齐全，无缺漏项、但内容简略，未展开阐述，针对性差； </w:t>
              <w:cr/>
              <w:t>四档：方案包含的要点齐全无缺漏项、内容与要点相符、内容完善，针对性强，完全满足招标文件要求。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以习近平新时代中国特色社会主义思想为指导，以习近平总书记对气象工作的重要指示为根本遵循，贯彻落实《气象高质量发展纲要（2022—2035年）》（国发〔2022〕11号）和《国务院办公厅关于推进人工影响天气工作高质量发展的意见》（国办发〔2020〕47号）的部署要求，加快省级及以下人工影响天气工作的集约化、研究型、融入式、安全性转型发展；夯实基层基础，强化安全监管，补齐短板弱项，提升作业能力，为地方经济社会发展、生态文明建设提供更好的服务保障。</w:t>
      </w:r>
    </w:p>
    <w:p>
      <w:pPr>
        <w:spacing w:line="500" w:lineRule="exact"/>
        <w:ind w:firstLine="420" w:firstLineChars="200"/>
        <w:rPr>
          <w:rFonts w:ascii="宋体" w:hAnsi="宋体"/>
          <w:szCs w:val="21"/>
        </w:rPr>
      </w:pPr>
      <w:r>
        <w:rPr>
          <w:rFonts w:ascii="宋体" w:hAnsi="宋体" w:hint="eastAsia"/>
          <w:szCs w:val="21"/>
        </w:rPr>
        <w:t>河南省人工影响天气水资源保障工程火箭升级更新项目拟采购208套人工影响天气火箭发射装置；采购379套火箭作业安全监控终端；采购379套基于三码绑定的人影火箭发射安全锁控系统。建成后将全面提升地面火箭作</w:t>
      </w:r>
      <w:r>
        <w:t>业能力；实现火箭作业信息自动采集，实时上传至“天工”平台；配备基于三码绑定的火箭发射安全锁控系统，提升作业安全性。做到科学作业、精准作业、安全作业，为社会带来更大的经济效益</w:t>
      </w:r>
      <w:r>
        <w:rPr>
          <w:rFonts w:hint="eastAsia"/>
        </w:rPr>
        <w:t>，</w:t>
      </w:r>
      <w:r>
        <w:t>为提升气象灾害防治能力提供科技支撑。</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szCs w:val="21"/>
        </w:rPr>
      </w:pPr>
      <w:r>
        <w:rPr>
          <w:rFonts w:ascii="宋体" w:hAnsi="宋体" w:hint="eastAsia"/>
          <w:szCs w:val="21"/>
        </w:rPr>
        <w:t>（一）总体要求</w:t>
      </w:r>
    </w:p>
    <w:p>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ab/>
      </w:r>
      <w:r>
        <w:rPr>
          <w:rFonts w:ascii="宋体" w:hAnsi="宋体" w:hint="eastAsia"/>
          <w:szCs w:val="21"/>
        </w:rPr>
        <w:t>投标人提供的各类设备与软件必须满足标书提出的功能和规格描述。</w:t>
      </w:r>
    </w:p>
    <w:p>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ab/>
      </w:r>
      <w:r>
        <w:rPr>
          <w:rFonts w:ascii="宋体" w:hAnsi="宋体" w:hint="eastAsia"/>
          <w:szCs w:val="21"/>
        </w:rPr>
        <w:t>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ab/>
      </w:r>
      <w:r>
        <w:rPr>
          <w:rFonts w:ascii="宋体" w:hAnsi="宋体" w:hint="eastAsia"/>
          <w:szCs w:val="21"/>
        </w:rPr>
        <w:t>投标人的设备报价表应尽量具体详细，报价表中要明确设备厂家、型号和价格等。</w:t>
      </w:r>
    </w:p>
    <w:p>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ab/>
      </w:r>
      <w:r>
        <w:rPr>
          <w:rFonts w:ascii="宋体" w:hAnsi="宋体" w:hint="eastAsia"/>
          <w:szCs w:val="21"/>
        </w:rPr>
        <w:t>所列性能指标要求只是最低标准，还需要考察性能高低和方案（包括技术和售后服务）优劣以及设备价格，选择性价比最优者选用。</w:t>
      </w:r>
    </w:p>
    <w:p>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ab/>
      </w:r>
      <w:r>
        <w:rPr>
          <w:rFonts w:ascii="宋体" w:hAnsi="宋体" w:hint="eastAsia"/>
          <w:szCs w:val="21"/>
        </w:rPr>
        <w:t>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ab/>
      </w:r>
      <w:r>
        <w:rPr>
          <w:rFonts w:ascii="宋体" w:hAnsi="宋体" w:hint="eastAsia"/>
          <w:szCs w:val="21"/>
        </w:rPr>
        <w:t xml:space="preserve">设备及相应的配套设施，应具有良好的防潮、防锈和防腐蚀能力，适应强降水工作环境。 </w:t>
      </w:r>
    </w:p>
    <w:p>
      <w:pPr>
        <w:spacing w:line="360" w:lineRule="auto"/>
        <w:ind w:firstLine="420" w:firstLineChars="200"/>
        <w:rPr>
          <w:rFonts w:ascii="宋体" w:hAnsi="宋体"/>
          <w:szCs w:val="21"/>
        </w:rPr>
      </w:pPr>
      <w:r>
        <w:rPr>
          <w:rFonts w:ascii="宋体" w:hAnsi="宋体" w:hint="eastAsia"/>
          <w:szCs w:val="21"/>
        </w:rPr>
        <w:t>7. 投标产品为国产设备。</w:t>
      </w:r>
    </w:p>
    <w:p>
      <w:pPr>
        <w:spacing w:line="360" w:lineRule="auto"/>
        <w:ind w:firstLine="420" w:firstLineChars="200"/>
        <w:rPr>
          <w:rFonts w:ascii="宋体" w:hAnsi="宋体"/>
          <w:szCs w:val="21"/>
        </w:rPr>
      </w:pPr>
      <w:r>
        <w:rPr>
          <w:rFonts w:ascii="宋体" w:hAnsi="宋体" w:hint="eastAsia"/>
          <w:szCs w:val="21"/>
        </w:rPr>
        <w:t>（二）总体性能指标</w:t>
      </w:r>
    </w:p>
    <w:p>
      <w:pPr>
        <w:spacing w:line="360" w:lineRule="auto"/>
        <w:ind w:firstLine="420" w:firstLineChars="200"/>
        <w:rPr>
          <w:rFonts w:ascii="宋体" w:hAnsi="宋体"/>
          <w:szCs w:val="21"/>
        </w:rPr>
      </w:pPr>
      <w:r>
        <w:rPr>
          <w:rFonts w:ascii="宋体" w:hAnsi="宋体" w:hint="eastAsia"/>
          <w:szCs w:val="21"/>
        </w:rPr>
        <w:t>本项目涉及的所有设备、装置原则上应满足中国气象局人工影响天气中心编制的《火箭发射系统技术要求》《火箭发射系统技术测试大纲》《基于三码绑定的人影火箭发射安全锁控系统技术要求》《基于三码绑定的人影火箭发射安全锁控系统测试大纲》中的相关要求。主要技术性能指标见下表，带</w:t>
      </w:r>
      <w:r>
        <w:rPr>
          <w:rFonts w:ascii="宋体" w:hAnsi="宋体" w:hint="eastAsia"/>
          <w:sz w:val="18"/>
          <w:szCs w:val="18"/>
          <w:lang w:eastAsia="zh-CN"/>
        </w:rPr>
        <w:t>#</w:t>
      </w:r>
      <w:r>
        <w:rPr>
          <w:rFonts w:ascii="宋体" w:hAnsi="宋体" w:hint="eastAsia"/>
          <w:szCs w:val="21"/>
        </w:rPr>
        <w:t>号标记的产品技术参数为重要指标。</w:t>
      </w:r>
    </w:p>
    <w:p>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1</w:t>
      </w:r>
      <w:r>
        <w:rPr>
          <w:rFonts w:ascii="宋体" w:hAnsi="宋体" w:hint="eastAsia"/>
          <w:szCs w:val="21"/>
        </w:rPr>
        <w:fldChar w:fldCharType="end"/>
      </w:r>
      <w:r>
        <w:rPr>
          <w:rFonts w:ascii="宋体" w:hAnsi="宋体" w:hint="eastAsia"/>
          <w:szCs w:val="21"/>
        </w:rPr>
        <w:t>火箭发射装置技术性能指标</w:t>
      </w:r>
    </w:p>
    <w:tbl>
      <w:tblPr>
        <w:tblStyle w:val="TableGrid"/>
        <w:tblW w:w="847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39"/>
        <w:gridCol w:w="2155"/>
        <w:gridCol w:w="5684"/>
      </w:tblGrid>
      <w:tr>
        <w:tblPrEx>
          <w:tblW w:w="847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639" w:type="dxa"/>
            <w:shd w:val="clear" w:color="auto" w:fill="auto"/>
            <w:vAlign w:val="center"/>
          </w:tcPr>
          <w:p>
            <w:pPr>
              <w:jc w:val="center"/>
              <w:rPr>
                <w:rFonts w:ascii="Calibri" w:hAnsi="Calibri"/>
                <w:szCs w:val="21"/>
              </w:rPr>
            </w:pPr>
            <w:r>
              <w:rPr>
                <w:rFonts w:ascii="Calibri" w:hAnsi="Calibri"/>
                <w:szCs w:val="21"/>
              </w:rPr>
              <w:t>序号</w:t>
            </w:r>
          </w:p>
        </w:tc>
        <w:tc>
          <w:tcPr>
            <w:tcW w:w="2155" w:type="dxa"/>
            <w:shd w:val="clear" w:color="auto" w:fill="auto"/>
            <w:vAlign w:val="center"/>
          </w:tcPr>
          <w:p>
            <w:pPr>
              <w:jc w:val="center"/>
              <w:rPr>
                <w:rFonts w:ascii="Calibri" w:hAnsi="Calibri"/>
                <w:szCs w:val="21"/>
              </w:rPr>
            </w:pPr>
            <w:r>
              <w:rPr>
                <w:rFonts w:ascii="Calibri" w:hAnsi="Calibri"/>
                <w:szCs w:val="21"/>
              </w:rPr>
              <w:t>性能参数</w:t>
            </w:r>
          </w:p>
        </w:tc>
        <w:tc>
          <w:tcPr>
            <w:tcW w:w="5684" w:type="dxa"/>
            <w:shd w:val="clear" w:color="auto" w:fill="auto"/>
            <w:vAlign w:val="center"/>
          </w:tcPr>
          <w:p>
            <w:pPr>
              <w:jc w:val="center"/>
              <w:rPr>
                <w:rFonts w:ascii="Calibri" w:hAnsi="Calibri"/>
                <w:szCs w:val="21"/>
              </w:rPr>
            </w:pPr>
            <w:r>
              <w:rPr>
                <w:rFonts w:ascii="Calibri" w:hAnsi="Calibri"/>
                <w:szCs w:val="21"/>
              </w:rPr>
              <w:t>指标</w:t>
            </w:r>
          </w:p>
        </w:tc>
      </w:tr>
      <w:tr>
        <w:tblPrEx>
          <w:tblW w:w="8478" w:type="dxa"/>
          <w:tblInd w:w="0" w:type="dxa"/>
          <w:tblLayout w:type="fixed"/>
          <w:tblCellMar>
            <w:top w:w="0" w:type="dxa"/>
            <w:left w:w="108" w:type="dxa"/>
            <w:bottom w:w="0" w:type="dxa"/>
            <w:right w:w="108" w:type="dxa"/>
          </w:tblCellMar>
        </w:tblPrEx>
        <w:trPr>
          <w:trHeight w:val="764"/>
        </w:trPr>
        <w:tc>
          <w:tcPr>
            <w:tcW w:w="639" w:type="dxa"/>
            <w:vAlign w:val="center"/>
          </w:tcPr>
          <w:p>
            <w:pPr>
              <w:spacing w:line="360" w:lineRule="auto"/>
              <w:jc w:val="center"/>
              <w:rPr>
                <w:rFonts w:ascii="宋体" w:hAnsi="宋体"/>
                <w:szCs w:val="21"/>
              </w:rPr>
            </w:pPr>
            <w:r>
              <w:rPr>
                <w:rFonts w:ascii="宋体" w:hAnsi="宋体" w:hint="eastAsia"/>
                <w:szCs w:val="21"/>
              </w:rPr>
              <w:t>1</w:t>
            </w:r>
          </w:p>
        </w:tc>
        <w:tc>
          <w:tcPr>
            <w:tcW w:w="2155" w:type="dxa"/>
            <w:shd w:val="clear" w:color="auto" w:fill="auto"/>
            <w:vAlign w:val="center"/>
          </w:tcPr>
          <w:p>
            <w:pPr>
              <w:jc w:val="center"/>
              <w:rPr>
                <w:rFonts w:ascii="Calibri" w:hAnsi="Calibri"/>
                <w:color w:val="000000" w:themeColor="text1"/>
                <w:szCs w:val="21"/>
              </w:rPr>
            </w:pPr>
            <w:r>
              <w:rPr>
                <w:rFonts w:ascii="宋体" w:hAnsi="宋体" w:hint="eastAsia"/>
                <w:sz w:val="18"/>
                <w:szCs w:val="18"/>
                <w:lang w:eastAsia="zh-CN"/>
              </w:rPr>
              <w:t>#</w:t>
            </w:r>
            <w:r>
              <w:rPr>
                <w:rFonts w:ascii="Calibri" w:hAnsi="Calibri"/>
                <w:color w:val="000000" w:themeColor="text1"/>
                <w:szCs w:val="21"/>
              </w:rPr>
              <w:t>发射轨道</w:t>
            </w:r>
            <w:r>
              <w:rPr>
                <w:rFonts w:ascii="Calibri" w:hAnsi="Calibri" w:hint="eastAsia"/>
                <w:color w:val="000000" w:themeColor="text1"/>
                <w:szCs w:val="21"/>
              </w:rPr>
              <w:t>长度</w:t>
            </w:r>
          </w:p>
        </w:tc>
        <w:tc>
          <w:tcPr>
            <w:tcW w:w="5684" w:type="dxa"/>
            <w:shd w:val="clear" w:color="auto" w:fill="auto"/>
            <w:vAlign w:val="center"/>
          </w:tcPr>
          <w:p>
            <w:pPr>
              <w:jc w:val="center"/>
              <w:rPr>
                <w:rFonts w:ascii="Calibri" w:hAnsi="Calibri"/>
                <w:color w:val="000000" w:themeColor="text1"/>
                <w:szCs w:val="21"/>
              </w:rPr>
            </w:pPr>
            <w:r>
              <w:rPr>
                <w:rFonts w:ascii="Calibri" w:hAnsi="Calibri"/>
                <w:color w:val="000000" w:themeColor="text1"/>
                <w:szCs w:val="21"/>
              </w:rPr>
              <w:t>≥1500mm</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2</w:t>
            </w:r>
          </w:p>
        </w:tc>
        <w:tc>
          <w:tcPr>
            <w:tcW w:w="2155" w:type="dxa"/>
            <w:shd w:val="clear" w:color="auto" w:fill="auto"/>
            <w:vAlign w:val="center"/>
          </w:tcPr>
          <w:p>
            <w:pPr>
              <w:jc w:val="center"/>
              <w:rPr>
                <w:rFonts w:ascii="Calibri" w:hAnsi="Calibri"/>
                <w:color w:val="000000" w:themeColor="text1"/>
                <w:szCs w:val="21"/>
              </w:rPr>
            </w:pPr>
            <w:r>
              <w:rPr>
                <w:rFonts w:ascii="Calibri" w:hAnsi="Calibri"/>
                <w:color w:val="000000" w:themeColor="text1"/>
                <w:szCs w:val="21"/>
              </w:rPr>
              <w:t>导轨</w:t>
            </w:r>
            <w:r>
              <w:rPr>
                <w:rFonts w:ascii="Calibri" w:hAnsi="Calibri" w:hint="eastAsia"/>
                <w:color w:val="000000" w:themeColor="text1"/>
                <w:szCs w:val="21"/>
              </w:rPr>
              <w:t>内</w:t>
            </w:r>
            <w:r>
              <w:rPr>
                <w:rFonts w:ascii="Calibri" w:hAnsi="Calibri"/>
                <w:color w:val="000000" w:themeColor="text1"/>
                <w:szCs w:val="21"/>
              </w:rPr>
              <w:t>包圆直径</w:t>
            </w:r>
          </w:p>
        </w:tc>
        <w:tc>
          <w:tcPr>
            <w:tcW w:w="5684" w:type="dxa"/>
            <w:shd w:val="clear" w:color="auto" w:fill="auto"/>
            <w:vAlign w:val="center"/>
          </w:tcPr>
          <w:p>
            <w:pPr>
              <w:jc w:val="center"/>
              <w:rPr>
                <w:rFonts w:ascii="Calibri" w:hAnsi="Calibri"/>
                <w:color w:val="000000" w:themeColor="text1"/>
                <w:szCs w:val="21"/>
              </w:rPr>
            </w:pPr>
            <w:r>
              <w:rPr>
                <w:rFonts w:ascii="Calibri" w:hAnsi="Calibri"/>
                <w:color w:val="000000" w:themeColor="text1"/>
                <w:szCs w:val="21"/>
              </w:rPr>
              <w:t>φ56.76+0.4</w:t>
            </w:r>
            <w:r>
              <w:rPr>
                <w:rFonts w:ascii="Calibri" w:hAnsi="Calibri" w:hint="eastAsia"/>
                <w:color w:val="000000" w:themeColor="text1"/>
                <w:szCs w:val="21"/>
              </w:rPr>
              <w:t>0</w:t>
            </w:r>
            <w:r>
              <w:rPr>
                <w:rFonts w:ascii="Calibri" w:hAnsi="Calibri"/>
                <w:color w:val="000000" w:themeColor="text1"/>
                <w:szCs w:val="21"/>
              </w:rPr>
              <w:t>mm</w:t>
            </w:r>
          </w:p>
        </w:tc>
      </w:tr>
      <w:tr>
        <w:tblPrEx>
          <w:tblW w:w="8478" w:type="dxa"/>
          <w:tblInd w:w="0" w:type="dxa"/>
          <w:tblLayout w:type="fixed"/>
          <w:tblCellMar>
            <w:top w:w="0" w:type="dxa"/>
            <w:left w:w="108" w:type="dxa"/>
            <w:bottom w:w="0" w:type="dxa"/>
            <w:right w:w="108" w:type="dxa"/>
          </w:tblCellMar>
        </w:tblPrEx>
        <w:trPr>
          <w:trHeight w:val="1836"/>
        </w:trPr>
        <w:tc>
          <w:tcPr>
            <w:tcW w:w="639" w:type="dxa"/>
            <w:vAlign w:val="center"/>
          </w:tcPr>
          <w:p>
            <w:pPr>
              <w:spacing w:line="360" w:lineRule="auto"/>
              <w:jc w:val="center"/>
              <w:rPr>
                <w:rFonts w:ascii="宋体" w:hAnsi="宋体"/>
                <w:szCs w:val="21"/>
              </w:rPr>
            </w:pPr>
            <w:r>
              <w:rPr>
                <w:rFonts w:ascii="宋体" w:hAnsi="宋体" w:hint="eastAsia"/>
                <w:szCs w:val="21"/>
              </w:rPr>
              <w:t>3</w:t>
            </w:r>
          </w:p>
        </w:tc>
        <w:tc>
          <w:tcPr>
            <w:tcW w:w="2155" w:type="dxa"/>
            <w:shd w:val="clear" w:color="auto" w:fill="auto"/>
            <w:vAlign w:val="center"/>
          </w:tcPr>
          <w:p>
            <w:pPr>
              <w:jc w:val="center"/>
              <w:rPr>
                <w:rFonts w:ascii="Calibri" w:hAnsi="Calibri"/>
                <w:color w:val="000000" w:themeColor="text1"/>
                <w:szCs w:val="21"/>
              </w:rPr>
            </w:pPr>
            <w:r>
              <w:rPr>
                <w:rFonts w:ascii="宋体" w:hAnsi="宋体" w:hint="eastAsia"/>
                <w:sz w:val="18"/>
                <w:szCs w:val="18"/>
                <w:lang w:val="en-US" w:eastAsia="zh-CN"/>
              </w:rPr>
              <w:t>*</w:t>
            </w:r>
            <w:r>
              <w:rPr>
                <w:rFonts w:ascii="Calibri" w:hAnsi="Calibri"/>
                <w:color w:val="000000" w:themeColor="text1"/>
                <w:szCs w:val="21"/>
              </w:rPr>
              <w:t>人影专用信息</w:t>
            </w:r>
          </w:p>
          <w:p>
            <w:pPr>
              <w:jc w:val="center"/>
              <w:rPr>
                <w:rFonts w:ascii="Calibri" w:hAnsi="Calibri"/>
                <w:color w:val="000000" w:themeColor="text1"/>
                <w:szCs w:val="21"/>
              </w:rPr>
            </w:pPr>
            <w:r>
              <w:rPr>
                <w:rFonts w:ascii="Calibri" w:hAnsi="Calibri"/>
                <w:color w:val="000000" w:themeColor="text1"/>
                <w:szCs w:val="21"/>
              </w:rPr>
              <w:t>采集终端</w:t>
            </w:r>
          </w:p>
        </w:tc>
        <w:tc>
          <w:tcPr>
            <w:tcW w:w="5684" w:type="dxa"/>
            <w:shd w:val="clear" w:color="auto" w:fill="auto"/>
            <w:vAlign w:val="center"/>
          </w:tcPr>
          <w:p>
            <w:pPr>
              <w:jc w:val="left"/>
              <w:rPr>
                <w:rFonts w:ascii="Calibri" w:hAnsi="Calibri"/>
                <w:color w:val="000000" w:themeColor="text1"/>
                <w:szCs w:val="21"/>
              </w:rPr>
            </w:pPr>
            <w:r>
              <w:rPr>
                <w:rFonts w:ascii="Calibri" w:hAnsi="Calibri"/>
                <w:color w:val="000000" w:themeColor="text1"/>
                <w:szCs w:val="21"/>
              </w:rPr>
              <w:t>要求配备人影专用信息采集器，实现作业指令接收、装备状态上报、弹码信息上报、作业日志上报等功能，并实现与“人工影响天气指挥系统”平台对接；</w:t>
            </w:r>
          </w:p>
        </w:tc>
      </w:tr>
      <w:tr>
        <w:tblPrEx>
          <w:tblW w:w="8478" w:type="dxa"/>
          <w:tblInd w:w="0" w:type="dxa"/>
          <w:tblLayout w:type="fixed"/>
          <w:tblCellMar>
            <w:top w:w="0" w:type="dxa"/>
            <w:left w:w="108" w:type="dxa"/>
            <w:bottom w:w="0" w:type="dxa"/>
            <w:right w:w="108" w:type="dxa"/>
          </w:tblCellMar>
        </w:tblPrEx>
        <w:trPr>
          <w:trHeight w:val="90"/>
        </w:trPr>
        <w:tc>
          <w:tcPr>
            <w:tcW w:w="639" w:type="dxa"/>
            <w:vAlign w:val="center"/>
          </w:tcPr>
          <w:p>
            <w:pPr>
              <w:spacing w:line="360" w:lineRule="auto"/>
              <w:jc w:val="center"/>
              <w:rPr>
                <w:rFonts w:ascii="宋体" w:hAnsi="宋体"/>
                <w:szCs w:val="21"/>
              </w:rPr>
            </w:pPr>
            <w:r>
              <w:rPr>
                <w:rFonts w:ascii="宋体" w:hAnsi="宋体" w:hint="eastAsia"/>
                <w:szCs w:val="21"/>
              </w:rPr>
              <w:t>4</w:t>
            </w:r>
          </w:p>
        </w:tc>
        <w:tc>
          <w:tcPr>
            <w:tcW w:w="2155" w:type="dxa"/>
            <w:shd w:val="clear" w:color="auto" w:fill="auto"/>
            <w:vAlign w:val="center"/>
          </w:tcPr>
          <w:p>
            <w:pPr>
              <w:jc w:val="center"/>
              <w:rPr>
                <w:rFonts w:ascii="Calibri" w:hAnsi="Calibri"/>
                <w:color w:val="000000" w:themeColor="text1"/>
                <w:szCs w:val="21"/>
              </w:rPr>
            </w:pPr>
            <w:r>
              <w:rPr>
                <w:rFonts w:ascii="宋体" w:hAnsi="宋体" w:hint="eastAsia"/>
                <w:sz w:val="18"/>
                <w:szCs w:val="18"/>
                <w:lang w:eastAsia="zh-CN"/>
              </w:rPr>
              <w:t>#</w:t>
            </w:r>
            <w:r>
              <w:rPr>
                <w:rFonts w:ascii="Calibri" w:hAnsi="Calibri"/>
                <w:color w:val="000000" w:themeColor="text1"/>
                <w:szCs w:val="21"/>
              </w:rPr>
              <w:t>定向器</w:t>
            </w:r>
          </w:p>
        </w:tc>
        <w:tc>
          <w:tcPr>
            <w:tcW w:w="5684" w:type="dxa"/>
            <w:shd w:val="clear" w:color="auto" w:fill="auto"/>
            <w:vAlign w:val="center"/>
          </w:tcPr>
          <w:p>
            <w:pPr>
              <w:jc w:val="center"/>
              <w:rPr>
                <w:rFonts w:ascii="Calibri" w:hAnsi="Calibri"/>
                <w:color w:val="000000" w:themeColor="text1"/>
                <w:szCs w:val="21"/>
              </w:rPr>
            </w:pPr>
            <w:r>
              <w:rPr>
                <w:rFonts w:ascii="Times New Roman" w:hAnsi="Times New Roman"/>
                <w:szCs w:val="20"/>
              </w:rPr>
              <w:t>装弹数量≥4枚；</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5</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无线安全锁定器</w:t>
            </w:r>
          </w:p>
        </w:tc>
        <w:tc>
          <w:tcPr>
            <w:tcW w:w="5684" w:type="dxa"/>
            <w:shd w:val="clear" w:color="auto" w:fill="auto"/>
            <w:vAlign w:val="center"/>
          </w:tcPr>
          <w:p>
            <w:pPr>
              <w:jc w:val="left"/>
              <w:rPr>
                <w:rFonts w:ascii="Calibri" w:hAnsi="Calibri"/>
                <w:szCs w:val="21"/>
              </w:rPr>
            </w:pPr>
            <w:r>
              <w:rPr>
                <w:rFonts w:ascii="Calibri" w:hAnsi="Calibri"/>
                <w:color w:val="000000" w:themeColor="text1"/>
                <w:szCs w:val="21"/>
              </w:rPr>
              <w:t>通讯距离：≥50 m；</w:t>
            </w:r>
          </w:p>
          <w:p>
            <w:pPr>
              <w:jc w:val="left"/>
              <w:rPr>
                <w:rFonts w:ascii="Calibri" w:hAnsi="Calibri"/>
                <w:szCs w:val="21"/>
              </w:rPr>
            </w:pPr>
            <w:r>
              <w:rPr>
                <w:rFonts w:ascii="Calibri" w:hAnsi="Calibri"/>
                <w:szCs w:val="21"/>
              </w:rPr>
              <w:t>防水防尘等级：不低于IP65；</w:t>
            </w:r>
          </w:p>
          <w:p>
            <w:pPr>
              <w:jc w:val="left"/>
              <w:rPr>
                <w:rFonts w:ascii="Calibri" w:hAnsi="Calibri"/>
                <w:szCs w:val="21"/>
              </w:rPr>
            </w:pPr>
            <w:r>
              <w:rPr>
                <w:rFonts w:ascii="Calibri" w:hAnsi="Calibri"/>
                <w:szCs w:val="21"/>
              </w:rPr>
              <w:t>耐腐蚀等级：金属部件应表面防腐处理，经NSS法48小时后，保护评级达6级；</w:t>
            </w:r>
          </w:p>
          <w:p>
            <w:pPr>
              <w:jc w:val="left"/>
              <w:rPr>
                <w:rFonts w:ascii="Calibri" w:hAnsi="Calibri"/>
                <w:szCs w:val="21"/>
              </w:rPr>
            </w:pPr>
            <w:r>
              <w:rPr>
                <w:rFonts w:ascii="Calibri" w:hAnsi="Calibri"/>
                <w:szCs w:val="21"/>
              </w:rPr>
              <w:t>工作环境温度：-20~50℃;</w:t>
            </w:r>
          </w:p>
          <w:p>
            <w:pPr>
              <w:jc w:val="left"/>
              <w:rPr>
                <w:rFonts w:ascii="Calibri" w:hAnsi="Calibri"/>
                <w:szCs w:val="21"/>
              </w:rPr>
            </w:pPr>
            <w:r>
              <w:rPr>
                <w:rFonts w:ascii="Calibri" w:hAnsi="Calibri"/>
                <w:szCs w:val="21"/>
              </w:rPr>
              <w:t>工作环境湿度：RH 10%～100%;</w:t>
            </w:r>
          </w:p>
          <w:p>
            <w:pPr>
              <w:jc w:val="left"/>
              <w:rPr>
                <w:rFonts w:ascii="Calibri" w:hAnsi="Calibri"/>
                <w:szCs w:val="21"/>
              </w:rPr>
            </w:pPr>
            <w:r>
              <w:rPr>
                <w:rFonts w:ascii="Calibri" w:hAnsi="Calibri"/>
                <w:szCs w:val="21"/>
              </w:rPr>
              <w:t>连续工作时间：≥8 h；</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6</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有线安全锁定器</w:t>
            </w:r>
          </w:p>
        </w:tc>
        <w:tc>
          <w:tcPr>
            <w:tcW w:w="5684" w:type="dxa"/>
            <w:shd w:val="clear" w:color="auto" w:fill="auto"/>
            <w:vAlign w:val="center"/>
          </w:tcPr>
          <w:p>
            <w:pPr>
              <w:jc w:val="left"/>
              <w:rPr>
                <w:rFonts w:ascii="Calibri" w:hAnsi="Calibri"/>
                <w:szCs w:val="21"/>
              </w:rPr>
            </w:pPr>
            <w:r>
              <w:rPr>
                <w:rFonts w:ascii="Calibri" w:hAnsi="Calibri"/>
                <w:szCs w:val="21"/>
              </w:rPr>
              <w:t>连续工作时间：≥8 h；</w:t>
            </w:r>
          </w:p>
          <w:p>
            <w:pPr>
              <w:jc w:val="left"/>
              <w:rPr>
                <w:rFonts w:ascii="Calibri" w:hAnsi="Calibri"/>
                <w:szCs w:val="21"/>
              </w:rPr>
            </w:pPr>
            <w:r>
              <w:rPr>
                <w:rFonts w:ascii="Calibri" w:hAnsi="Calibri"/>
                <w:szCs w:val="21"/>
              </w:rPr>
              <w:t>定位系统：GPS+北斗双模块；</w:t>
            </w:r>
          </w:p>
          <w:p>
            <w:pPr>
              <w:jc w:val="left"/>
              <w:rPr>
                <w:rFonts w:ascii="Calibri" w:hAnsi="Calibri"/>
                <w:szCs w:val="21"/>
              </w:rPr>
            </w:pPr>
            <w:r>
              <w:rPr>
                <w:rFonts w:ascii="Calibri" w:hAnsi="Calibri"/>
                <w:szCs w:val="21"/>
              </w:rPr>
              <w:t>卫星定位时间：≤60 s；</w:t>
            </w:r>
          </w:p>
          <w:p>
            <w:pPr>
              <w:jc w:val="left"/>
              <w:rPr>
                <w:rFonts w:ascii="Calibri" w:hAnsi="Calibri"/>
                <w:szCs w:val="21"/>
              </w:rPr>
            </w:pPr>
            <w:r>
              <w:rPr>
                <w:rFonts w:ascii="Calibri" w:hAnsi="Calibri"/>
                <w:szCs w:val="21"/>
              </w:rPr>
              <w:t>防水等级：≥IP 65；</w:t>
            </w:r>
          </w:p>
          <w:p>
            <w:pPr>
              <w:jc w:val="left"/>
              <w:rPr>
                <w:rFonts w:ascii="Calibri" w:hAnsi="Calibri"/>
                <w:szCs w:val="21"/>
              </w:rPr>
            </w:pPr>
            <w:r>
              <w:rPr>
                <w:rFonts w:ascii="Calibri" w:hAnsi="Calibri"/>
                <w:szCs w:val="21"/>
              </w:rPr>
              <w:t xml:space="preserve">工作环境温度：温度-20 </w:t>
            </w:r>
            <w:r>
              <w:rPr>
                <w:rFonts w:ascii="宋体" w:hAnsi="宋体" w:cs="宋体" w:hint="eastAsia"/>
                <w:szCs w:val="21"/>
              </w:rPr>
              <w:t>℃</w:t>
            </w:r>
            <w:r>
              <w:rPr>
                <w:rFonts w:ascii="Calibri" w:hAnsi="Calibri"/>
                <w:szCs w:val="21"/>
              </w:rPr>
              <w:t xml:space="preserve">～50 </w:t>
            </w:r>
            <w:r>
              <w:rPr>
                <w:rFonts w:ascii="宋体" w:hAnsi="宋体" w:cs="宋体" w:hint="eastAsia"/>
                <w:szCs w:val="21"/>
              </w:rPr>
              <w:t>℃</w:t>
            </w:r>
            <w:r>
              <w:rPr>
                <w:rFonts w:ascii="Calibri" w:hAnsi="Calibri"/>
                <w:szCs w:val="21"/>
              </w:rPr>
              <w:t>，相对湿度10 %～100 %。</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7</w:t>
            </w:r>
          </w:p>
        </w:tc>
        <w:tc>
          <w:tcPr>
            <w:tcW w:w="2155" w:type="dxa"/>
            <w:shd w:val="clear" w:color="auto" w:fill="auto"/>
            <w:vAlign w:val="center"/>
          </w:tcPr>
          <w:p>
            <w:pPr>
              <w:jc w:val="center"/>
              <w:rPr>
                <w:rFonts w:ascii="Calibri" w:hAnsi="Calibri"/>
                <w:szCs w:val="21"/>
              </w:rPr>
            </w:pPr>
            <w:r>
              <w:rPr>
                <w:rFonts w:ascii="宋体" w:hAnsi="宋体" w:hint="eastAsia"/>
                <w:sz w:val="18"/>
                <w:szCs w:val="18"/>
                <w:lang w:val="en-US" w:eastAsia="zh-CN"/>
              </w:rPr>
              <w:t>*</w:t>
            </w:r>
            <w:r>
              <w:rPr>
                <w:rFonts w:ascii="Calibri" w:hAnsi="Calibri"/>
                <w:szCs w:val="21"/>
              </w:rPr>
              <w:t>火箭架类型</w:t>
            </w:r>
          </w:p>
        </w:tc>
        <w:tc>
          <w:tcPr>
            <w:tcW w:w="5684" w:type="dxa"/>
            <w:shd w:val="clear" w:color="auto" w:fill="auto"/>
            <w:vAlign w:val="center"/>
          </w:tcPr>
          <w:p>
            <w:pPr>
              <w:jc w:val="left"/>
              <w:rPr>
                <w:rFonts w:ascii="Calibri" w:hAnsi="Calibri"/>
                <w:szCs w:val="21"/>
              </w:rPr>
            </w:pPr>
            <w:r>
              <w:rPr>
                <w:rFonts w:ascii="Calibri" w:hAnsi="Calibri"/>
                <w:szCs w:val="21"/>
              </w:rPr>
              <w:t>自动化通用型，具备更换多种口径定向器的条件。</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8</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仰角传动指标</w:t>
            </w:r>
          </w:p>
        </w:tc>
        <w:tc>
          <w:tcPr>
            <w:tcW w:w="5684" w:type="dxa"/>
            <w:shd w:val="clear" w:color="auto" w:fill="auto"/>
            <w:vAlign w:val="center"/>
          </w:tcPr>
          <w:p>
            <w:pPr>
              <w:widowControl/>
              <w:jc w:val="left"/>
              <w:rPr>
                <w:rFonts w:ascii="Calibri" w:hAnsi="Calibri"/>
                <w:szCs w:val="20"/>
              </w:rPr>
            </w:pPr>
            <w:r>
              <w:rPr>
                <w:rFonts w:ascii="Times New Roman" w:hAnsi="Times New Roman"/>
                <w:szCs w:val="20"/>
              </w:rPr>
              <w:t>工作状态：45°～85°；行车状态：≤30°；</w:t>
            </w:r>
          </w:p>
          <w:p>
            <w:pPr>
              <w:widowControl/>
              <w:jc w:val="left"/>
              <w:rPr>
                <w:rFonts w:ascii="Calibri" w:hAnsi="Calibri"/>
                <w:szCs w:val="20"/>
              </w:rPr>
            </w:pPr>
            <w:r>
              <w:rPr>
                <w:rFonts w:ascii="Times New Roman" w:hAnsi="Times New Roman"/>
                <w:szCs w:val="20"/>
              </w:rPr>
              <w:t>转动速度：≥3（°）/s；</w:t>
            </w:r>
          </w:p>
          <w:p>
            <w:pPr>
              <w:widowControl/>
              <w:jc w:val="left"/>
              <w:rPr>
                <w:rFonts w:ascii="Calibri" w:hAnsi="Calibri"/>
                <w:szCs w:val="20"/>
              </w:rPr>
            </w:pPr>
            <w:r>
              <w:rPr>
                <w:rFonts w:ascii="Times New Roman" w:hAnsi="Times New Roman"/>
                <w:szCs w:val="20"/>
              </w:rPr>
              <w:t>准确度：±0.5°。</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9</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方位角传动指标</w:t>
            </w:r>
          </w:p>
        </w:tc>
        <w:tc>
          <w:tcPr>
            <w:tcW w:w="5684" w:type="dxa"/>
            <w:shd w:val="clear" w:color="auto" w:fill="auto"/>
            <w:vAlign w:val="center"/>
          </w:tcPr>
          <w:p>
            <w:pPr>
              <w:widowControl/>
              <w:jc w:val="left"/>
              <w:rPr>
                <w:rFonts w:ascii="Calibri" w:hAnsi="Calibri"/>
                <w:szCs w:val="20"/>
              </w:rPr>
            </w:pPr>
            <w:r>
              <w:rPr>
                <w:rFonts w:ascii="Times New Roman" w:hAnsi="Times New Roman"/>
                <w:szCs w:val="20"/>
              </w:rPr>
              <w:t>可调范围：0～360°；</w:t>
            </w:r>
          </w:p>
          <w:p>
            <w:pPr>
              <w:widowControl/>
              <w:jc w:val="left"/>
              <w:rPr>
                <w:rFonts w:ascii="Calibri" w:hAnsi="Calibri"/>
                <w:szCs w:val="20"/>
              </w:rPr>
            </w:pPr>
            <w:r>
              <w:rPr>
                <w:rFonts w:ascii="Times New Roman" w:hAnsi="Times New Roman"/>
                <w:szCs w:val="20"/>
              </w:rPr>
              <w:t>平均速度：≥5°/s；</w:t>
            </w:r>
          </w:p>
          <w:p>
            <w:pPr>
              <w:widowControl/>
              <w:jc w:val="left"/>
              <w:rPr>
                <w:rFonts w:ascii="Calibri" w:hAnsi="Calibri"/>
                <w:szCs w:val="20"/>
              </w:rPr>
            </w:pPr>
            <w:r>
              <w:rPr>
                <w:rFonts w:ascii="Times New Roman" w:hAnsi="Times New Roman"/>
                <w:szCs w:val="20"/>
              </w:rPr>
              <w:t>转动精度：±0.5°；</w:t>
            </w:r>
          </w:p>
          <w:p>
            <w:pPr>
              <w:widowControl/>
              <w:jc w:val="left"/>
              <w:rPr>
                <w:rFonts w:ascii="Calibri" w:hAnsi="Calibri"/>
                <w:szCs w:val="20"/>
              </w:rPr>
            </w:pPr>
            <w:r>
              <w:rPr>
                <w:rFonts w:ascii="Times New Roman" w:hAnsi="Times New Roman"/>
                <w:szCs w:val="20"/>
              </w:rPr>
              <w:t>转动回差：</w:t>
            </w:r>
            <w:r>
              <w:rPr>
                <w:rFonts w:ascii="Calibri" w:hAnsi="Calibri" w:hint="eastAsia"/>
                <w:color w:val="000000" w:themeColor="text1"/>
              </w:rPr>
              <w:t>≤</w:t>
            </w:r>
            <w:r>
              <w:rPr>
                <w:rFonts w:ascii="Calibri" w:hAnsi="Calibri"/>
                <w:color w:val="000000" w:themeColor="text1"/>
              </w:rPr>
              <w:t>1°</w:t>
            </w:r>
            <w:r>
              <w:rPr>
                <w:rFonts w:ascii="Times New Roman" w:hAnsi="Times New Roman"/>
                <w:szCs w:val="20"/>
              </w:rPr>
              <w:t>。</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10</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测量指标</w:t>
            </w:r>
          </w:p>
        </w:tc>
        <w:tc>
          <w:tcPr>
            <w:tcW w:w="5684" w:type="dxa"/>
            <w:shd w:val="clear" w:color="auto" w:fill="auto"/>
            <w:vAlign w:val="center"/>
          </w:tcPr>
          <w:p>
            <w:pPr>
              <w:jc w:val="left"/>
              <w:rPr>
                <w:rFonts w:ascii="Calibri" w:hAnsi="Calibri"/>
                <w:color w:val="FF0000"/>
                <w:szCs w:val="21"/>
              </w:rPr>
            </w:pPr>
            <w:r>
              <w:rPr>
                <w:rFonts w:ascii="Calibri" w:hAnsi="Calibri"/>
                <w:szCs w:val="21"/>
              </w:rPr>
              <w:t>方位角测量精度：1°，分辨率：1°，要求</w:t>
            </w:r>
          </w:p>
          <w:p>
            <w:pPr>
              <w:jc w:val="left"/>
              <w:rPr>
                <w:rFonts w:ascii="Calibri" w:hAnsi="Calibri"/>
                <w:szCs w:val="21"/>
              </w:rPr>
            </w:pPr>
            <w:r>
              <w:rPr>
                <w:rFonts w:ascii="Calibri" w:hAnsi="Calibri"/>
                <w:szCs w:val="21"/>
              </w:rPr>
              <w:t>俯仰角测量精度：1°，分辨率：1°，坐标定位精度：10m，坐标定位时间：≤60 s；</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11</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电性能指标</w:t>
            </w:r>
          </w:p>
        </w:tc>
        <w:tc>
          <w:tcPr>
            <w:tcW w:w="5684" w:type="dxa"/>
            <w:shd w:val="clear" w:color="auto" w:fill="auto"/>
            <w:vAlign w:val="center"/>
          </w:tcPr>
          <w:p>
            <w:pPr>
              <w:jc w:val="left"/>
              <w:rPr>
                <w:rFonts w:ascii="Calibri" w:hAnsi="Calibri"/>
                <w:szCs w:val="21"/>
              </w:rPr>
            </w:pPr>
            <w:r>
              <w:rPr>
                <w:rFonts w:ascii="Calibri" w:hAnsi="Calibri"/>
                <w:szCs w:val="21"/>
              </w:rPr>
              <w:t>直流电源：应采用（12±5%）V～（48±5%）V的可充电电池，电池容量应≥720V·A·h；</w:t>
            </w:r>
          </w:p>
          <w:p>
            <w:pPr>
              <w:jc w:val="left"/>
              <w:rPr>
                <w:rFonts w:ascii="Calibri" w:hAnsi="Calibri"/>
                <w:color w:val="FF0000"/>
              </w:rPr>
            </w:pPr>
            <w:r>
              <w:rPr>
                <w:rFonts w:ascii="Calibri" w:hAnsi="Calibri" w:hint="eastAsia"/>
                <w:color w:val="000000" w:themeColor="text1"/>
                <w:szCs w:val="21"/>
              </w:rPr>
              <w:t>或交流电源：（</w:t>
            </w:r>
            <w:r>
              <w:rPr>
                <w:rFonts w:ascii="Calibri" w:hAnsi="Calibri"/>
                <w:color w:val="000000" w:themeColor="text1"/>
                <w:szCs w:val="21"/>
              </w:rPr>
              <w:t>220±20%</w:t>
            </w:r>
            <w:r>
              <w:rPr>
                <w:rFonts w:ascii="Calibri" w:hAnsi="Calibri" w:hint="eastAsia"/>
                <w:color w:val="000000" w:themeColor="text1"/>
                <w:szCs w:val="21"/>
              </w:rPr>
              <w:t>）V，50Hz；</w:t>
            </w:r>
          </w:p>
          <w:p>
            <w:pPr>
              <w:jc w:val="left"/>
              <w:rPr>
                <w:rFonts w:ascii="Calibri" w:hAnsi="Calibri"/>
                <w:szCs w:val="21"/>
              </w:rPr>
            </w:pPr>
            <w:r>
              <w:rPr>
                <w:rFonts w:ascii="Calibri" w:hAnsi="Calibri"/>
                <w:szCs w:val="21"/>
              </w:rPr>
              <w:t>检测电流：≤3mA，点火电流：≥2.5A；</w:t>
            </w:r>
          </w:p>
          <w:p>
            <w:pPr>
              <w:jc w:val="left"/>
              <w:rPr>
                <w:rFonts w:ascii="Calibri" w:hAnsi="Calibri"/>
                <w:szCs w:val="21"/>
              </w:rPr>
            </w:pPr>
            <w:r>
              <w:rPr>
                <w:rFonts w:ascii="Calibri" w:hAnsi="Calibri"/>
                <w:szCs w:val="21"/>
              </w:rPr>
              <w:t>电阻检测精度：≤0.1Ω；</w:t>
            </w:r>
          </w:p>
          <w:p>
            <w:pPr>
              <w:jc w:val="left"/>
              <w:rPr>
                <w:rFonts w:ascii="Calibri" w:hAnsi="Calibri"/>
                <w:szCs w:val="21"/>
              </w:rPr>
            </w:pPr>
            <w:r>
              <w:rPr>
                <w:rFonts w:ascii="Calibri" w:hAnsi="Calibri"/>
                <w:szCs w:val="21"/>
              </w:rPr>
              <w:t>控制传动功耗：≤500W；待机功耗：≤10W。</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12</w:t>
            </w:r>
          </w:p>
        </w:tc>
        <w:tc>
          <w:tcPr>
            <w:tcW w:w="2155" w:type="dxa"/>
            <w:shd w:val="clear" w:color="auto" w:fill="auto"/>
            <w:vAlign w:val="center"/>
          </w:tcPr>
          <w:p>
            <w:pPr>
              <w:jc w:val="center"/>
              <w:rPr>
                <w:rFonts w:ascii="Calibri" w:hAnsi="Calibri"/>
                <w:color w:val="000000" w:themeColor="text1"/>
                <w:szCs w:val="21"/>
              </w:rPr>
            </w:pPr>
            <w:r>
              <w:rPr>
                <w:rFonts w:ascii="Calibri" w:hAnsi="Calibri" w:hint="eastAsia"/>
                <w:color w:val="000000" w:themeColor="text1"/>
                <w:szCs w:val="21"/>
              </w:rPr>
              <w:t>发射</w:t>
            </w:r>
            <w:r>
              <w:rPr>
                <w:rFonts w:ascii="Calibri" w:hAnsi="Calibri"/>
                <w:color w:val="000000" w:themeColor="text1"/>
                <w:szCs w:val="21"/>
              </w:rPr>
              <w:t>控制器</w:t>
            </w:r>
          </w:p>
        </w:tc>
        <w:tc>
          <w:tcPr>
            <w:tcW w:w="5684" w:type="dxa"/>
            <w:shd w:val="clear" w:color="auto" w:fill="auto"/>
            <w:vAlign w:val="center"/>
          </w:tcPr>
          <w:p>
            <w:pPr>
              <w:widowControl/>
              <w:jc w:val="left"/>
              <w:rPr>
                <w:rFonts w:ascii="Calibri" w:hAnsi="Calibri"/>
                <w:szCs w:val="20"/>
              </w:rPr>
            </w:pPr>
            <w:r>
              <w:rPr>
                <w:rFonts w:ascii="Times New Roman" w:hAnsi="Times New Roman"/>
                <w:szCs w:val="20"/>
              </w:rPr>
              <w:t>电容放电点火：充能≥200A2·ms；</w:t>
            </w:r>
          </w:p>
          <w:p>
            <w:pPr>
              <w:widowControl/>
              <w:jc w:val="left"/>
              <w:rPr>
                <w:rFonts w:ascii="Calibri" w:hAnsi="Calibri"/>
                <w:szCs w:val="20"/>
              </w:rPr>
            </w:pPr>
            <w:r>
              <w:rPr>
                <w:rFonts w:ascii="Times New Roman" w:hAnsi="Times New Roman"/>
                <w:szCs w:val="20"/>
              </w:rPr>
              <w:t>恒流脉冲点火：电流≥2.5 A，脉宽≥50 ms；</w:t>
            </w:r>
          </w:p>
          <w:p>
            <w:pPr>
              <w:widowControl/>
              <w:jc w:val="left"/>
              <w:rPr>
                <w:rFonts w:ascii="Calibri" w:hAnsi="Calibri"/>
                <w:szCs w:val="20"/>
              </w:rPr>
            </w:pPr>
            <w:r>
              <w:rPr>
                <w:rFonts w:ascii="Times New Roman" w:hAnsi="Times New Roman"/>
                <w:szCs w:val="20"/>
              </w:rPr>
              <w:t>检测电流：≤3 mA；</w:t>
            </w:r>
          </w:p>
          <w:p>
            <w:pPr>
              <w:widowControl/>
              <w:jc w:val="left"/>
              <w:rPr>
                <w:rFonts w:ascii="Calibri" w:hAnsi="Calibri"/>
                <w:szCs w:val="20"/>
              </w:rPr>
            </w:pPr>
            <w:r>
              <w:rPr>
                <w:rFonts w:ascii="Times New Roman" w:hAnsi="Times New Roman"/>
                <w:szCs w:val="20"/>
              </w:rPr>
              <w:t>电阻检测精度：≤0.1 Ω；</w:t>
            </w:r>
          </w:p>
          <w:p>
            <w:pPr>
              <w:widowControl/>
              <w:jc w:val="left"/>
              <w:rPr>
                <w:rFonts w:ascii="Calibri" w:hAnsi="Calibri"/>
                <w:szCs w:val="20"/>
              </w:rPr>
            </w:pPr>
            <w:r>
              <w:rPr>
                <w:rFonts w:ascii="Times New Roman" w:hAnsi="Times New Roman"/>
                <w:szCs w:val="20"/>
              </w:rPr>
              <w:t>发射通道：≥4个；</w:t>
            </w:r>
          </w:p>
          <w:p>
            <w:pPr>
              <w:widowControl/>
              <w:jc w:val="left"/>
              <w:rPr>
                <w:rFonts w:ascii="Calibri" w:hAnsi="Calibri"/>
                <w:szCs w:val="20"/>
              </w:rPr>
            </w:pPr>
            <w:r>
              <w:rPr>
                <w:rFonts w:ascii="Times New Roman" w:hAnsi="Times New Roman"/>
                <w:szCs w:val="20"/>
              </w:rPr>
              <w:t>点火方式：直接点火或间接点火；</w:t>
            </w:r>
          </w:p>
          <w:p>
            <w:pPr>
              <w:widowControl/>
              <w:jc w:val="left"/>
              <w:rPr>
                <w:rFonts w:ascii="Calibri" w:hAnsi="Calibri"/>
                <w:color w:val="000000" w:themeColor="text1"/>
                <w:szCs w:val="21"/>
              </w:rPr>
            </w:pPr>
            <w:r>
              <w:rPr>
                <w:rFonts w:ascii="Times New Roman" w:hAnsi="Times New Roman"/>
                <w:szCs w:val="20"/>
              </w:rPr>
              <w:t>具有发射安全保护功能；具有安全射界识别功能。（需提供产品说明书或检测报告或官网截图等证明材料）。</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13</w:t>
            </w:r>
          </w:p>
        </w:tc>
        <w:tc>
          <w:tcPr>
            <w:tcW w:w="2155" w:type="dxa"/>
            <w:shd w:val="clear" w:color="auto" w:fill="auto"/>
            <w:vAlign w:val="center"/>
          </w:tcPr>
          <w:p>
            <w:pPr>
              <w:jc w:val="center"/>
              <w:rPr>
                <w:rFonts w:ascii="Calibri" w:hAnsi="Calibri"/>
                <w:szCs w:val="21"/>
              </w:rPr>
            </w:pPr>
            <w:r>
              <w:rPr>
                <w:rFonts w:ascii="Calibri" w:hAnsi="Calibri"/>
                <w:szCs w:val="21"/>
              </w:rPr>
              <w:t>航空插座</w:t>
            </w:r>
          </w:p>
        </w:tc>
        <w:tc>
          <w:tcPr>
            <w:tcW w:w="5684" w:type="dxa"/>
            <w:shd w:val="clear" w:color="auto" w:fill="auto"/>
            <w:vAlign w:val="center"/>
          </w:tcPr>
          <w:p>
            <w:pPr>
              <w:jc w:val="left"/>
              <w:rPr>
                <w:rFonts w:ascii="Calibri" w:hAnsi="Calibri"/>
                <w:szCs w:val="21"/>
              </w:rPr>
            </w:pPr>
            <w:r>
              <w:rPr>
                <w:rFonts w:ascii="Calibri" w:hAnsi="Calibri"/>
                <w:szCs w:val="21"/>
              </w:rPr>
              <w:t>耐电压：</w:t>
            </w:r>
            <w:r>
              <w:rPr>
                <w:rFonts w:ascii="Calibri" w:hAnsi="Calibri" w:hint="eastAsia"/>
                <w:szCs w:val="21"/>
              </w:rPr>
              <w:t>＞</w:t>
            </w:r>
            <w:r>
              <w:rPr>
                <w:rFonts w:ascii="Calibri" w:hAnsi="Calibri"/>
                <w:szCs w:val="21"/>
              </w:rPr>
              <w:t>1500 V；额定工作电压：500 V；接触电阻：≤5 mΩ；</w:t>
            </w:r>
          </w:p>
          <w:p>
            <w:pPr>
              <w:jc w:val="left"/>
              <w:rPr>
                <w:rFonts w:ascii="Calibri" w:hAnsi="Calibri"/>
                <w:szCs w:val="21"/>
              </w:rPr>
            </w:pPr>
            <w:r>
              <w:rPr>
                <w:rFonts w:ascii="Calibri" w:hAnsi="Calibri"/>
                <w:szCs w:val="21"/>
              </w:rPr>
              <w:t>基座与定向器、数据终端连接的航空插头/插座应采用统一外形和尺寸；</w:t>
            </w:r>
          </w:p>
          <w:p>
            <w:pPr>
              <w:jc w:val="left"/>
              <w:rPr>
                <w:rFonts w:ascii="Calibri" w:hAnsi="Calibri"/>
                <w:szCs w:val="21"/>
              </w:rPr>
            </w:pPr>
            <w:r>
              <w:rPr>
                <w:rFonts w:ascii="Calibri" w:hAnsi="Calibri"/>
                <w:szCs w:val="21"/>
              </w:rPr>
              <w:t>对外通讯的基座数据端口插座要求采用插孔式防水航空插座；</w:t>
            </w:r>
          </w:p>
          <w:p>
            <w:pPr>
              <w:jc w:val="left"/>
              <w:rPr>
                <w:rFonts w:ascii="Calibri" w:hAnsi="Calibri"/>
                <w:szCs w:val="21"/>
              </w:rPr>
            </w:pPr>
            <w:r>
              <w:rPr>
                <w:rFonts w:ascii="Calibri" w:hAnsi="Calibri"/>
                <w:szCs w:val="21"/>
              </w:rPr>
              <w:t>通过直接点火方式连接定向器插座要求采用插孔式防水航空插座；</w:t>
            </w:r>
          </w:p>
          <w:p>
            <w:pPr>
              <w:jc w:val="left"/>
              <w:rPr>
                <w:rFonts w:ascii="Calibri" w:hAnsi="Calibri"/>
                <w:szCs w:val="21"/>
              </w:rPr>
            </w:pPr>
            <w:r>
              <w:rPr>
                <w:rFonts w:ascii="Calibri" w:hAnsi="Calibri"/>
                <w:szCs w:val="21"/>
              </w:rPr>
              <w:t>通过间接点火方式连接定向器插座要求采用插孔式防水航空插座。</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14</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环境适应性</w:t>
            </w:r>
          </w:p>
        </w:tc>
        <w:tc>
          <w:tcPr>
            <w:tcW w:w="5684" w:type="dxa"/>
            <w:shd w:val="clear" w:color="auto" w:fill="auto"/>
            <w:vAlign w:val="center"/>
          </w:tcPr>
          <w:p>
            <w:pPr>
              <w:jc w:val="left"/>
              <w:rPr>
                <w:rFonts w:ascii="Calibri" w:hAnsi="Calibri"/>
                <w:szCs w:val="21"/>
              </w:rPr>
            </w:pPr>
            <w:r>
              <w:rPr>
                <w:rFonts w:ascii="Calibri" w:hAnsi="Calibri"/>
                <w:szCs w:val="21"/>
              </w:rPr>
              <w:t>温度：发射架的适用温度应为-20</w:t>
            </w:r>
            <w:r>
              <w:rPr>
                <w:rFonts w:ascii="宋体" w:hAnsi="宋体" w:cs="宋体" w:hint="eastAsia"/>
                <w:szCs w:val="21"/>
              </w:rPr>
              <w:t>℃</w:t>
            </w:r>
            <w:r>
              <w:rPr>
                <w:rFonts w:ascii="Calibri" w:hAnsi="Calibri"/>
                <w:szCs w:val="21"/>
              </w:rPr>
              <w:t>～50</w:t>
            </w:r>
            <w:r>
              <w:rPr>
                <w:rFonts w:ascii="宋体" w:hAnsi="宋体" w:cs="宋体" w:hint="eastAsia"/>
                <w:szCs w:val="21"/>
              </w:rPr>
              <w:t>℃</w:t>
            </w:r>
            <w:r>
              <w:rPr>
                <w:rFonts w:ascii="Calibri" w:hAnsi="Calibri"/>
                <w:szCs w:val="21"/>
              </w:rPr>
              <w:t>，在铝电池供电情况下适用温度应为-10</w:t>
            </w:r>
            <w:r>
              <w:rPr>
                <w:rFonts w:ascii="宋体" w:hAnsi="宋体" w:cs="宋体" w:hint="eastAsia"/>
                <w:szCs w:val="21"/>
              </w:rPr>
              <w:t>℃</w:t>
            </w:r>
            <w:r>
              <w:rPr>
                <w:rFonts w:ascii="Calibri" w:hAnsi="Calibri"/>
                <w:szCs w:val="21"/>
              </w:rPr>
              <w:t>～50</w:t>
            </w:r>
            <w:r>
              <w:rPr>
                <w:rFonts w:ascii="宋体" w:hAnsi="宋体" w:cs="宋体" w:hint="eastAsia"/>
                <w:szCs w:val="21"/>
              </w:rPr>
              <w:t>℃</w:t>
            </w:r>
            <w:r>
              <w:rPr>
                <w:rFonts w:ascii="Calibri" w:hAnsi="Calibri"/>
                <w:szCs w:val="21"/>
              </w:rPr>
              <w:t>；</w:t>
            </w:r>
          </w:p>
          <w:p>
            <w:pPr>
              <w:jc w:val="left"/>
              <w:rPr>
                <w:rFonts w:ascii="Calibri" w:hAnsi="Calibri"/>
                <w:szCs w:val="21"/>
              </w:rPr>
            </w:pPr>
            <w:r>
              <w:rPr>
                <w:rFonts w:ascii="Calibri" w:hAnsi="Calibri"/>
                <w:szCs w:val="21"/>
              </w:rPr>
              <w:t>防水：发射架的防水等级应不低于GB/T 4208规定的IPX5。</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15</w:t>
            </w:r>
          </w:p>
        </w:tc>
        <w:tc>
          <w:tcPr>
            <w:tcW w:w="2155" w:type="dxa"/>
            <w:shd w:val="clear" w:color="auto" w:fill="auto"/>
            <w:vAlign w:val="center"/>
          </w:tcPr>
          <w:p>
            <w:pPr>
              <w:jc w:val="center"/>
              <w:rPr>
                <w:rFonts w:ascii="Calibri" w:hAnsi="Calibri"/>
                <w:szCs w:val="21"/>
              </w:rPr>
            </w:pPr>
            <w:r>
              <w:rPr>
                <w:rFonts w:ascii="Calibri" w:hAnsi="Calibri"/>
                <w:szCs w:val="21"/>
              </w:rPr>
              <w:t>车载底座</w:t>
            </w:r>
          </w:p>
        </w:tc>
        <w:tc>
          <w:tcPr>
            <w:tcW w:w="5684" w:type="dxa"/>
            <w:shd w:val="clear" w:color="auto" w:fill="auto"/>
            <w:vAlign w:val="center"/>
          </w:tcPr>
          <w:p>
            <w:pPr>
              <w:jc w:val="left"/>
              <w:rPr>
                <w:rFonts w:ascii="Calibri" w:hAnsi="Calibri"/>
                <w:szCs w:val="21"/>
              </w:rPr>
            </w:pPr>
            <w:r>
              <w:rPr>
                <w:rFonts w:ascii="Calibri" w:hAnsi="Calibri"/>
                <w:szCs w:val="21"/>
              </w:rPr>
              <w:t>配装车载底座时可安装在皮卡车后厢板上。</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16</w:t>
            </w:r>
          </w:p>
        </w:tc>
        <w:tc>
          <w:tcPr>
            <w:tcW w:w="2155" w:type="dxa"/>
            <w:shd w:val="clear" w:color="auto" w:fill="auto"/>
            <w:vAlign w:val="center"/>
          </w:tcPr>
          <w:p>
            <w:pPr>
              <w:jc w:val="center"/>
              <w:rPr>
                <w:rFonts w:ascii="Calibri" w:hAnsi="Calibri"/>
                <w:szCs w:val="21"/>
              </w:rPr>
            </w:pPr>
            <w:r>
              <w:rPr>
                <w:rFonts w:ascii="Calibri" w:hAnsi="Calibri"/>
                <w:szCs w:val="21"/>
              </w:rPr>
              <w:t>提供测试火箭弹</w:t>
            </w:r>
          </w:p>
        </w:tc>
        <w:tc>
          <w:tcPr>
            <w:tcW w:w="5684" w:type="dxa"/>
            <w:shd w:val="clear" w:color="auto" w:fill="auto"/>
            <w:vAlign w:val="center"/>
          </w:tcPr>
          <w:p>
            <w:pPr>
              <w:jc w:val="left"/>
              <w:rPr>
                <w:rFonts w:ascii="Calibri" w:hAnsi="Calibri"/>
                <w:szCs w:val="21"/>
              </w:rPr>
            </w:pPr>
            <w:r>
              <w:rPr>
                <w:rFonts w:ascii="Calibri" w:hAnsi="Calibri"/>
                <w:szCs w:val="21"/>
              </w:rPr>
              <w:t>提供测试火箭弹</w:t>
            </w:r>
            <w:r>
              <w:rPr>
                <w:rFonts w:ascii="Calibri" w:hAnsi="Calibri" w:hint="eastAsia"/>
                <w:szCs w:val="21"/>
              </w:rPr>
              <w:t>1</w:t>
            </w:r>
            <w:r>
              <w:rPr>
                <w:rFonts w:ascii="Calibri" w:hAnsi="Calibri"/>
                <w:szCs w:val="21"/>
              </w:rPr>
              <w:t>枚，测试火箭弹需取得《气象专用技术装备使用许可证》的火箭弹。</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17</w:t>
            </w:r>
          </w:p>
        </w:tc>
        <w:tc>
          <w:tcPr>
            <w:tcW w:w="2155" w:type="dxa"/>
            <w:shd w:val="clear" w:color="auto" w:fill="auto"/>
            <w:vAlign w:val="center"/>
          </w:tcPr>
          <w:p>
            <w:pPr>
              <w:jc w:val="center"/>
              <w:rPr>
                <w:rFonts w:ascii="Calibri" w:hAnsi="Calibri"/>
                <w:szCs w:val="21"/>
              </w:rPr>
            </w:pPr>
            <w:r>
              <w:rPr>
                <w:rFonts w:ascii="Calibri" w:hAnsi="Calibri"/>
                <w:szCs w:val="21"/>
              </w:rPr>
              <w:t>质量保证</w:t>
            </w:r>
          </w:p>
        </w:tc>
        <w:tc>
          <w:tcPr>
            <w:tcW w:w="5684" w:type="dxa"/>
            <w:shd w:val="clear" w:color="auto" w:fill="auto"/>
            <w:vAlign w:val="center"/>
          </w:tcPr>
          <w:p>
            <w:pPr>
              <w:jc w:val="left"/>
              <w:rPr>
                <w:rFonts w:ascii="Calibri" w:hAnsi="Calibri"/>
                <w:szCs w:val="21"/>
              </w:rPr>
            </w:pPr>
            <w:r>
              <w:rPr>
                <w:rFonts w:ascii="Calibri" w:hAnsi="Calibri"/>
                <w:szCs w:val="21"/>
              </w:rPr>
              <w:t>接到故障通知后，委派技术人员到现场解决；</w:t>
            </w:r>
          </w:p>
          <w:p>
            <w:pPr>
              <w:jc w:val="left"/>
              <w:rPr>
                <w:rFonts w:ascii="Calibri" w:hAnsi="Calibri"/>
                <w:szCs w:val="21"/>
              </w:rPr>
            </w:pPr>
            <w:r>
              <w:rPr>
                <w:rFonts w:ascii="Calibri" w:hAnsi="Calibri"/>
                <w:szCs w:val="21"/>
              </w:rPr>
              <w:t>6h内响应，若24h无法排除故障，则需提供同档次备用设备。</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18</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发射架基座尺寸</w:t>
            </w:r>
          </w:p>
        </w:tc>
        <w:tc>
          <w:tcPr>
            <w:tcW w:w="5684" w:type="dxa"/>
            <w:shd w:val="clear" w:color="auto" w:fill="auto"/>
            <w:vAlign w:val="center"/>
          </w:tcPr>
          <w:p>
            <w:pPr>
              <w:widowControl/>
              <w:jc w:val="left"/>
              <w:rPr>
                <w:rFonts w:ascii="Calibri" w:hAnsi="Calibri"/>
                <w:szCs w:val="20"/>
              </w:rPr>
            </w:pPr>
            <w:r>
              <w:rPr>
                <w:rFonts w:ascii="Times New Roman" w:hAnsi="Times New Roman"/>
                <w:szCs w:val="20"/>
              </w:rPr>
              <w:t>对角线长≤1100mm，高度≤1000mm。</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19</w:t>
            </w:r>
          </w:p>
        </w:tc>
        <w:tc>
          <w:tcPr>
            <w:tcW w:w="2155" w:type="dxa"/>
            <w:shd w:val="clear" w:color="auto" w:fill="auto"/>
            <w:vAlign w:val="center"/>
          </w:tcPr>
          <w:p>
            <w:pPr>
              <w:jc w:val="center"/>
              <w:rPr>
                <w:rFonts w:ascii="Calibri" w:hAnsi="Calibri"/>
                <w:szCs w:val="21"/>
              </w:rPr>
            </w:pPr>
            <w:r>
              <w:rPr>
                <w:rFonts w:ascii="宋体" w:hAnsi="宋体" w:hint="eastAsia"/>
                <w:sz w:val="18"/>
                <w:szCs w:val="18"/>
                <w:lang w:eastAsia="zh-CN"/>
              </w:rPr>
              <w:t>#</w:t>
            </w:r>
            <w:r>
              <w:rPr>
                <w:rFonts w:ascii="Calibri" w:hAnsi="Calibri"/>
                <w:szCs w:val="21"/>
              </w:rPr>
              <w:t>转接架</w:t>
            </w:r>
          </w:p>
        </w:tc>
        <w:tc>
          <w:tcPr>
            <w:tcW w:w="5684" w:type="dxa"/>
            <w:shd w:val="clear" w:color="auto" w:fill="auto"/>
            <w:vAlign w:val="center"/>
          </w:tcPr>
          <w:p>
            <w:pPr>
              <w:widowControl/>
              <w:jc w:val="left"/>
              <w:rPr>
                <w:rFonts w:ascii="Calibri" w:hAnsi="Calibri"/>
                <w:szCs w:val="20"/>
              </w:rPr>
            </w:pPr>
            <w:r>
              <w:rPr>
                <w:rFonts w:ascii="Times New Roman" w:hAnsi="Times New Roman"/>
                <w:szCs w:val="20"/>
              </w:rPr>
              <w:t>外形尺寸：符合图1的要求；</w:t>
            </w:r>
          </w:p>
          <w:p>
            <w:pPr>
              <w:widowControl/>
              <w:jc w:val="left"/>
              <w:rPr>
                <w:rFonts w:ascii="Calibri" w:hAnsi="Calibri"/>
                <w:szCs w:val="20"/>
              </w:rPr>
            </w:pPr>
            <w:r>
              <w:rPr>
                <w:rFonts w:ascii="Times New Roman" w:hAnsi="Times New Roman"/>
                <w:szCs w:val="20"/>
              </w:rPr>
              <w:t>厚度：≥8mm；</w:t>
            </w:r>
          </w:p>
          <w:p>
            <w:pPr>
              <w:widowControl/>
              <w:jc w:val="left"/>
              <w:rPr>
                <w:rFonts w:ascii="Calibri" w:hAnsi="Calibri"/>
                <w:szCs w:val="20"/>
              </w:rPr>
            </w:pPr>
            <w:r>
              <w:rPr>
                <w:rFonts w:ascii="Times New Roman" w:hAnsi="Times New Roman"/>
                <w:szCs w:val="20"/>
              </w:rPr>
              <w:t>连接定向器的固定螺栓：直径为12 mm、长度为50 mm，材料为不锈钢。</w:t>
            </w:r>
          </w:p>
        </w:tc>
      </w:tr>
      <w:tr>
        <w:tblPrEx>
          <w:tblW w:w="8478" w:type="dxa"/>
          <w:tblInd w:w="0" w:type="dxa"/>
          <w:tblLayout w:type="fixed"/>
          <w:tblCellMar>
            <w:top w:w="0" w:type="dxa"/>
            <w:left w:w="108" w:type="dxa"/>
            <w:bottom w:w="0" w:type="dxa"/>
            <w:right w:w="108" w:type="dxa"/>
          </w:tblCellMar>
        </w:tblPrEx>
        <w:tc>
          <w:tcPr>
            <w:tcW w:w="639" w:type="dxa"/>
            <w:vAlign w:val="center"/>
          </w:tcPr>
          <w:p>
            <w:pPr>
              <w:spacing w:line="360" w:lineRule="auto"/>
              <w:jc w:val="center"/>
              <w:rPr>
                <w:rFonts w:ascii="宋体" w:hAnsi="宋体"/>
                <w:szCs w:val="21"/>
              </w:rPr>
            </w:pPr>
            <w:r>
              <w:rPr>
                <w:rFonts w:ascii="宋体" w:hAnsi="宋体" w:hint="eastAsia"/>
                <w:szCs w:val="21"/>
              </w:rPr>
              <w:t>20</w:t>
            </w:r>
          </w:p>
        </w:tc>
        <w:tc>
          <w:tcPr>
            <w:tcW w:w="2155" w:type="dxa"/>
            <w:shd w:val="clear" w:color="auto" w:fill="auto"/>
            <w:vAlign w:val="center"/>
          </w:tcPr>
          <w:p>
            <w:pPr>
              <w:jc w:val="center"/>
              <w:rPr>
                <w:rFonts w:ascii="Calibri" w:hAnsi="Calibri"/>
                <w:szCs w:val="21"/>
              </w:rPr>
            </w:pPr>
            <w:r>
              <w:rPr>
                <w:rFonts w:ascii="Calibri" w:hAnsi="Calibri"/>
                <w:szCs w:val="21"/>
              </w:rPr>
              <w:t>坐标定位</w:t>
            </w:r>
          </w:p>
        </w:tc>
        <w:tc>
          <w:tcPr>
            <w:tcW w:w="5684" w:type="dxa"/>
            <w:shd w:val="clear" w:color="auto" w:fill="auto"/>
            <w:vAlign w:val="center"/>
          </w:tcPr>
          <w:p>
            <w:pPr>
              <w:jc w:val="left"/>
              <w:rPr>
                <w:rFonts w:ascii="Calibri" w:hAnsi="Calibri"/>
                <w:szCs w:val="21"/>
              </w:rPr>
            </w:pPr>
            <w:r>
              <w:rPr>
                <w:rFonts w:ascii="Calibri" w:hAnsi="Calibri"/>
                <w:szCs w:val="21"/>
              </w:rPr>
              <w:t>定位方式：北斗定位。</w:t>
            </w:r>
          </w:p>
        </w:tc>
      </w:tr>
    </w:tbl>
    <w:p>
      <w:pPr>
        <w:spacing w:line="360" w:lineRule="auto"/>
        <w:rPr>
          <w:rFonts w:ascii="宋体" w:hAnsi="宋体"/>
          <w:szCs w:val="21"/>
        </w:rPr>
      </w:pPr>
    </w:p>
    <w:p>
      <w:pPr>
        <w:spacing w:line="360" w:lineRule="auto"/>
        <w:jc w:val="center"/>
        <w:rPr>
          <w:rFonts w:ascii="宋体" w:hAnsi="宋体"/>
          <w:szCs w:val="21"/>
        </w:rPr>
      </w:pPr>
      <w:r>
        <w:rPr>
          <w:rFonts w:ascii="宋体" w:hAnsi="宋体" w:hint="eastAsia"/>
          <w:szCs w:val="21"/>
        </w:rPr>
        <w:t xml:space="preserve">图 </w:t>
      </w:r>
      <w:r>
        <w:rPr>
          <w:rFonts w:ascii="宋体" w:hAnsi="宋体" w:hint="eastAsia"/>
          <w:szCs w:val="21"/>
        </w:rPr>
        <w:fldChar w:fldCharType="begin"/>
      </w:r>
      <w:r>
        <w:rPr>
          <w:rFonts w:ascii="宋体" w:hAnsi="宋体" w:hint="eastAsia"/>
          <w:szCs w:val="21"/>
        </w:rPr>
        <w:instrText xml:space="preserve"> SEQ 图 \* ARABIC </w:instrText>
      </w:r>
      <w:r>
        <w:rPr>
          <w:rFonts w:ascii="宋体" w:hAnsi="宋体" w:hint="eastAsia"/>
          <w:szCs w:val="21"/>
        </w:rPr>
        <w:fldChar w:fldCharType="separate"/>
      </w:r>
      <w:r>
        <w:rPr>
          <w:rFonts w:ascii="宋体" w:hAnsi="宋体" w:hint="eastAsia"/>
          <w:szCs w:val="21"/>
        </w:rPr>
        <w:t>1</w:t>
      </w:r>
      <w:r>
        <w:rPr>
          <w:rFonts w:ascii="宋体" w:hAnsi="宋体" w:hint="eastAsia"/>
          <w:szCs w:val="21"/>
        </w:rPr>
        <w:fldChar w:fldCharType="end"/>
      </w:r>
      <w:r>
        <w:rPr>
          <w:rFonts w:ascii="宋体" w:hAnsi="宋体" w:hint="eastAsia"/>
          <w:szCs w:val="21"/>
        </w:rPr>
        <w:t>转接架尺寸、开孔尺寸及通孔直径尺寸</w:t>
      </w:r>
    </w:p>
    <w:p>
      <w:pPr>
        <w:spacing w:line="360" w:lineRule="auto"/>
        <w:jc w:val="right"/>
        <w:rPr>
          <w:rFonts w:ascii="宋体" w:hAnsi="宋体"/>
          <w:szCs w:val="21"/>
        </w:rPr>
      </w:pPr>
      <w:r>
        <w:rPr>
          <w:rFonts w:ascii="宋体" w:hAnsi="宋体" w:hint="eastAsia"/>
          <w:szCs w:val="21"/>
        </w:rPr>
        <w:t>单位为毫米</w:t>
      </w:r>
    </w:p>
    <w:p>
      <w:pPr>
        <w:spacing w:line="360" w:lineRule="auto"/>
        <w:jc w:val="center"/>
        <w:rPr>
          <w:rFonts w:ascii="宋体" w:hAnsi="宋体"/>
          <w:szCs w:val="21"/>
        </w:rPr>
      </w:pPr>
      <w:r>
        <w:rPr>
          <w:rFonts w:ascii="宋体" w:hAnsi="宋体" w:hint="eastAsia"/>
          <w:szCs w:val="21"/>
        </w:rPr>
        <w:drawing>
          <wp:inline distT="0" distB="0" distL="114300" distR="114300">
            <wp:extent cx="3425190" cy="3420110"/>
            <wp:effectExtent l="0" t="0" r="381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6"/>
                    <a:stretch>
                      <a:fillRect/>
                    </a:stretch>
                  </pic:blipFill>
                  <pic:spPr>
                    <a:xfrm>
                      <a:off x="0" y="0"/>
                      <a:ext cx="3425190" cy="3420110"/>
                    </a:xfrm>
                    <a:prstGeom prst="rect">
                      <a:avLst/>
                    </a:prstGeom>
                    <a:noFill/>
                    <a:ln>
                      <a:noFill/>
                    </a:ln>
                  </pic:spPr>
                </pic:pic>
              </a:graphicData>
            </a:graphic>
          </wp:inline>
        </w:drawing>
      </w:r>
    </w:p>
    <w:p>
      <w:pPr>
        <w:spacing w:line="360" w:lineRule="auto"/>
        <w:rPr>
          <w:rFonts w:ascii="宋体" w:hAnsi="宋体"/>
          <w:szCs w:val="21"/>
        </w:rPr>
      </w:pPr>
    </w:p>
    <w:p>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2</w:t>
      </w:r>
      <w:r>
        <w:rPr>
          <w:rFonts w:ascii="宋体" w:hAnsi="宋体" w:hint="eastAsia"/>
          <w:szCs w:val="21"/>
        </w:rPr>
        <w:fldChar w:fldCharType="end"/>
      </w:r>
      <w:r>
        <w:rPr>
          <w:rFonts w:ascii="宋体" w:hAnsi="宋体" w:hint="eastAsia"/>
          <w:szCs w:val="21"/>
        </w:rPr>
        <w:t>火箭作业安全监控终端技术性能指标</w:t>
      </w:r>
    </w:p>
    <w:tbl>
      <w:tblPr>
        <w:tblStyle w:val="TableNormal"/>
        <w:tblW w:w="8045" w:type="dxa"/>
        <w:jc w:val="center"/>
        <w:tblLayout w:type="fixed"/>
        <w:tblCellMar>
          <w:top w:w="0" w:type="dxa"/>
          <w:left w:w="108" w:type="dxa"/>
          <w:bottom w:w="0" w:type="dxa"/>
          <w:right w:w="108" w:type="dxa"/>
        </w:tblCellMar>
      </w:tblPr>
      <w:tblGrid>
        <w:gridCol w:w="697"/>
        <w:gridCol w:w="1223"/>
        <w:gridCol w:w="6125"/>
      </w:tblGrid>
      <w:tr>
        <w:tblPrEx>
          <w:tblW w:w="8045" w:type="dxa"/>
          <w:jc w:val="center"/>
          <w:tblLayout w:type="fixed"/>
          <w:tblCellMar>
            <w:top w:w="0" w:type="dxa"/>
            <w:left w:w="108" w:type="dxa"/>
            <w:bottom w:w="0" w:type="dxa"/>
            <w:right w:w="108" w:type="dxa"/>
          </w:tblCellMar>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序号</w:t>
            </w:r>
          </w:p>
        </w:tc>
        <w:tc>
          <w:tcPr>
            <w:tcW w:w="1223"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项目内容</w:t>
            </w:r>
          </w:p>
        </w:tc>
        <w:tc>
          <w:tcPr>
            <w:tcW w:w="6125"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性能参数</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val="restart"/>
            <w:tcBorders>
              <w:left w:val="single" w:sz="4" w:space="0" w:color="auto"/>
              <w:bottom w:val="single" w:sz="4" w:space="0" w:color="auto"/>
              <w:right w:val="single" w:sz="4" w:space="0" w:color="auto"/>
            </w:tcBorders>
            <w:vAlign w:val="center"/>
          </w:tcPr>
          <w:p>
            <w:pPr>
              <w:jc w:val="center"/>
              <w:rPr>
                <w:szCs w:val="21"/>
              </w:rPr>
            </w:pPr>
            <w:r>
              <w:rPr>
                <w:szCs w:val="21"/>
              </w:rPr>
              <w:t>1</w:t>
            </w:r>
          </w:p>
        </w:tc>
        <w:tc>
          <w:tcPr>
            <w:tcW w:w="1223" w:type="dxa"/>
            <w:vMerge w:val="restart"/>
            <w:tcBorders>
              <w:top w:val="single" w:sz="4" w:space="0" w:color="auto"/>
              <w:left w:val="single" w:sz="4" w:space="0" w:color="auto"/>
              <w:right w:val="single" w:sz="4" w:space="0" w:color="auto"/>
            </w:tcBorders>
            <w:vAlign w:val="center"/>
          </w:tcPr>
          <w:p>
            <w:pPr>
              <w:jc w:val="center"/>
              <w:rPr>
                <w:szCs w:val="21"/>
              </w:rPr>
            </w:pPr>
            <w:r>
              <w:rPr>
                <w:szCs w:val="21"/>
              </w:rPr>
              <w:t>接口参数</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供电电压范围：9V～32V；</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top w:val="single" w:sz="4" w:space="0" w:color="auto"/>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终端数据接口：默认RS485；</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top w:val="single" w:sz="4" w:space="0" w:color="auto"/>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具备WIFI通信接口。</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val="restart"/>
            <w:tcBorders>
              <w:top w:val="single" w:sz="4" w:space="0" w:color="auto"/>
              <w:left w:val="single" w:sz="4" w:space="0" w:color="auto"/>
              <w:right w:val="single" w:sz="4" w:space="0" w:color="auto"/>
            </w:tcBorders>
            <w:vAlign w:val="center"/>
          </w:tcPr>
          <w:p>
            <w:pPr>
              <w:jc w:val="center"/>
              <w:rPr>
                <w:szCs w:val="21"/>
              </w:rPr>
            </w:pPr>
            <w:r>
              <w:rPr>
                <w:szCs w:val="21"/>
              </w:rPr>
              <w:t>2</w:t>
            </w:r>
          </w:p>
        </w:tc>
        <w:tc>
          <w:tcPr>
            <w:tcW w:w="1223" w:type="dxa"/>
            <w:vMerge w:val="restart"/>
            <w:tcBorders>
              <w:top w:val="single" w:sz="4" w:space="0" w:color="auto"/>
              <w:left w:val="single" w:sz="4" w:space="0" w:color="auto"/>
              <w:right w:val="single" w:sz="4" w:space="0" w:color="auto"/>
            </w:tcBorders>
            <w:vAlign w:val="center"/>
          </w:tcPr>
          <w:p>
            <w:pPr>
              <w:jc w:val="center"/>
              <w:rPr>
                <w:szCs w:val="21"/>
              </w:rPr>
            </w:pPr>
            <w:r>
              <w:rPr>
                <w:szCs w:val="21"/>
              </w:rPr>
              <w:t>性能指标</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连续工作时间：≥8 h；</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防护等级：</w:t>
            </w:r>
            <w:r>
              <w:rPr>
                <w:rFonts w:hint="eastAsia"/>
                <w:szCs w:val="21"/>
              </w:rPr>
              <w:t>≥</w:t>
            </w:r>
            <w:r>
              <w:rPr>
                <w:szCs w:val="21"/>
              </w:rPr>
              <w:t>IP65；</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工作温度：-30°C～70°C；</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尺寸：直径≤120mm，高度≤90mm；</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bottom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重量：≤500g。</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val="restart"/>
            <w:tcBorders>
              <w:top w:val="single" w:sz="4" w:space="0" w:color="auto"/>
              <w:left w:val="single" w:sz="4" w:space="0" w:color="auto"/>
              <w:right w:val="single" w:sz="4" w:space="0" w:color="auto"/>
            </w:tcBorders>
            <w:vAlign w:val="center"/>
          </w:tcPr>
          <w:p>
            <w:pPr>
              <w:jc w:val="center"/>
              <w:rPr>
                <w:szCs w:val="21"/>
              </w:rPr>
            </w:pPr>
            <w:r>
              <w:rPr>
                <w:szCs w:val="21"/>
              </w:rPr>
              <w:t>3</w:t>
            </w:r>
          </w:p>
        </w:tc>
        <w:tc>
          <w:tcPr>
            <w:tcW w:w="1223" w:type="dxa"/>
            <w:vMerge w:val="restart"/>
            <w:tcBorders>
              <w:top w:val="single" w:sz="4" w:space="0" w:color="auto"/>
              <w:left w:val="single" w:sz="4" w:space="0" w:color="auto"/>
              <w:right w:val="single" w:sz="4" w:space="0" w:color="auto"/>
            </w:tcBorders>
            <w:vAlign w:val="center"/>
          </w:tcPr>
          <w:p>
            <w:pPr>
              <w:jc w:val="center"/>
              <w:rPr>
                <w:szCs w:val="21"/>
              </w:rPr>
            </w:pPr>
            <w:r>
              <w:rPr>
                <w:szCs w:val="21"/>
              </w:rPr>
              <w:t>卫星通信</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接收灵敏度：-130dBm（8Kbps）、-127.5dBm（16Kbps）、-123.8dBm（24Kbps）；</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发射功率：37.0dBm±0.5dB；</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双向零值：均值1ms±10ns；</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双通道时差测量误差：方差＜5ns；</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bottom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发射频率准确度：优于5×10</w:t>
            </w:r>
            <w:r>
              <w:rPr>
                <w:szCs w:val="21"/>
                <w:vertAlign w:val="superscript"/>
              </w:rPr>
              <w:t>-7</w:t>
            </w:r>
            <w:r>
              <w:rPr>
                <w:szCs w:val="21"/>
              </w:rPr>
              <w:t>。</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val="restart"/>
            <w:tcBorders>
              <w:top w:val="single" w:sz="4" w:space="0" w:color="auto"/>
              <w:left w:val="single" w:sz="4" w:space="0" w:color="auto"/>
              <w:right w:val="single" w:sz="4" w:space="0" w:color="auto"/>
            </w:tcBorders>
            <w:vAlign w:val="center"/>
          </w:tcPr>
          <w:p>
            <w:pPr>
              <w:jc w:val="center"/>
              <w:rPr>
                <w:szCs w:val="21"/>
              </w:rPr>
            </w:pPr>
            <w:r>
              <w:rPr>
                <w:szCs w:val="21"/>
              </w:rPr>
              <w:t>4</w:t>
            </w:r>
          </w:p>
        </w:tc>
        <w:tc>
          <w:tcPr>
            <w:tcW w:w="1223" w:type="dxa"/>
            <w:vMerge w:val="restart"/>
            <w:tcBorders>
              <w:top w:val="single" w:sz="4" w:space="0" w:color="auto"/>
              <w:left w:val="single" w:sz="4" w:space="0" w:color="auto"/>
              <w:right w:val="single" w:sz="4" w:space="0" w:color="auto"/>
            </w:tcBorders>
            <w:vAlign w:val="center"/>
          </w:tcPr>
          <w:p>
            <w:pPr>
              <w:jc w:val="center"/>
              <w:rPr>
                <w:szCs w:val="21"/>
              </w:rPr>
            </w:pPr>
            <w:r>
              <w:rPr>
                <w:szCs w:val="21"/>
              </w:rPr>
              <w:t>定位</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接收频率：BDS B1I，B1C；</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协议版本：NMEA0183，兼容北斗；</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通道数目：32通道及以上；</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冷启动时间：≤40s；</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热启动时间：≤3s；</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right w:val="single" w:sz="4" w:space="0" w:color="auto"/>
            </w:tcBorders>
            <w:vAlign w:val="center"/>
          </w:tcPr>
          <w:p>
            <w:pPr>
              <w:jc w:val="center"/>
              <w:rPr>
                <w:szCs w:val="21"/>
              </w:rPr>
            </w:pPr>
          </w:p>
        </w:tc>
        <w:tc>
          <w:tcPr>
            <w:tcW w:w="1223" w:type="dxa"/>
            <w:vMerge/>
            <w:tcBorders>
              <w:left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捕获灵敏度：-148dBm；</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bottom w:val="single" w:sz="4" w:space="0" w:color="auto"/>
              <w:right w:val="single" w:sz="4" w:space="0" w:color="auto"/>
            </w:tcBorders>
            <w:vAlign w:val="center"/>
          </w:tcPr>
          <w:p>
            <w:pPr>
              <w:jc w:val="cente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定位精度：&lt;10m。</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val="restart"/>
            <w:tcBorders>
              <w:top w:val="single" w:sz="4" w:space="0" w:color="auto"/>
              <w:left w:val="single" w:sz="4" w:space="0" w:color="auto"/>
              <w:right w:val="single" w:sz="4" w:space="0" w:color="auto"/>
            </w:tcBorders>
            <w:vAlign w:val="center"/>
          </w:tcPr>
          <w:p>
            <w:pPr>
              <w:jc w:val="center"/>
              <w:rPr>
                <w:szCs w:val="21"/>
              </w:rPr>
            </w:pPr>
            <w:r>
              <w:rPr>
                <w:szCs w:val="21"/>
              </w:rPr>
              <w:t>5</w:t>
            </w:r>
          </w:p>
        </w:tc>
        <w:tc>
          <w:tcPr>
            <w:tcW w:w="1223" w:type="dxa"/>
            <w:vMerge w:val="restart"/>
            <w:tcBorders>
              <w:top w:val="single" w:sz="4" w:space="0" w:color="auto"/>
              <w:left w:val="single" w:sz="4" w:space="0" w:color="auto"/>
              <w:right w:val="single" w:sz="4" w:space="0" w:color="auto"/>
            </w:tcBorders>
            <w:vAlign w:val="center"/>
          </w:tcPr>
          <w:p>
            <w:pPr>
              <w:jc w:val="center"/>
              <w:rPr>
                <w:szCs w:val="21"/>
              </w:rPr>
            </w:pPr>
            <w:r>
              <w:rPr>
                <w:rFonts w:ascii="宋体" w:hAnsi="宋体" w:hint="eastAsia"/>
                <w:sz w:val="18"/>
                <w:szCs w:val="18"/>
                <w:lang w:val="en-US" w:eastAsia="zh-CN"/>
              </w:rPr>
              <w:t>*</w:t>
            </w:r>
            <w:r>
              <w:rPr>
                <w:szCs w:val="21"/>
              </w:rPr>
              <w:t>加密</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支持加密方式：DES/TDES/AES/SHA1/SHA256/RSA/；</w:t>
            </w:r>
          </w:p>
          <w:p>
            <w:pPr>
              <w:rPr>
                <w:szCs w:val="21"/>
              </w:rPr>
            </w:pPr>
            <w:r>
              <w:rPr>
                <w:szCs w:val="21"/>
              </w:rPr>
              <w:t>国密SM1/2/3/4/7；</w:t>
            </w:r>
          </w:p>
        </w:tc>
      </w:tr>
      <w:tr>
        <w:tblPrEx>
          <w:tblW w:w="8045" w:type="dxa"/>
          <w:jc w:val="center"/>
          <w:tblLayout w:type="fixed"/>
          <w:tblCellMar>
            <w:top w:w="0" w:type="dxa"/>
            <w:left w:w="108" w:type="dxa"/>
            <w:bottom w:w="0" w:type="dxa"/>
            <w:right w:w="108" w:type="dxa"/>
          </w:tblCellMar>
        </w:tblPrEx>
        <w:trPr>
          <w:trHeight w:val="23"/>
          <w:jc w:val="center"/>
        </w:trPr>
        <w:tc>
          <w:tcPr>
            <w:tcW w:w="697" w:type="dxa"/>
            <w:vMerge/>
            <w:tcBorders>
              <w:left w:val="single" w:sz="4" w:space="0" w:color="auto"/>
              <w:bottom w:val="single" w:sz="4" w:space="0" w:color="auto"/>
              <w:right w:val="single" w:sz="4" w:space="0" w:color="auto"/>
            </w:tcBorders>
            <w:vAlign w:val="center"/>
          </w:tcPr>
          <w:p>
            <w:pPr>
              <w:jc w:val="center"/>
              <w:rPr>
                <w:szCs w:val="21"/>
              </w:rPr>
            </w:pPr>
          </w:p>
        </w:tc>
        <w:tc>
          <w:tcPr>
            <w:tcW w:w="1223" w:type="dxa"/>
            <w:vMerge/>
            <w:tcBorders>
              <w:left w:val="single" w:sz="4" w:space="0" w:color="auto"/>
              <w:bottom w:val="single" w:sz="4" w:space="0" w:color="auto"/>
              <w:right w:val="single" w:sz="4" w:space="0" w:color="auto"/>
            </w:tcBorders>
            <w:vAlign w:val="center"/>
          </w:tcPr>
          <w:p>
            <w:pPr>
              <w:rPr>
                <w:szCs w:val="21"/>
              </w:rPr>
            </w:pP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算法移植：支持，具备算法下载更新。</w:t>
            </w:r>
          </w:p>
        </w:tc>
      </w:tr>
      <w:tr>
        <w:tblPrEx>
          <w:tblW w:w="8045" w:type="dxa"/>
          <w:jc w:val="center"/>
          <w:tblLayout w:type="fixed"/>
          <w:tblCellMar>
            <w:top w:w="0" w:type="dxa"/>
            <w:left w:w="108" w:type="dxa"/>
            <w:bottom w:w="0" w:type="dxa"/>
            <w:right w:w="108" w:type="dxa"/>
          </w:tblCellMar>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6</w:t>
            </w:r>
          </w:p>
        </w:tc>
        <w:tc>
          <w:tcPr>
            <w:tcW w:w="1223"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4G</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网络制式：LTE FDD: B1/B3/B5/B8；</w:t>
            </w:r>
          </w:p>
          <w:p>
            <w:pPr>
              <w:rPr>
                <w:szCs w:val="21"/>
              </w:rPr>
            </w:pPr>
            <w:r>
              <w:rPr>
                <w:szCs w:val="21"/>
              </w:rPr>
              <w:t>LTE TDD: B34/B38/B39/B40/B41。</w:t>
            </w:r>
          </w:p>
        </w:tc>
      </w:tr>
      <w:tr>
        <w:tblPrEx>
          <w:tblW w:w="8045" w:type="dxa"/>
          <w:jc w:val="center"/>
          <w:tblLayout w:type="fixed"/>
          <w:tblCellMar>
            <w:top w:w="0" w:type="dxa"/>
            <w:left w:w="108" w:type="dxa"/>
            <w:bottom w:w="0" w:type="dxa"/>
            <w:right w:w="108" w:type="dxa"/>
          </w:tblCellMar>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7</w:t>
            </w:r>
          </w:p>
        </w:tc>
        <w:tc>
          <w:tcPr>
            <w:tcW w:w="1223"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WIFI</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网络制式：802.11 b/g/n。</w:t>
            </w:r>
          </w:p>
        </w:tc>
      </w:tr>
      <w:tr>
        <w:tblPrEx>
          <w:tblW w:w="8045" w:type="dxa"/>
          <w:jc w:val="center"/>
          <w:tblLayout w:type="fixed"/>
          <w:tblCellMar>
            <w:top w:w="0" w:type="dxa"/>
            <w:left w:w="108" w:type="dxa"/>
            <w:bottom w:w="0" w:type="dxa"/>
            <w:right w:w="108" w:type="dxa"/>
          </w:tblCellMar>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8</w:t>
            </w:r>
          </w:p>
        </w:tc>
        <w:tc>
          <w:tcPr>
            <w:tcW w:w="1223"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有线</w:t>
            </w:r>
          </w:p>
        </w:tc>
        <w:tc>
          <w:tcPr>
            <w:tcW w:w="6125" w:type="dxa"/>
            <w:tcBorders>
              <w:top w:val="single" w:sz="4" w:space="0" w:color="auto"/>
              <w:left w:val="nil"/>
              <w:bottom w:val="single" w:sz="4" w:space="0" w:color="auto"/>
              <w:right w:val="single" w:sz="4" w:space="0" w:color="auto"/>
            </w:tcBorders>
            <w:vAlign w:val="center"/>
          </w:tcPr>
          <w:p>
            <w:pPr>
              <w:rPr>
                <w:szCs w:val="21"/>
              </w:rPr>
            </w:pPr>
            <w:r>
              <w:rPr>
                <w:szCs w:val="21"/>
              </w:rPr>
              <w:t>RS485：默认参数：115200 8N1。</w:t>
            </w:r>
          </w:p>
        </w:tc>
      </w:tr>
    </w:tbl>
    <w:p>
      <w:pPr>
        <w:spacing w:line="360" w:lineRule="auto"/>
        <w:rPr>
          <w:rFonts w:ascii="宋体" w:hAnsi="宋体"/>
          <w:szCs w:val="21"/>
        </w:rPr>
      </w:pPr>
    </w:p>
    <w:p>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3</w:t>
      </w:r>
      <w:r>
        <w:rPr>
          <w:rFonts w:ascii="宋体" w:hAnsi="宋体" w:hint="eastAsia"/>
          <w:szCs w:val="21"/>
        </w:rPr>
        <w:fldChar w:fldCharType="end"/>
      </w:r>
      <w:r>
        <w:rPr>
          <w:rFonts w:ascii="宋体" w:hAnsi="宋体" w:hint="eastAsia"/>
          <w:szCs w:val="21"/>
        </w:rPr>
        <w:t>基于三码绑定的人影火箭发射安全锁控系统技术性能指标</w:t>
      </w:r>
    </w:p>
    <w:tbl>
      <w:tblPr>
        <w:tblStyle w:val="TableNormal"/>
        <w:tblW w:w="8163" w:type="dxa"/>
        <w:jc w:val="center"/>
        <w:tblLayout w:type="fixed"/>
        <w:tblCellMar>
          <w:top w:w="0" w:type="dxa"/>
          <w:left w:w="108" w:type="dxa"/>
          <w:bottom w:w="0" w:type="dxa"/>
          <w:right w:w="108" w:type="dxa"/>
        </w:tblCellMar>
      </w:tblPr>
      <w:tblGrid>
        <w:gridCol w:w="700"/>
        <w:gridCol w:w="1287"/>
        <w:gridCol w:w="6176"/>
      </w:tblGrid>
      <w:tr>
        <w:tblPrEx>
          <w:tblW w:w="8163" w:type="dxa"/>
          <w:jc w:val="center"/>
          <w:tblLayout w:type="fixed"/>
          <w:tblCellMar>
            <w:top w:w="0" w:type="dxa"/>
            <w:left w:w="108" w:type="dxa"/>
            <w:bottom w:w="0" w:type="dxa"/>
            <w:right w:w="108" w:type="dxa"/>
          </w:tblCellMar>
        </w:tblPrEx>
        <w:trPr>
          <w:trHeight w:val="227"/>
          <w:jc w:val="center"/>
        </w:trPr>
        <w:tc>
          <w:tcPr>
            <w:tcW w:w="700"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序号</w:t>
            </w:r>
          </w:p>
        </w:tc>
        <w:tc>
          <w:tcPr>
            <w:tcW w:w="1287"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项目内容</w:t>
            </w:r>
          </w:p>
        </w:tc>
        <w:tc>
          <w:tcPr>
            <w:tcW w:w="6176"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性能参数</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val="restart"/>
            <w:tcBorders>
              <w:left w:val="single" w:sz="4" w:space="0" w:color="auto"/>
              <w:right w:val="single" w:sz="4" w:space="0" w:color="auto"/>
            </w:tcBorders>
            <w:vAlign w:val="center"/>
          </w:tcPr>
          <w:p>
            <w:pPr>
              <w:jc w:val="center"/>
              <w:rPr>
                <w:szCs w:val="21"/>
              </w:rPr>
            </w:pPr>
            <w:r>
              <w:rPr>
                <w:szCs w:val="21"/>
              </w:rPr>
              <w:t>1</w:t>
            </w:r>
          </w:p>
        </w:tc>
        <w:tc>
          <w:tcPr>
            <w:tcW w:w="1287" w:type="dxa"/>
            <w:vMerge w:val="restart"/>
            <w:tcBorders>
              <w:top w:val="single" w:sz="4" w:space="0" w:color="auto"/>
              <w:left w:val="single" w:sz="4" w:space="0" w:color="auto"/>
              <w:right w:val="single" w:sz="4" w:space="0" w:color="auto"/>
            </w:tcBorders>
            <w:vAlign w:val="center"/>
          </w:tcPr>
          <w:p>
            <w:pPr>
              <w:rPr>
                <w:szCs w:val="21"/>
              </w:rPr>
            </w:pPr>
            <w:r>
              <w:rPr>
                <w:rFonts w:ascii="宋体" w:hAnsi="宋体" w:hint="eastAsia"/>
                <w:sz w:val="18"/>
                <w:szCs w:val="18"/>
                <w:lang w:eastAsia="zh-CN"/>
              </w:rPr>
              <w:t>#</w:t>
            </w:r>
            <w:r>
              <w:rPr>
                <w:szCs w:val="21"/>
              </w:rPr>
              <w:t>解锁控制器</w:t>
            </w: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每通道输出最大电流≤3mA；</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读UID指令执行时间＜1秒；</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弹药解锁指令执行时间＜3秒；</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通道数</w:t>
            </w:r>
            <w:r>
              <w:rPr>
                <w:rFonts w:hint="eastAsia"/>
                <w:szCs w:val="21"/>
              </w:rPr>
              <w:t>≥</w:t>
            </w:r>
            <w:r>
              <w:rPr>
                <w:szCs w:val="21"/>
              </w:rPr>
              <w:t>12个；</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工作温度：-40℃～+75℃；</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输入电源电压范围：12V～48V；</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bottom w:val="single" w:sz="4" w:space="0" w:color="auto"/>
              <w:right w:val="single" w:sz="4" w:space="0" w:color="auto"/>
            </w:tcBorders>
            <w:vAlign w:val="center"/>
          </w:tcPr>
          <w:p>
            <w:pPr>
              <w:jc w:val="center"/>
              <w:rPr>
                <w:szCs w:val="21"/>
              </w:rPr>
            </w:pPr>
          </w:p>
        </w:tc>
        <w:tc>
          <w:tcPr>
            <w:tcW w:w="1287" w:type="dxa"/>
            <w:vMerge/>
            <w:tcBorders>
              <w:left w:val="single" w:sz="4" w:space="0" w:color="auto"/>
              <w:bottom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RS485和RS232接口。</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val="restart"/>
            <w:tcBorders>
              <w:top w:val="single" w:sz="4" w:space="0" w:color="auto"/>
              <w:left w:val="single" w:sz="4" w:space="0" w:color="auto"/>
              <w:right w:val="single" w:sz="4" w:space="0" w:color="auto"/>
            </w:tcBorders>
            <w:vAlign w:val="center"/>
          </w:tcPr>
          <w:p>
            <w:pPr>
              <w:jc w:val="center"/>
              <w:rPr>
                <w:szCs w:val="21"/>
              </w:rPr>
            </w:pPr>
            <w:r>
              <w:rPr>
                <w:szCs w:val="21"/>
              </w:rPr>
              <w:t>2</w:t>
            </w:r>
          </w:p>
        </w:tc>
        <w:tc>
          <w:tcPr>
            <w:tcW w:w="1287" w:type="dxa"/>
            <w:vMerge w:val="restart"/>
            <w:tcBorders>
              <w:top w:val="single" w:sz="4" w:space="0" w:color="auto"/>
              <w:left w:val="single" w:sz="4" w:space="0" w:color="auto"/>
              <w:right w:val="single" w:sz="4" w:space="0" w:color="auto"/>
            </w:tcBorders>
            <w:vAlign w:val="center"/>
          </w:tcPr>
          <w:p>
            <w:pPr>
              <w:rPr>
                <w:szCs w:val="21"/>
              </w:rPr>
            </w:pPr>
            <w:r>
              <w:rPr>
                <w:szCs w:val="21"/>
              </w:rPr>
              <w:t>数码模块</w:t>
            </w: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工作电压：5V～80V；</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待机电流：＜0.2mA；</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解锁后插入电阻：＜0.5Ω；</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通信方式：双向无极性；</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解锁保持时间：≤300秒；</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保持时间设定范围：0～300秒，步长1秒；</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操作温度：-40℃～+75℃；</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存储温度：-55℃～+65℃；</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抗交流：380VAC；</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抗高压脉冲：2000V@100μF；</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right w:val="single" w:sz="4" w:space="0" w:color="auto"/>
            </w:tcBorders>
            <w:vAlign w:val="center"/>
          </w:tcPr>
          <w:p>
            <w:pPr>
              <w:jc w:val="center"/>
              <w:rPr>
                <w:szCs w:val="21"/>
              </w:rPr>
            </w:pPr>
          </w:p>
        </w:tc>
        <w:tc>
          <w:tcPr>
            <w:tcW w:w="1287" w:type="dxa"/>
            <w:vMerge/>
            <w:tcBorders>
              <w:left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抗静电：25kV@500pF/5kΩ。</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val="restart"/>
            <w:tcBorders>
              <w:top w:val="single" w:sz="4" w:space="0" w:color="auto"/>
              <w:left w:val="single" w:sz="4" w:space="0" w:color="auto"/>
              <w:right w:val="single" w:sz="4" w:space="0" w:color="auto"/>
            </w:tcBorders>
            <w:vAlign w:val="center"/>
          </w:tcPr>
          <w:p>
            <w:pPr>
              <w:jc w:val="center"/>
              <w:rPr>
                <w:szCs w:val="21"/>
              </w:rPr>
            </w:pPr>
            <w:r>
              <w:rPr>
                <w:szCs w:val="21"/>
              </w:rPr>
              <w:t>3</w:t>
            </w:r>
          </w:p>
        </w:tc>
        <w:tc>
          <w:tcPr>
            <w:tcW w:w="1287" w:type="dxa"/>
            <w:vMerge w:val="restart"/>
            <w:tcBorders>
              <w:top w:val="single" w:sz="4" w:space="0" w:color="auto"/>
              <w:left w:val="single" w:sz="4" w:space="0" w:color="auto"/>
              <w:right w:val="single" w:sz="4" w:space="0" w:color="auto"/>
            </w:tcBorders>
            <w:vAlign w:val="center"/>
          </w:tcPr>
          <w:p>
            <w:pPr>
              <w:rPr>
                <w:szCs w:val="21"/>
              </w:rPr>
            </w:pPr>
            <w:r>
              <w:rPr>
                <w:szCs w:val="21"/>
              </w:rPr>
              <w:t>注码设备</w:t>
            </w: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输出短路电流＜3mA；</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left w:val="single" w:sz="4" w:space="0" w:color="auto"/>
              <w:bottom w:val="single" w:sz="4" w:space="0" w:color="auto"/>
              <w:right w:val="single" w:sz="4" w:space="0" w:color="auto"/>
            </w:tcBorders>
            <w:vAlign w:val="center"/>
          </w:tcPr>
          <w:p>
            <w:pPr>
              <w:jc w:val="center"/>
              <w:rPr>
                <w:szCs w:val="21"/>
              </w:rPr>
            </w:pPr>
          </w:p>
        </w:tc>
        <w:tc>
          <w:tcPr>
            <w:tcW w:w="1287" w:type="dxa"/>
            <w:vMerge/>
            <w:tcBorders>
              <w:left w:val="single" w:sz="4" w:space="0" w:color="auto"/>
              <w:bottom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开路电压＜510V。</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4</w:t>
            </w:r>
          </w:p>
        </w:tc>
        <w:tc>
          <w:tcPr>
            <w:tcW w:w="1287" w:type="dxa"/>
            <w:tcBorders>
              <w:top w:val="single" w:sz="4" w:space="0" w:color="auto"/>
              <w:left w:val="single" w:sz="4" w:space="0" w:color="auto"/>
              <w:bottom w:val="single" w:sz="4" w:space="0" w:color="auto"/>
              <w:right w:val="single" w:sz="4" w:space="0" w:color="auto"/>
            </w:tcBorders>
            <w:vAlign w:val="center"/>
          </w:tcPr>
          <w:p>
            <w:pPr>
              <w:rPr>
                <w:szCs w:val="21"/>
              </w:rPr>
            </w:pPr>
            <w:r>
              <w:rPr>
                <w:szCs w:val="21"/>
              </w:rPr>
              <w:t>供电要求</w:t>
            </w: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12V～48V宽电压输入；</w:t>
            </w:r>
          </w:p>
          <w:p>
            <w:pPr>
              <w:rPr>
                <w:szCs w:val="21"/>
              </w:rPr>
            </w:pPr>
            <w:r>
              <w:rPr>
                <w:szCs w:val="21"/>
              </w:rPr>
              <w:t>连续工作时间：≥8 h；</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pPr>
              <w:jc w:val="center"/>
              <w:rPr>
                <w:szCs w:val="21"/>
              </w:rPr>
            </w:pPr>
            <w:r>
              <w:rPr>
                <w:szCs w:val="21"/>
              </w:rPr>
              <w:t>5</w:t>
            </w:r>
          </w:p>
        </w:tc>
        <w:tc>
          <w:tcPr>
            <w:tcW w:w="1287" w:type="dxa"/>
            <w:vMerge w:val="restart"/>
            <w:tcBorders>
              <w:top w:val="single" w:sz="4" w:space="0" w:color="auto"/>
              <w:left w:val="single" w:sz="4" w:space="0" w:color="auto"/>
              <w:bottom w:val="single" w:sz="4" w:space="0" w:color="auto"/>
              <w:right w:val="single" w:sz="4" w:space="0" w:color="auto"/>
            </w:tcBorders>
            <w:vAlign w:val="center"/>
          </w:tcPr>
          <w:p>
            <w:pPr>
              <w:rPr>
                <w:szCs w:val="21"/>
              </w:rPr>
            </w:pPr>
            <w:r>
              <w:rPr>
                <w:szCs w:val="21"/>
              </w:rPr>
              <w:t>环境要求</w:t>
            </w: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操作温度：-40℃～+60℃（电气部分）；</w:t>
            </w:r>
          </w:p>
        </w:tc>
      </w:tr>
      <w:tr>
        <w:tblPrEx>
          <w:tblW w:w="8163" w:type="dxa"/>
          <w:jc w:val="center"/>
          <w:tblLayout w:type="fixed"/>
          <w:tblCellMar>
            <w:top w:w="0" w:type="dxa"/>
            <w:left w:w="108" w:type="dxa"/>
            <w:bottom w:w="0" w:type="dxa"/>
            <w:right w:w="108" w:type="dxa"/>
          </w:tblCellMar>
        </w:tblPrEx>
        <w:trPr>
          <w:trHeight w:val="227"/>
          <w:jc w:val="center"/>
        </w:trPr>
        <w:tc>
          <w:tcPr>
            <w:tcW w:w="700" w:type="dxa"/>
            <w:vMerge/>
            <w:tcBorders>
              <w:top w:val="single" w:sz="4" w:space="0" w:color="auto"/>
              <w:left w:val="single" w:sz="4" w:space="0" w:color="auto"/>
              <w:bottom w:val="single" w:sz="4" w:space="0" w:color="auto"/>
              <w:right w:val="single" w:sz="4" w:space="0" w:color="auto"/>
            </w:tcBorders>
            <w:vAlign w:val="center"/>
          </w:tcPr>
          <w:p>
            <w:pPr>
              <w:jc w:val="center"/>
              <w:rPr>
                <w:szCs w:val="21"/>
              </w:rPr>
            </w:pPr>
          </w:p>
        </w:tc>
        <w:tc>
          <w:tcPr>
            <w:tcW w:w="1287" w:type="dxa"/>
            <w:vMerge/>
            <w:tcBorders>
              <w:top w:val="single" w:sz="4" w:space="0" w:color="auto"/>
              <w:left w:val="single" w:sz="4" w:space="0" w:color="auto"/>
              <w:bottom w:val="single" w:sz="4" w:space="0" w:color="auto"/>
              <w:right w:val="single" w:sz="4" w:space="0" w:color="auto"/>
            </w:tcBorders>
            <w:vAlign w:val="center"/>
          </w:tcPr>
          <w:p>
            <w:pPr>
              <w:rPr>
                <w:szCs w:val="21"/>
              </w:rPr>
            </w:pPr>
          </w:p>
        </w:tc>
        <w:tc>
          <w:tcPr>
            <w:tcW w:w="6176" w:type="dxa"/>
            <w:tcBorders>
              <w:top w:val="single" w:sz="4" w:space="0" w:color="auto"/>
              <w:left w:val="nil"/>
              <w:bottom w:val="single" w:sz="4" w:space="0" w:color="auto"/>
              <w:right w:val="single" w:sz="4" w:space="0" w:color="auto"/>
            </w:tcBorders>
            <w:vAlign w:val="center"/>
          </w:tcPr>
          <w:p>
            <w:pPr>
              <w:rPr>
                <w:szCs w:val="21"/>
              </w:rPr>
            </w:pPr>
            <w:r>
              <w:rPr>
                <w:szCs w:val="21"/>
              </w:rPr>
              <w:t>湿度：5%～100%RH（无冷凝）。</w:t>
            </w:r>
          </w:p>
        </w:tc>
      </w:tr>
    </w:tbl>
    <w:p>
      <w:pPr>
        <w:tabs>
          <w:tab w:val="left" w:pos="432"/>
        </w:tabs>
        <w:spacing w:before="312" w:beforeLines="100"/>
        <w:ind w:firstLine="420" w:firstLineChars="200"/>
        <w:rPr>
          <w:rFonts w:ascii="宋体" w:hAnsi="宋体"/>
          <w:szCs w:val="21"/>
        </w:rPr>
      </w:pPr>
      <w:r>
        <w:rPr>
          <w:rFonts w:ascii="宋体" w:hAnsi="宋体" w:hint="eastAsia"/>
          <w:szCs w:val="21"/>
        </w:rPr>
        <w:t>四、投标报价包含范围</w:t>
      </w:r>
    </w:p>
    <w:p>
      <w:pPr>
        <w:pStyle w:val="ListParagraph"/>
        <w:numPr>
          <w:ilvl w:val="12"/>
          <w:numId w:val="0"/>
        </w:numPr>
        <w:spacing w:before="312" w:beforeLines="100"/>
        <w:ind w:firstLine="420" w:firstLineChars="200"/>
        <w:rPr>
          <w:rFonts w:ascii="宋体" w:eastAsia="宋体" w:hAnsi="宋体" w:cs="宋体"/>
          <w:szCs w:val="21"/>
        </w:rPr>
      </w:pPr>
      <w:r>
        <w:rPr>
          <w:rFonts w:ascii="宋体" w:eastAsia="宋体" w:hAnsi="宋体" w:cs="宋体" w:hint="eastAsia"/>
          <w:color w:val="auto"/>
          <w:kern w:val="2"/>
          <w:szCs w:val="21"/>
          <w:lang w:val="en-US"/>
        </w:rPr>
        <w:t>投标报价包括但不限于设备和材料（含采购、交通、运输）、税费、保险费用、专用工具费、检测费用、安装(包括但不限于因包装不良造成的损失和由此产生的费用，因投标人提供设备所需安装要求而产生的用电、用水、用气等场地改造费用、人工、材料、电缆线、二级配电箱、桥架、水管、气管等费用）、调试、验收、技术服务费用、质保期的售后服务费用、培训费用、利润、税款、风险费、总包管理与配合费用及政策性文件规定的</w:t>
      </w:r>
      <w:r>
        <w:rPr>
          <w:rFonts w:ascii="宋体" w:eastAsia="宋体" w:hAnsi="宋体" w:cs="宋体" w:hint="eastAsia"/>
          <w:szCs w:val="21"/>
        </w:rPr>
        <w:t>各项应有费用及可合理推断的责任和义务。采购人现场仅提供基本条件（含基本用电、用水、用气等）。</w:t>
      </w:r>
    </w:p>
    <w:p>
      <w:pPr>
        <w:numPr>
          <w:ilvl w:val="0"/>
          <w:numId w:val="4"/>
        </w:numPr>
        <w:tabs>
          <w:tab w:val="left" w:pos="432"/>
        </w:tabs>
        <w:spacing w:before="312" w:beforeLines="100"/>
        <w:ind w:firstLine="420" w:firstLineChars="200"/>
        <w:rPr>
          <w:rFonts w:ascii="宋体" w:eastAsia="宋体" w:hAnsi="宋体" w:cs="宋体" w:hint="eastAsia"/>
          <w:szCs w:val="21"/>
        </w:rPr>
      </w:pPr>
      <w:r>
        <w:rPr>
          <w:rFonts w:ascii="宋体" w:eastAsia="宋体" w:hAnsi="宋体" w:cs="宋体" w:hint="eastAsia"/>
          <w:szCs w:val="21"/>
        </w:rPr>
        <w:t>供货要求</w:t>
      </w:r>
    </w:p>
    <w:p>
      <w:pPr>
        <w:numPr>
          <w:numId w:val="0"/>
        </w:numPr>
        <w:tabs>
          <w:tab w:val="left" w:pos="432"/>
        </w:tabs>
        <w:spacing w:before="312" w:beforeLines="100"/>
        <w:ind w:firstLine="420" w:firstLineChars="200"/>
        <w:rPr>
          <w:rFonts w:ascii="宋体" w:eastAsia="宋体" w:hAnsi="宋体" w:cs="宋体" w:hint="eastAsia"/>
          <w:szCs w:val="21"/>
        </w:rPr>
      </w:pPr>
      <w:r>
        <w:rPr>
          <w:rFonts w:ascii="宋体" w:eastAsia="宋体" w:hAnsi="宋体" w:cs="宋体" w:hint="eastAsia"/>
          <w:szCs w:val="21"/>
          <w:lang w:eastAsia="zh-CN"/>
        </w:rPr>
        <w:t>交货期：</w:t>
      </w:r>
      <w:r>
        <w:rPr>
          <w:rFonts w:ascii="宋体" w:eastAsia="宋体" w:hAnsi="宋体" w:cs="宋体" w:hint="eastAsia"/>
          <w:szCs w:val="21"/>
        </w:rPr>
        <w:t>合同签订后120天内交货并完成安装调试具备验收条件</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设备的包装必须是制造商原厂包装，其包装均应有良好的防湿、防锈、防潮、防雨、防腐及防碰撞的措施。</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中标人负责将货物到现场过程中的全部运输，包括装卸车、货物现场的搬运。</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设备必须提供装箱清单，按装箱清单验收货物。并出具出厂合格证，序列号、包装箱号与出厂批号一致，并可追索查阅。所有随设备的附件必须齐全。</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中标人应将关键主机设备的用户手册、保修手册、有关单证资料及配备件、随机工具等交付给采购人，使用操作及安全须知等重要资料应附有中文说明。</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设备的拆箱、安装、调试等工作由中标人负责，但必须在采购人指定人员的参与下进行。在实际实施前必须先经采购人同意方可进行，调试的原始记录须经各方签字后作为验收的文件组成部分。</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中标人应出具针对本项目的详细验收方案。</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主要设备仪器在产品到货验收时，必须有制造商技术人员现场协助，此验收报告作为项目验收必备文件。</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验收由采购人、中标人及相关人员依据国家有关标准、合同及有关附件要求进行。</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供货地点：</w:t>
      </w:r>
      <w:r>
        <w:rPr>
          <w:rFonts w:ascii="宋体" w:eastAsia="宋体" w:hAnsi="宋体" w:cs="宋体" w:hint="eastAsia"/>
          <w:szCs w:val="21"/>
          <w:lang w:val="en-US"/>
        </w:rPr>
        <w:t>河南</w:t>
      </w:r>
      <w:r>
        <w:rPr>
          <w:rFonts w:ascii="宋体" w:eastAsia="宋体" w:hAnsi="宋体" w:cs="宋体" w:hint="eastAsia"/>
          <w:szCs w:val="21"/>
        </w:rPr>
        <w:t>省内用户指定地点。</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中标人负责本项目所有设备的安装调试以及所有必需的线材与备件等。</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中标人应设安装负责人，负责安装协调管理工作。</w:t>
      </w:r>
    </w:p>
    <w:p>
      <w:pPr>
        <w:pStyle w:val="ListParagraph"/>
        <w:numPr>
          <w:ilvl w:val="0"/>
          <w:numId w:val="5"/>
        </w:numPr>
        <w:spacing w:line="360" w:lineRule="auto"/>
        <w:ind w:left="0" w:firstLine="420"/>
        <w:rPr>
          <w:rFonts w:ascii="宋体" w:eastAsia="宋体" w:hAnsi="宋体" w:cs="宋体"/>
          <w:szCs w:val="21"/>
        </w:rPr>
      </w:pPr>
      <w:r>
        <w:rPr>
          <w:rFonts w:ascii="宋体" w:eastAsia="宋体" w:hAnsi="宋体" w:cs="宋体" w:hint="eastAsia"/>
          <w:szCs w:val="21"/>
        </w:rPr>
        <w:t>安装所需工具设施物料由中标人自备、自费运到现场，完工后自费搬走。</w:t>
      </w:r>
    </w:p>
    <w:p>
      <w:pPr>
        <w:tabs>
          <w:tab w:val="left" w:pos="432"/>
        </w:tabs>
        <w:spacing w:before="312" w:beforeLines="100"/>
        <w:ind w:firstLine="420" w:firstLineChars="200"/>
        <w:rPr>
          <w:rFonts w:ascii="宋体" w:hAnsi="宋体" w:cs="宋体"/>
          <w:szCs w:val="21"/>
        </w:rPr>
      </w:pPr>
      <w:r>
        <w:rPr>
          <w:rFonts w:ascii="宋体" w:eastAsia="宋体" w:hAnsi="宋体" w:cs="宋体" w:hint="eastAsia"/>
          <w:szCs w:val="21"/>
        </w:rPr>
        <w:t>六、验收要求</w:t>
      </w:r>
    </w:p>
    <w:p>
      <w:pPr>
        <w:spacing w:line="360" w:lineRule="auto"/>
        <w:ind w:firstLine="420" w:firstLineChars="200"/>
        <w:rPr>
          <w:rFonts w:ascii="宋体" w:hAnsi="宋体" w:cs="宋体"/>
          <w:szCs w:val="21"/>
        </w:rPr>
      </w:pPr>
      <w:r>
        <w:rPr>
          <w:rFonts w:ascii="宋体" w:eastAsia="宋体" w:hAnsi="宋体" w:cs="宋体" w:hint="eastAsia"/>
          <w:szCs w:val="21"/>
        </w:rPr>
        <w:t>验收程序：设备全部到场后由采购人组织进行货物进场验收，进场验收通过后，中标人进行安装调试工作，安装调试完毕后，由采购人组织进行合同验收。</w:t>
      </w:r>
    </w:p>
    <w:p>
      <w:pPr>
        <w:spacing w:line="360" w:lineRule="auto"/>
        <w:ind w:firstLine="420" w:firstLineChars="200"/>
        <w:rPr>
          <w:rFonts w:ascii="宋体" w:hAnsi="宋体" w:cs="宋体"/>
          <w:szCs w:val="21"/>
        </w:rPr>
      </w:pPr>
      <w:r>
        <w:rPr>
          <w:rFonts w:ascii="宋体" w:eastAsia="宋体" w:hAnsi="宋体" w:cs="宋体" w:hint="eastAsia"/>
          <w:szCs w:val="21"/>
        </w:rPr>
        <w:t>设备进场验收</w:t>
      </w:r>
    </w:p>
    <w:p>
      <w:pPr>
        <w:spacing w:line="360" w:lineRule="auto"/>
        <w:ind w:firstLine="420" w:firstLineChars="200"/>
        <w:rPr>
          <w:rFonts w:ascii="宋体" w:hAnsi="宋体" w:cs="宋体"/>
          <w:szCs w:val="21"/>
        </w:rPr>
      </w:pPr>
      <w:r>
        <w:rPr>
          <w:rFonts w:ascii="宋体" w:eastAsia="宋体" w:hAnsi="宋体" w:cs="宋体" w:hint="eastAsia"/>
          <w:szCs w:val="21"/>
        </w:rPr>
        <w:t>设备到货验收前，中标人应提供材料设备清单、设备原厂证明、产品合格证、材料自检证明、报关单（若有）等资料。</w:t>
      </w:r>
    </w:p>
    <w:p>
      <w:pPr>
        <w:spacing w:line="360" w:lineRule="auto"/>
        <w:ind w:firstLine="420" w:firstLineChars="200"/>
        <w:rPr>
          <w:rFonts w:ascii="宋体" w:hAnsi="宋体" w:cs="宋体"/>
          <w:szCs w:val="21"/>
        </w:rPr>
      </w:pPr>
      <w:r>
        <w:rPr>
          <w:rFonts w:ascii="宋体" w:eastAsia="宋体" w:hAnsi="宋体" w:cs="宋体" w:hint="eastAsia"/>
          <w:szCs w:val="21"/>
        </w:rPr>
        <w:t>设备全部到货后，由采购人或者采购人委托的监理组织到货检验。</w:t>
      </w:r>
    </w:p>
    <w:p>
      <w:pPr>
        <w:spacing w:line="360" w:lineRule="auto"/>
        <w:ind w:firstLine="420" w:firstLineChars="200"/>
        <w:rPr>
          <w:rFonts w:ascii="宋体" w:hAnsi="宋体" w:cs="宋体"/>
          <w:szCs w:val="21"/>
        </w:rPr>
      </w:pPr>
      <w:r>
        <w:rPr>
          <w:rFonts w:ascii="宋体" w:eastAsia="宋体" w:hAnsi="宋体" w:cs="宋体" w:hint="eastAsia"/>
          <w:szCs w:val="21"/>
        </w:rPr>
        <w:t>如设备测试中发现设备性能指标或功能上不符合公开招标文件和合同要求时，将被看作性能不合格，采购人有权拒收。</w:t>
      </w:r>
    </w:p>
    <w:p>
      <w:pPr>
        <w:spacing w:line="360" w:lineRule="auto"/>
        <w:ind w:firstLine="420" w:firstLineChars="200"/>
        <w:rPr>
          <w:rFonts w:ascii="宋体" w:hAnsi="宋体" w:cs="宋体"/>
          <w:szCs w:val="21"/>
        </w:rPr>
      </w:pPr>
      <w:r>
        <w:rPr>
          <w:rFonts w:ascii="宋体" w:eastAsia="宋体" w:hAnsi="宋体" w:cs="宋体" w:hint="eastAsia"/>
          <w:szCs w:val="21"/>
        </w:rPr>
        <w:t>到货检验需要采购人或监理工程师在到货检验报告上签署意见，由采购方最后签字认可。</w:t>
      </w:r>
    </w:p>
    <w:p>
      <w:pPr>
        <w:spacing w:line="360" w:lineRule="auto"/>
        <w:ind w:firstLine="420" w:firstLineChars="200"/>
        <w:rPr>
          <w:rFonts w:ascii="宋体" w:hAnsi="宋体" w:cs="宋体"/>
          <w:szCs w:val="21"/>
        </w:rPr>
      </w:pPr>
      <w:r>
        <w:rPr>
          <w:rFonts w:ascii="宋体" w:eastAsia="宋体" w:hAnsi="宋体" w:cs="宋体" w:hint="eastAsia"/>
          <w:szCs w:val="21"/>
        </w:rPr>
        <w:t>合同验收</w:t>
      </w:r>
    </w:p>
    <w:p>
      <w:pPr>
        <w:spacing w:line="360" w:lineRule="auto"/>
        <w:ind w:firstLine="420" w:firstLineChars="200"/>
        <w:rPr>
          <w:rFonts w:ascii="宋体" w:hAnsi="宋体" w:cs="宋体"/>
          <w:szCs w:val="21"/>
        </w:rPr>
      </w:pPr>
      <w:r>
        <w:rPr>
          <w:rFonts w:ascii="宋体" w:eastAsia="宋体" w:hAnsi="宋体" w:cs="宋体" w:hint="eastAsia"/>
          <w:szCs w:val="21"/>
        </w:rPr>
        <w:t>采购人将按照政府采购合同规定的技术、服务、安全标准组织对投标人履约情况进行验收并出具验收书。验收书应当包括每一项技术、服务、安全标准的履约情况。所有验收结果经双方确认后，双方代表必须按规定的验收交接单上的项目对照本合同填好验收结果并签名盖章。</w:t>
      </w:r>
    </w:p>
    <w:p>
      <w:pPr>
        <w:spacing w:line="360" w:lineRule="auto"/>
        <w:ind w:firstLine="420" w:firstLineChars="200"/>
        <w:rPr>
          <w:rFonts w:ascii="宋体" w:hAnsi="宋体" w:cs="宋体"/>
          <w:szCs w:val="21"/>
        </w:rPr>
      </w:pPr>
      <w:r>
        <w:rPr>
          <w:rFonts w:ascii="宋体" w:eastAsia="宋体" w:hAnsi="宋体" w:cs="宋体" w:hint="eastAsia"/>
          <w:szCs w:val="21"/>
        </w:rPr>
        <w:t>在验收期间，如果设备出现重大问题，中标人应在1个工作日内解决该问题，中标人应对所有设备和配套工程负全部责任。</w:t>
      </w:r>
    </w:p>
    <w:p>
      <w:pPr>
        <w:spacing w:line="360" w:lineRule="auto"/>
        <w:ind w:firstLine="420" w:firstLineChars="200"/>
        <w:rPr>
          <w:rFonts w:ascii="宋体" w:hAnsi="宋体" w:cs="宋体"/>
          <w:szCs w:val="21"/>
        </w:rPr>
      </w:pPr>
      <w:r>
        <w:rPr>
          <w:rFonts w:ascii="宋体" w:eastAsia="宋体" w:hAnsi="宋体" w:cs="宋体" w:hint="eastAsia"/>
          <w:szCs w:val="21"/>
        </w:rPr>
        <w:t>所有设备的修改和调整都应在验收结束后写入操作和维修手册中，中标人应给出修复的全部细节。</w:t>
      </w:r>
    </w:p>
    <w:p>
      <w:pPr>
        <w:spacing w:line="360" w:lineRule="auto"/>
        <w:ind w:firstLine="420" w:firstLineChars="200"/>
        <w:rPr>
          <w:rFonts w:ascii="宋体" w:hAnsi="宋体" w:cs="宋体"/>
          <w:szCs w:val="21"/>
        </w:rPr>
      </w:pPr>
      <w:r>
        <w:rPr>
          <w:rFonts w:ascii="宋体" w:eastAsia="宋体" w:hAnsi="宋体" w:cs="宋体" w:hint="eastAsia"/>
          <w:szCs w:val="21"/>
        </w:rPr>
        <w:t>中标人提供约定的备件、用户手册、维修手册，软件安装光盘及使用手册，日常维修工具等。</w:t>
      </w:r>
    </w:p>
    <w:p>
      <w:pPr>
        <w:spacing w:line="360" w:lineRule="auto"/>
        <w:ind w:firstLine="420" w:firstLineChars="200"/>
        <w:rPr>
          <w:rFonts w:ascii="宋体" w:hAnsi="宋体" w:cs="宋体"/>
          <w:szCs w:val="21"/>
        </w:rPr>
      </w:pPr>
      <w:r>
        <w:rPr>
          <w:rFonts w:ascii="宋体" w:eastAsia="宋体" w:hAnsi="宋体" w:cs="宋体" w:hint="eastAsia"/>
          <w:szCs w:val="21"/>
        </w:rPr>
        <w:t>验收按照采购人的内部规定操作。通过验收后，需要中标人、采购人双方在验收报告上签字盖章，签字盖章后视为验收通过。</w:t>
      </w:r>
    </w:p>
    <w:p>
      <w:pPr>
        <w:spacing w:line="360" w:lineRule="auto"/>
        <w:ind w:firstLine="420" w:firstLineChars="200"/>
        <w:rPr>
          <w:rFonts w:ascii="宋体" w:hAnsi="宋体" w:cs="宋体"/>
          <w:szCs w:val="21"/>
        </w:rPr>
      </w:pPr>
      <w:r>
        <w:rPr>
          <w:rFonts w:ascii="宋体" w:eastAsia="宋体" w:hAnsi="宋体" w:cs="宋体" w:hint="eastAsia"/>
          <w:szCs w:val="21"/>
        </w:rPr>
        <w:t>验收过程中，若发现货物质量有问题，投标人应无条件免费更换，并无条件重新检测并调试直至验收合格交付采购人使用。在此期间，投标人在采购人现场进行安装、调试直至验收所发生的一切费用由投标人承担且已含在报价总价中。</w:t>
      </w:r>
    </w:p>
    <w:p>
      <w:pPr>
        <w:tabs>
          <w:tab w:val="left" w:pos="432"/>
        </w:tabs>
        <w:spacing w:before="312" w:beforeLines="100"/>
        <w:ind w:firstLine="420" w:firstLineChars="200"/>
        <w:rPr>
          <w:rFonts w:ascii="宋体" w:hAnsi="宋体" w:cs="宋体"/>
          <w:szCs w:val="21"/>
        </w:rPr>
      </w:pPr>
      <w:r>
        <w:rPr>
          <w:rFonts w:ascii="宋体" w:eastAsia="宋体" w:hAnsi="宋体" w:cs="宋体" w:hint="eastAsia"/>
          <w:szCs w:val="21"/>
        </w:rPr>
        <w:t>七、质量保证期（质保期）</w:t>
      </w:r>
    </w:p>
    <w:p>
      <w:pPr>
        <w:pStyle w:val="ListParagraph"/>
        <w:numPr>
          <w:ilvl w:val="0"/>
          <w:numId w:val="6"/>
        </w:numPr>
        <w:spacing w:line="360" w:lineRule="auto"/>
        <w:ind w:left="0" w:firstLine="420"/>
        <w:rPr>
          <w:rFonts w:ascii="宋体" w:eastAsia="宋体" w:hAnsi="宋体" w:cs="宋体"/>
          <w:szCs w:val="21"/>
        </w:rPr>
      </w:pPr>
      <w:r>
        <w:rPr>
          <w:rFonts w:ascii="宋体" w:eastAsia="宋体" w:hAnsi="宋体" w:cs="宋体" w:hint="eastAsia"/>
          <w:szCs w:val="21"/>
        </w:rPr>
        <w:t>质量保证期（质保期）：整体系统通过最终验收合格之日起计，连续正常使用累计满</w:t>
      </w:r>
      <w:r>
        <w:rPr>
          <w:rFonts w:ascii="宋体" w:eastAsia="宋体" w:hAnsi="宋体" w:cs="宋体" w:hint="eastAsia"/>
          <w:szCs w:val="21"/>
          <w:lang w:val="en-US"/>
        </w:rPr>
        <w:t>捌</w:t>
      </w:r>
      <w:r>
        <w:rPr>
          <w:rFonts w:ascii="宋体" w:eastAsia="宋体" w:hAnsi="宋体" w:cs="宋体" w:hint="eastAsia"/>
          <w:szCs w:val="21"/>
        </w:rPr>
        <w:t>年。质保期内中标人应确保系统运行正常，并负责免费保修，排除故障，无偿更换或修复功能失效或损坏的部件。</w:t>
      </w:r>
    </w:p>
    <w:p>
      <w:pPr>
        <w:pStyle w:val="ListParagraph"/>
        <w:numPr>
          <w:ilvl w:val="0"/>
          <w:numId w:val="6"/>
        </w:numPr>
        <w:spacing w:line="360" w:lineRule="auto"/>
        <w:ind w:left="0" w:firstLine="420"/>
        <w:rPr>
          <w:rFonts w:ascii="宋体" w:eastAsia="宋体" w:hAnsi="宋体" w:cs="宋体"/>
          <w:szCs w:val="21"/>
        </w:rPr>
      </w:pPr>
      <w:r>
        <w:rPr>
          <w:rFonts w:ascii="宋体" w:eastAsia="宋体" w:hAnsi="宋体" w:cs="宋体" w:hint="eastAsia"/>
          <w:szCs w:val="21"/>
        </w:rPr>
        <w:t>软件免费升级服务期为整体系统通过最终验收合格之日起计</w:t>
      </w:r>
      <w:r>
        <w:rPr>
          <w:rFonts w:ascii="宋体" w:eastAsia="宋体" w:hAnsi="宋体" w:cs="宋体" w:hint="eastAsia"/>
          <w:szCs w:val="21"/>
          <w:lang w:val="en-US"/>
        </w:rPr>
        <w:t>捌</w:t>
      </w:r>
      <w:r>
        <w:rPr>
          <w:rFonts w:ascii="宋体" w:eastAsia="宋体" w:hAnsi="宋体" w:cs="宋体" w:hint="eastAsia"/>
          <w:szCs w:val="21"/>
        </w:rPr>
        <w:t>年。</w:t>
      </w:r>
    </w:p>
    <w:p>
      <w:pPr>
        <w:pStyle w:val="ListParagraph"/>
        <w:numPr>
          <w:ilvl w:val="0"/>
          <w:numId w:val="6"/>
        </w:numPr>
        <w:spacing w:line="360" w:lineRule="auto"/>
        <w:ind w:left="0" w:firstLine="420"/>
        <w:rPr>
          <w:rFonts w:ascii="宋体" w:eastAsia="宋体" w:hAnsi="宋体" w:cs="宋体"/>
          <w:color w:val="auto"/>
          <w:szCs w:val="21"/>
        </w:rPr>
      </w:pPr>
      <w:r>
        <w:rPr>
          <w:rFonts w:ascii="宋体" w:eastAsia="宋体" w:hAnsi="宋体" w:cs="宋体" w:hint="eastAsia"/>
          <w:szCs w:val="21"/>
        </w:rPr>
        <w:t>质保期内，中标人必须配备一支稳定的专业技术服务队伍，并配备足够的交通工具、通信工具、检测</w:t>
      </w:r>
      <w:r>
        <w:rPr>
          <w:rFonts w:ascii="宋体" w:eastAsia="宋体" w:hAnsi="宋体" w:cs="宋体" w:hint="eastAsia"/>
          <w:color w:val="auto"/>
          <w:szCs w:val="21"/>
        </w:rPr>
        <w:t>仪器及维修设备，负责设备的一切维护工作。</w:t>
      </w:r>
    </w:p>
    <w:p>
      <w:pPr>
        <w:tabs>
          <w:tab w:val="left" w:pos="432"/>
        </w:tabs>
        <w:spacing w:before="312" w:beforeLines="100"/>
        <w:ind w:firstLine="420" w:firstLineChars="200"/>
        <w:rPr>
          <w:rFonts w:ascii="宋体" w:hAnsi="宋体" w:cs="宋体"/>
          <w:szCs w:val="21"/>
        </w:rPr>
      </w:pPr>
      <w:r>
        <w:rPr>
          <w:rFonts w:ascii="宋体" w:eastAsia="宋体" w:hAnsi="宋体" w:cs="宋体" w:hint="eastAsia"/>
          <w:szCs w:val="21"/>
        </w:rPr>
        <w:t>八、售后服务要求</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本项目中标人须按招标文件文件的要求提供合格的产品，承诺自验收合格之日起设备（含软件）质保期为≥8年。质保期内，须按合同条款提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中标人须提供常设7天×24小时热线服务和长期的免费技术支持，对采购人的服务通知，中标人在接报后2小时内响应，6小时内到达现场，24小时内处理完毕；如在检修24小时后仍无法排除故障，则中标人应在12小时内提供不低于故障设备规格、型号、性能的备用设备供采购人使用，直至故障设备修复。</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定期巡检：中标人需派遣维修技术人员定期进行巡检、走访，听取客户意见，为客户解决疑难问题，指导操作人员进行正确操作和保养，质保期内定期巡视时间周期为年均不少于</w:t>
      </w:r>
      <w:r>
        <w:rPr>
          <w:rFonts w:ascii="宋体" w:eastAsia="宋体" w:hAnsi="宋体" w:cs="宋体" w:hint="eastAsia"/>
          <w:szCs w:val="21"/>
          <w:lang w:val="en-US"/>
        </w:rPr>
        <w:t>壹</w:t>
      </w:r>
      <w:r>
        <w:rPr>
          <w:rFonts w:ascii="宋体" w:eastAsia="宋体" w:hAnsi="宋体" w:cs="宋体" w:hint="eastAsia"/>
          <w:szCs w:val="21"/>
        </w:rPr>
        <w:t>次。</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中标人应负责系统运行的稳定性。负责免费更换硬件故障部件或修改出错的软件系统。</w:t>
      </w:r>
    </w:p>
    <w:p>
      <w:pPr>
        <w:pStyle w:val="ListParagraph"/>
        <w:numPr>
          <w:ilvl w:val="0"/>
          <w:numId w:val="7"/>
        </w:numPr>
        <w:spacing w:line="360" w:lineRule="auto"/>
        <w:ind w:left="0" w:firstLine="420"/>
        <w:rPr>
          <w:rFonts w:ascii="宋体" w:eastAsia="宋体" w:hAnsi="宋体" w:cs="宋体"/>
          <w:szCs w:val="21"/>
        </w:rPr>
      </w:pPr>
      <w:r>
        <w:rPr>
          <w:rFonts w:ascii="宋体" w:eastAsia="宋体" w:hAnsi="宋体" w:cs="宋体" w:hint="eastAsia"/>
          <w:szCs w:val="21"/>
        </w:rPr>
        <w:t>中标人必须承诺提供长期的咨询和技术支持服务。</w:t>
      </w:r>
    </w:p>
    <w:p>
      <w:pPr>
        <w:pStyle w:val="ListParagraph"/>
        <w:numPr>
          <w:ilvl w:val="0"/>
          <w:numId w:val="7"/>
        </w:numPr>
        <w:spacing w:line="360" w:lineRule="auto"/>
        <w:ind w:left="0" w:firstLine="420"/>
        <w:rPr>
          <w:rFonts w:ascii="宋体" w:eastAsia="宋体" w:hAnsi="宋体" w:cs="宋体"/>
          <w:color w:val="auto"/>
          <w:szCs w:val="21"/>
        </w:rPr>
      </w:pPr>
      <w:r>
        <w:rPr>
          <w:rFonts w:ascii="宋体" w:eastAsia="宋体" w:hAnsi="宋体" w:cs="宋体" w:hint="eastAsia"/>
          <w:szCs w:val="21"/>
        </w:rPr>
        <w:t>中标人需为本项目提供自动化火箭发射系统的备件和工具。</w:t>
      </w:r>
    </w:p>
    <w:p>
      <w:pPr>
        <w:tabs>
          <w:tab w:val="left" w:pos="432"/>
        </w:tabs>
        <w:spacing w:before="312" w:beforeLines="100"/>
        <w:ind w:firstLine="420" w:firstLineChars="200"/>
        <w:rPr>
          <w:rFonts w:ascii="宋体" w:hAnsi="宋体" w:cs="宋体"/>
          <w:szCs w:val="21"/>
        </w:rPr>
      </w:pPr>
      <w:r>
        <w:rPr>
          <w:rFonts w:ascii="宋体" w:eastAsia="宋体" w:hAnsi="宋体" w:cs="宋体" w:hint="eastAsia"/>
          <w:szCs w:val="21"/>
        </w:rPr>
        <w:t>九、培训要求</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中标人必须在其投标文件中列出培训课程大纲，同时提出培训计划。</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培训在采购人指定的地点进行。</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中标人应提供日常操作，保养与管理，常见故障排除，紧急情况处理等专业培训。</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培训应采取现场讲解和操作训练相结合的方法。</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所有的培训课程和示范均应由有资质的人员亲自进行，培训人员不仅须具备该领域的专长，同时还须具备与受训人员之间进行简明有效的沟通的能力。采购人将监督培训计划的实施。</w:t>
      </w:r>
    </w:p>
    <w:p>
      <w:pPr>
        <w:pStyle w:val="ListParagraph"/>
        <w:numPr>
          <w:ilvl w:val="0"/>
          <w:numId w:val="8"/>
        </w:numPr>
        <w:spacing w:line="360" w:lineRule="auto"/>
        <w:ind w:left="0" w:firstLine="420"/>
        <w:rPr>
          <w:rFonts w:ascii="宋体" w:eastAsia="宋体" w:hAnsi="宋体" w:cs="宋体"/>
          <w:szCs w:val="21"/>
        </w:rPr>
      </w:pPr>
      <w:r>
        <w:rPr>
          <w:rFonts w:ascii="宋体" w:eastAsia="宋体" w:hAnsi="宋体" w:cs="宋体" w:hint="eastAsia"/>
          <w:szCs w:val="21"/>
        </w:rPr>
        <w:t>培训资料和手册</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中标人应编制和提供本招标文件中描述的培训工作所需的所有培训手册。</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中标人应根据参加各项培训课程人员的数目，向每一个参加人员提供全部有关的培训手册。</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培训课程使用中标人提供的有关文件，并且在培训班开始之前完成有关文件认可后的最终稿。</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除采购人另有认可外，最终文件应于开始任何培训课至少15 个工作日之前提交采购人确认。</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中标人应提交包括所有培训手册的完整的电子文件。</w:t>
      </w:r>
    </w:p>
    <w:p>
      <w:pPr>
        <w:numPr>
          <w:ilvl w:val="0"/>
          <w:numId w:val="9"/>
        </w:numPr>
        <w:snapToGrid w:val="0"/>
        <w:spacing w:line="360" w:lineRule="auto"/>
        <w:ind w:firstLine="420" w:firstLineChars="200"/>
        <w:rPr>
          <w:rFonts w:ascii="宋体" w:hAnsi="宋体" w:cs="宋体"/>
          <w:spacing w:val="-4"/>
          <w:szCs w:val="21"/>
        </w:rPr>
      </w:pPr>
      <w:r>
        <w:rPr>
          <w:rFonts w:ascii="宋体" w:eastAsia="宋体" w:hAnsi="宋体" w:cs="宋体" w:hint="eastAsia"/>
          <w:spacing w:val="-4"/>
          <w:szCs w:val="21"/>
        </w:rPr>
        <w:t>中标人应提供培训所需的所有消耗品、测试设备和任何其他材料。</w:t>
      </w:r>
    </w:p>
    <w:p>
      <w:pPr>
        <w:numPr>
          <w:ilvl w:val="0"/>
          <w:numId w:val="9"/>
        </w:numPr>
        <w:snapToGrid w:val="0"/>
        <w:spacing w:before="120"/>
        <w:ind w:firstLine="420" w:firstLineChars="200"/>
        <w:rPr>
          <w:rFonts w:ascii="宋体" w:hAnsi="宋体" w:cs="宋体"/>
          <w:szCs w:val="21"/>
        </w:rPr>
      </w:pPr>
      <w:r>
        <w:rPr>
          <w:rFonts w:ascii="宋体" w:eastAsia="宋体" w:hAnsi="宋体" w:cs="宋体" w:hint="eastAsia"/>
          <w:spacing w:val="-4"/>
          <w:szCs w:val="21"/>
        </w:rPr>
        <w:t>采购人有权使用其摄像、录音等设备记录所有的培训课程。</w:t>
      </w:r>
    </w:p>
    <w:p>
      <w:pPr>
        <w:rPr>
          <w:rFonts w:ascii="宋体" w:hAnsi="宋体" w:cs="宋体"/>
        </w:rPr>
      </w:pPr>
    </w:p>
    <w:p>
      <w:pPr>
        <w:spacing w:line="360" w:lineRule="auto"/>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9"/>
        <w:gridCol w:w="1529"/>
        <w:gridCol w:w="704"/>
        <w:gridCol w:w="979"/>
        <w:gridCol w:w="1117"/>
        <w:gridCol w:w="3385"/>
        <w:gridCol w:w="41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火箭发射装置</w:t>
            </w:r>
          </w:p>
        </w:tc>
        <w:tc>
          <w:tcPr/>
          <w:p>
            <w:pPr>
              <w:autoSpaceDE w:val="0"/>
              <w:jc w:val="center"/>
              <w:rPr>
                <w:rFonts w:asciiTheme="minorEastAsia" w:hAnsiTheme="minorEastAsia" w:cstheme="minorEastAsia"/>
                <w:kern w:val="0"/>
                <w:szCs w:val="21"/>
              </w:rPr>
            </w:pPr>
            <w:r>
              <w:t>208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17,154,452.64</w:t>
            </w:r>
          </w:p>
        </w:tc>
        <w:tc>
          <w:tcPr/>
          <w:p>
            <w:pPr>
              <w:autoSpaceDE w:val="0"/>
              <w:jc w:val="center"/>
              <w:rPr>
                <w:rFonts w:asciiTheme="minorEastAsia" w:hAnsiTheme="minorEastAsia" w:cstheme="minorEastAsia" w:hint="eastAsia"/>
                <w:kern w:val="0"/>
                <w:szCs w:val="21"/>
              </w:rPr>
            </w:pPr>
            <w:r>
              <w:t>合同签订后120天内交货并完成安装调试具备验收条件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379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4,083,092.07</w:t>
            </w:r>
          </w:p>
        </w:tc>
        <w:tc>
          <w:tcPr/>
          <w:p>
            <w:pPr>
              <w:autoSpaceDE w:val="0"/>
              <w:jc w:val="center"/>
              <w:rPr>
                <w:rFonts w:asciiTheme="minorEastAsia" w:hAnsiTheme="minorEastAsia" w:cstheme="minorEastAsia" w:hint="eastAsia"/>
                <w:kern w:val="0"/>
                <w:szCs w:val="21"/>
              </w:rPr>
            </w:pPr>
            <w:r>
              <w:t>合同签订后120天内交货并完成安装调试具备验收条件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三码绑定安全锁控系统</w:t>
            </w:r>
          </w:p>
        </w:tc>
        <w:tc>
          <w:tcPr/>
          <w:p>
            <w:pPr>
              <w:autoSpaceDE w:val="0"/>
              <w:jc w:val="center"/>
              <w:rPr>
                <w:rFonts w:asciiTheme="minorEastAsia" w:hAnsiTheme="minorEastAsia" w:cstheme="minorEastAsia"/>
                <w:kern w:val="0"/>
                <w:szCs w:val="21"/>
              </w:rPr>
            </w:pPr>
            <w:r>
              <w:t>379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3,309,932.07</w:t>
            </w:r>
          </w:p>
        </w:tc>
        <w:tc>
          <w:tcPr/>
          <w:p>
            <w:pPr>
              <w:autoSpaceDE w:val="0"/>
              <w:jc w:val="center"/>
              <w:rPr>
                <w:rFonts w:asciiTheme="minorEastAsia" w:hAnsiTheme="minorEastAsia" w:cstheme="minorEastAsia" w:hint="eastAsia"/>
                <w:kern w:val="0"/>
                <w:szCs w:val="21"/>
              </w:rPr>
            </w:pPr>
            <w:r>
              <w:t>合同签订后120天内交货并完成安装调试具备验收条件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24,547,476.78</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4"/>
        <w:gridCol w:w="1818"/>
        <w:gridCol w:w="1903"/>
        <w:gridCol w:w="534"/>
        <w:gridCol w:w="1219"/>
        <w:gridCol w:w="1102"/>
        <w:gridCol w:w="877"/>
        <w:gridCol w:w="5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人影中心(001046017)</w:t>
            </w:r>
          </w:p>
        </w:tc>
        <w:tc>
          <w:tcPr/>
          <w:p>
            <w:r>
              <w:t>三码绑定安全锁控系统</w:t>
            </w:r>
          </w:p>
        </w:tc>
        <w:tc>
          <w:tcPr/>
          <w:p>
            <w:r>
              <w:t>379</w:t>
            </w:r>
          </w:p>
        </w:tc>
        <w:tc>
          <w:tcPr/>
          <w:p>
            <w:r>
              <w:t>3309932.07</w:t>
            </w:r>
          </w:p>
        </w:tc>
        <w:tc>
          <w:tcPr>
            <w:vMerge w:val="restart"/>
          </w:tcPr>
          <w:p>
            <w:r>
              <w:t xml:space="preserve">24547476.78  </w:t>
            </w:r>
          </w:p>
        </w:tc>
        <w:tc>
          <w:tcPr/>
          <w:p/>
        </w:tc>
        <w:tc>
          <w:tcPr/>
          <w:p/>
        </w:tc>
      </w:tr>
      <w:tr>
        <w:tblPrEx>
          <w:tblW w:w="5000" w:type="pct"/>
          <w:tblCellMar>
            <w:left w:w="108" w:type="dxa"/>
            <w:right w:w="108" w:type="dxa"/>
          </w:tblCellMar>
        </w:tblPrEx>
        <w:tc>
          <w:tcPr/>
          <w:p>
            <w:r>
              <w:t>2</w:t>
            </w:r>
          </w:p>
        </w:tc>
        <w:tc>
          <w:tcPr>
            <w:vMerge/>
          </w:tcPr>
          <w:p>
            <w:r>
              <w:t>人影中心(001046017)</w:t>
            </w:r>
          </w:p>
        </w:tc>
        <w:tc>
          <w:tcPr/>
          <w:p>
            <w:r>
              <w:t>火箭作业安全监控终端</w:t>
            </w:r>
          </w:p>
        </w:tc>
        <w:tc>
          <w:tcPr/>
          <w:p>
            <w:r>
              <w:t>379</w:t>
            </w:r>
          </w:p>
        </w:tc>
        <w:tc>
          <w:tcPr/>
          <w:p>
            <w:r>
              <w:t>4083092.07</w:t>
            </w:r>
          </w:p>
        </w:tc>
        <w:tc>
          <w:tcPr>
            <w:vMerge/>
          </w:tcPr>
          <w:p>
            <w:r>
              <w:t xml:space="preserve">24547476.78  </w:t>
            </w:r>
          </w:p>
        </w:tc>
        <w:tc>
          <w:tcPr/>
          <w:p/>
        </w:tc>
        <w:tc>
          <w:tcPr/>
          <w:p/>
        </w:tc>
      </w:tr>
      <w:tr>
        <w:tblPrEx>
          <w:tblW w:w="5000" w:type="pct"/>
          <w:tblCellMar>
            <w:left w:w="108" w:type="dxa"/>
            <w:right w:w="108" w:type="dxa"/>
          </w:tblCellMar>
        </w:tblPrEx>
        <w:tc>
          <w:tcPr/>
          <w:p>
            <w:r>
              <w:t>3</w:t>
            </w:r>
          </w:p>
        </w:tc>
        <w:tc>
          <w:tcPr>
            <w:vMerge/>
          </w:tcPr>
          <w:p>
            <w:r>
              <w:t>人影中心(001046017)</w:t>
            </w:r>
          </w:p>
        </w:tc>
        <w:tc>
          <w:tcPr/>
          <w:p>
            <w:r>
              <w:t>火箭发射装置</w:t>
            </w:r>
          </w:p>
        </w:tc>
        <w:tc>
          <w:tcPr/>
          <w:p>
            <w:r>
              <w:t>208</w:t>
            </w:r>
          </w:p>
        </w:tc>
        <w:tc>
          <w:tcPr/>
          <w:p>
            <w:r>
              <w:t>17154452.64</w:t>
            </w:r>
          </w:p>
        </w:tc>
        <w:tc>
          <w:tcPr>
            <w:vMerge/>
          </w:tcPr>
          <w:p>
            <w:r>
              <w:t xml:space="preserve">24547476.78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eastAsia="zh-CN"/>
              </w:rPr>
              <w:t>第三节表</w:t>
            </w:r>
            <w:r>
              <w:rPr>
                <w:rFonts w:ascii="宋体" w:hAnsi="宋体" w:hint="eastAsia"/>
                <w:sz w:val="18"/>
                <w:szCs w:val="18"/>
                <w:highlight w:val="none"/>
                <w:lang w:val="en-US" w:eastAsia="zh-CN"/>
              </w:rPr>
              <w:t>1、2、3</w:t>
            </w:r>
          </w:p>
        </w:tc>
        <w:tc>
          <w:tcPr>
            <w:tcW w:w="7347" w:type="dxa"/>
            <w:noWrap w:val="0"/>
            <w:vAlign w:val="center"/>
          </w:tcPr>
          <w:p>
            <w:pPr>
              <w:jc w:val="both"/>
              <w:rPr>
                <w:rFonts w:ascii="Calibri" w:hAnsi="Calibri"/>
                <w:color w:val="000000" w:themeColor="text1"/>
                <w:szCs w:val="21"/>
              </w:rPr>
            </w:pPr>
            <w:r>
              <w:rPr>
                <w:rFonts w:ascii="宋体" w:hAnsi="宋体" w:hint="eastAsia"/>
                <w:sz w:val="18"/>
                <w:szCs w:val="18"/>
                <w:lang w:val="en-US" w:eastAsia="zh-CN"/>
              </w:rPr>
              <w:t>*</w:t>
            </w:r>
            <w:r>
              <w:rPr>
                <w:rFonts w:ascii="Calibri" w:hAnsi="Calibri"/>
                <w:color w:val="000000" w:themeColor="text1"/>
                <w:szCs w:val="21"/>
              </w:rPr>
              <w:t>人影专用信息采集终端</w:t>
            </w:r>
            <w:r>
              <w:rPr>
                <w:rFonts w:ascii="Calibri" w:hAnsi="Calibri" w:hint="eastAsia"/>
                <w:color w:val="000000" w:themeColor="text1"/>
                <w:szCs w:val="21"/>
                <w:lang w:eastAsia="zh-CN"/>
              </w:rPr>
              <w:t>：</w:t>
            </w:r>
            <w:r>
              <w:rPr>
                <w:rFonts w:ascii="Calibri" w:hAnsi="Calibri"/>
                <w:color w:val="000000" w:themeColor="text1"/>
                <w:szCs w:val="21"/>
              </w:rPr>
              <w:t>要求配备人影专用信息采集器，实现作业指令接收、装备状态上报、弹码信息上报、作业日志上报等功能，并实现与“人工影响天气指挥系统”平台对接；</w:t>
            </w:r>
          </w:p>
          <w:p>
            <w:pPr>
              <w:jc w:val="both"/>
              <w:rPr>
                <w:rFonts w:ascii="Calibri" w:hAnsi="Calibri"/>
                <w:szCs w:val="21"/>
              </w:rPr>
            </w:pPr>
            <w:r>
              <w:rPr>
                <w:rFonts w:ascii="宋体" w:hAnsi="宋体" w:hint="eastAsia"/>
                <w:sz w:val="18"/>
                <w:szCs w:val="18"/>
                <w:lang w:val="en-US" w:eastAsia="zh-CN"/>
              </w:rPr>
              <w:t>*</w:t>
            </w:r>
            <w:r>
              <w:rPr>
                <w:rFonts w:ascii="Calibri" w:hAnsi="Calibri"/>
                <w:szCs w:val="21"/>
              </w:rPr>
              <w:t>火箭架类型</w:t>
            </w:r>
            <w:r>
              <w:rPr>
                <w:rFonts w:ascii="Calibri" w:hAnsi="Calibri" w:hint="eastAsia"/>
                <w:szCs w:val="21"/>
                <w:lang w:eastAsia="zh-CN"/>
              </w:rPr>
              <w:t>：</w:t>
            </w:r>
            <w:r>
              <w:rPr>
                <w:rFonts w:ascii="Calibri" w:hAnsi="Calibri"/>
                <w:szCs w:val="21"/>
              </w:rPr>
              <w:t>自动化通用型，具备更换多种口径定向器的条件。</w:t>
            </w:r>
          </w:p>
          <w:p>
            <w:pPr>
              <w:rPr>
                <w:rFonts w:ascii="Calibri" w:hAnsi="Calibri" w:hint="eastAsia"/>
                <w:szCs w:val="21"/>
              </w:rPr>
            </w:pPr>
            <w:r>
              <w:rPr>
                <w:rFonts w:ascii="宋体" w:hAnsi="宋体" w:hint="eastAsia"/>
                <w:sz w:val="18"/>
                <w:szCs w:val="18"/>
                <w:lang w:val="en-US" w:eastAsia="zh-CN"/>
              </w:rPr>
              <w:t>*</w:t>
            </w:r>
            <w:r>
              <w:rPr>
                <w:szCs w:val="21"/>
              </w:rPr>
              <w:t>加密</w:t>
            </w:r>
            <w:r>
              <w:rPr>
                <w:rFonts w:hint="eastAsia"/>
                <w:szCs w:val="21"/>
                <w:lang w:eastAsia="zh-CN"/>
              </w:rPr>
              <w:t>：</w:t>
            </w:r>
            <w:r>
              <w:rPr>
                <w:szCs w:val="21"/>
              </w:rPr>
              <w:t>支持加密方式：DES/TDES/AES/SHA1/SHA256/RSA/；国密SM1/2/3/4/7；算法移植：支持，具备算法下载更新。</w:t>
            </w:r>
          </w:p>
        </w:tc>
      </w:tr>
    </w:tbl>
    <w:p>
      <w:pPr>
        <w:spacing w:before="156" w:beforeLines="50" w:line="360" w:lineRule="auto"/>
        <w:ind w:firstLine="420"/>
        <w:rPr>
          <w:highlight w:val="none"/>
        </w:rPr>
      </w:pPr>
      <w:r>
        <w:rPr>
          <w:rFonts w:ascii="宋体" w:hAnsi="宋体" w:hint="eastAsia"/>
          <w:szCs w:val="21"/>
          <w:highlight w:val="none"/>
        </w:rPr>
        <w:t>注：根据项目具</w:t>
      </w:r>
      <w:r>
        <w:rPr>
          <w:rFonts w:ascii="宋体" w:hAnsi="宋体" w:hint="eastAsia"/>
          <w:szCs w:val="21"/>
          <w:highlight w:val="none"/>
        </w:rPr>
        <w:t>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8415A" w:rsidP="00ED5F47">
      <w:pPr>
        <w:numPr>
          <w:ilvl w:val="0"/>
          <w:numId w:val="10"/>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28415A">
      <w:pPr>
        <w:spacing w:line="360" w:lineRule="auto"/>
        <w:ind w:left="1680" w:firstLine="420"/>
        <w:jc w:val="left"/>
        <w:rPr>
          <w:b/>
          <w:bCs/>
          <w:szCs w:val="21"/>
        </w:rPr>
      </w:pPr>
      <w:r>
        <w:rPr>
          <w:rFonts w:hint="eastAsia"/>
          <w:b/>
          <w:bCs/>
          <w:szCs w:val="21"/>
        </w:rPr>
        <w:t>必须明确合同金额支付条件及支付比例</w:t>
      </w:r>
    </w:p>
    <w:p w:rsidR="0028415A">
      <w:pPr>
        <w:pStyle w:val="BodyText"/>
        <w:spacing w:after="0"/>
        <w:jc w:val="center"/>
        <w:rPr>
          <w:rFonts w:ascii="宋体" w:hAnsi="宋体" w:cs="宋体"/>
          <w:b/>
          <w:bCs/>
          <w:spacing w:val="-20"/>
          <w:kern w:val="44"/>
          <w:sz w:val="48"/>
          <w:szCs w:val="48"/>
        </w:rPr>
      </w:pPr>
      <w:r>
        <w:rPr>
          <w:b/>
          <w:bCs/>
          <w:szCs w:val="21"/>
        </w:rPr>
        <w:br w:type="page"/>
      </w:r>
      <w:bookmarkStart w:id="70" w:name="_Toc3995"/>
    </w:p>
    <w:bookmarkEnd w:id="70"/>
    <w:p w:rsidR="00ED5F47" w:rsidP="00ED5F4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ED5F47" w:rsidP="00ED5F4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ED5F47" w:rsidP="00ED5F47">
      <w:pPr>
        <w:rPr>
          <w:rFonts w:ascii="宋体" w:hAnsi="宋体" w:cs="宋体"/>
          <w:b/>
          <w:bCs/>
          <w:spacing w:val="-20"/>
          <w:kern w:val="44"/>
          <w:sz w:val="40"/>
          <w:szCs w:val="40"/>
        </w:rPr>
      </w:pPr>
    </w:p>
    <w:p w:rsidR="00ED5F47" w:rsidP="00ED5F47">
      <w:pPr>
        <w:rPr>
          <w:rFonts w:ascii="宋体" w:hAnsi="宋体" w:cs="宋体"/>
          <w:b/>
          <w:bCs/>
          <w:spacing w:val="-20"/>
          <w:kern w:val="44"/>
          <w:sz w:val="40"/>
          <w:szCs w:val="40"/>
        </w:rPr>
      </w:pPr>
    </w:p>
    <w:p w:rsidR="00ED5F47" w:rsidP="00ED5F47">
      <w:pPr>
        <w:rPr>
          <w:rFonts w:ascii="宋体" w:hAnsi="宋体" w:cs="宋体"/>
          <w:b/>
          <w:bCs/>
          <w:spacing w:val="-20"/>
          <w:kern w:val="44"/>
          <w:sz w:val="40"/>
          <w:szCs w:val="40"/>
        </w:rPr>
      </w:pPr>
    </w:p>
    <w:p w:rsidR="00ED5F47" w:rsidP="00ED5F4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ED5F47" w:rsidP="00ED5F4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ED5F47" w:rsidP="00ED5F4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D5F47" w:rsidP="00ED5F4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ED5F47" w:rsidP="00ED5F4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D5F47" w:rsidP="00ED5F47"/>
    <w:p w:rsidR="00ED5F47" w:rsidP="00ED5F47">
      <w:pPr>
        <w:jc w:val="left"/>
        <w:rPr>
          <w:b/>
          <w:sz w:val="32"/>
          <w:szCs w:val="32"/>
        </w:rPr>
      </w:pPr>
      <w:r>
        <w:rPr>
          <w:rFonts w:eastAsia="黑体"/>
          <w:sz w:val="44"/>
          <w:szCs w:val="44"/>
        </w:rPr>
        <w:br w:type="page"/>
      </w:r>
    </w:p>
    <w:p w:rsidR="00ED5F47" w:rsidP="00ED5F47">
      <w:pPr>
        <w:pStyle w:val="Heading3"/>
        <w:jc w:val="center"/>
        <w:rPr>
          <w:rFonts w:ascii="黑体" w:hAnsi="华文中宋"/>
          <w:b w:val="0"/>
          <w:sz w:val="28"/>
          <w:szCs w:val="28"/>
        </w:rPr>
      </w:pPr>
      <w:bookmarkStart w:id="71" w:name="_Toc22209"/>
      <w:r>
        <w:rPr>
          <w:rFonts w:ascii="黑体" w:hAnsi="黑体" w:hint="eastAsia"/>
          <w:b w:val="0"/>
          <w:sz w:val="28"/>
          <w:szCs w:val="28"/>
        </w:rPr>
        <w:t>第一节</w:t>
      </w:r>
      <w:r>
        <w:rPr>
          <w:rFonts w:ascii="黑体" w:hAnsi="黑体" w:hint="eastAsia"/>
          <w:b w:val="0"/>
          <w:sz w:val="28"/>
          <w:szCs w:val="28"/>
        </w:rPr>
        <w:t xml:space="preserve"> </w:t>
      </w:r>
      <w:r>
        <w:rPr>
          <w:rFonts w:ascii="黑体" w:hAnsi="华文中宋" w:hint="eastAsia"/>
          <w:b w:val="0"/>
          <w:sz w:val="28"/>
          <w:szCs w:val="28"/>
        </w:rPr>
        <w:t>政府采购合同协议书</w:t>
      </w:r>
      <w:bookmarkEnd w:id="71"/>
    </w:p>
    <w:p w:rsidR="00ED5F47" w:rsidP="00ED5F47">
      <w:pPr>
        <w:adjustRightInd w:val="0"/>
        <w:snapToGrid w:val="0"/>
        <w:spacing w:line="400" w:lineRule="exact"/>
        <w:rPr>
          <w:szCs w:val="21"/>
          <w:u w:val="single"/>
        </w:rPr>
      </w:pPr>
      <w:r>
        <w:rPr>
          <w:szCs w:val="21"/>
        </w:rPr>
        <w:t>甲方（</w:t>
      </w:r>
      <w:r>
        <w:rPr>
          <w:rFonts w:ascii="宋体" w:hAnsi="宋体" w:hint="eastAsia"/>
          <w:szCs w:val="21"/>
        </w:rPr>
        <w:t>采购人</w:t>
      </w:r>
      <w:r>
        <w:rPr>
          <w:szCs w:val="21"/>
        </w:rPr>
        <w:t>）：</w:t>
      </w:r>
      <w:r>
        <w:rPr>
          <w:szCs w:val="21"/>
          <w:u w:val="single"/>
        </w:rPr>
        <w:t xml:space="preserve"> </w:t>
      </w:r>
      <w:r>
        <w:rPr>
          <w:rFonts w:hint="eastAsia"/>
          <w:szCs w:val="21"/>
          <w:u w:val="single"/>
        </w:rPr>
        <w:t xml:space="preserve">                     </w:t>
      </w:r>
      <w:r>
        <w:rPr>
          <w:szCs w:val="21"/>
          <w:u w:val="single"/>
        </w:rPr>
        <w:t xml:space="preserve"> </w:t>
      </w:r>
    </w:p>
    <w:p w:rsidR="00ED5F47" w:rsidP="00ED5F47">
      <w:pPr>
        <w:adjustRightInd w:val="0"/>
        <w:snapToGrid w:val="0"/>
        <w:spacing w:line="400" w:lineRule="exact"/>
        <w:rPr>
          <w:szCs w:val="21"/>
        </w:rPr>
      </w:pPr>
      <w:r>
        <w:rPr>
          <w:szCs w:val="21"/>
        </w:rPr>
        <w:t>乙方（</w:t>
      </w:r>
      <w:r>
        <w:rPr>
          <w:rFonts w:ascii="宋体" w:hAnsi="宋体" w:hint="eastAsia"/>
          <w:szCs w:val="21"/>
        </w:rPr>
        <w:t>中标人</w:t>
      </w:r>
      <w:r>
        <w:rPr>
          <w:szCs w:val="21"/>
        </w:rPr>
        <w:t>）：</w:t>
      </w:r>
      <w:r>
        <w:rPr>
          <w:szCs w:val="21"/>
          <w:u w:val="single"/>
        </w:rPr>
        <w:t xml:space="preserve">                       </w:t>
      </w:r>
    </w:p>
    <w:p w:rsidR="00ED5F47" w:rsidP="00ED5F47">
      <w:pPr>
        <w:spacing w:line="400" w:lineRule="exact"/>
      </w:pPr>
    </w:p>
    <w:p w:rsidR="00ED5F47" w:rsidP="00ED5F47">
      <w:pPr>
        <w:pStyle w:val="BodyTextIndent"/>
        <w:adjustRightInd w:val="0"/>
        <w:snapToGrid w:val="0"/>
        <w:spacing w:after="0" w:line="400" w:lineRule="exact"/>
        <w:ind w:left="0" w:firstLine="420" w:leftChars="0" w:firstLineChars="200"/>
        <w:rPr>
          <w:szCs w:val="21"/>
        </w:rPr>
      </w:pPr>
      <w:r>
        <w:rPr>
          <w:szCs w:val="21"/>
        </w:rPr>
        <w:t>依据《中华人民共和国民法典</w:t>
      </w:r>
      <w:r>
        <w:rPr>
          <w:rFonts w:hint="eastAsia"/>
          <w:szCs w:val="21"/>
        </w:rPr>
        <w:t>》《</w:t>
      </w:r>
      <w:r>
        <w:rPr>
          <w:szCs w:val="21"/>
        </w:rPr>
        <w:t>中华人民共和国政府采购法》等有关的法律法规，以及本采购项目的招标</w:t>
      </w:r>
      <w:r>
        <w:rPr>
          <w:szCs w:val="21"/>
        </w:rPr>
        <w:t>/</w:t>
      </w:r>
      <w:r>
        <w:rPr>
          <w:szCs w:val="21"/>
        </w:rPr>
        <w:t>谈判文件等采购文件、乙方的《投标（响应）文件》及《中标（成交）通知书》，甲乙双方同意签订本合同。具体情况及要求如下：</w:t>
      </w:r>
      <w:r>
        <w:rPr>
          <w:szCs w:val="21"/>
        </w:rPr>
        <w:t xml:space="preserve">     </w:t>
      </w:r>
    </w:p>
    <w:p w:rsidR="00ED5F47" w:rsidP="00ED5F47">
      <w:pPr>
        <w:adjustRightInd w:val="0"/>
        <w:snapToGrid w:val="0"/>
        <w:spacing w:before="312" w:beforeLines="100" w:line="400" w:lineRule="exact"/>
        <w:outlineLvl w:val="3"/>
        <w:rPr>
          <w:b/>
          <w:szCs w:val="21"/>
        </w:rPr>
      </w:pPr>
      <w:r>
        <w:rPr>
          <w:rFonts w:hint="eastAsia"/>
          <w:b/>
          <w:szCs w:val="21"/>
        </w:rPr>
        <w:t>一、</w:t>
      </w:r>
      <w:r>
        <w:rPr>
          <w:b/>
          <w:szCs w:val="21"/>
        </w:rPr>
        <w:t>项目信息</w:t>
      </w:r>
    </w:p>
    <w:p w:rsidR="00ED5F47" w:rsidP="00ED5F47">
      <w:pPr>
        <w:pStyle w:val="BodyTextIndent"/>
        <w:numPr>
          <w:ilvl w:val="0"/>
          <w:numId w:val="11"/>
        </w:numPr>
        <w:adjustRightInd w:val="0"/>
        <w:snapToGrid w:val="0"/>
        <w:spacing w:after="0" w:line="400" w:lineRule="exact"/>
        <w:ind w:left="0" w:firstLine="420" w:leftChars="0"/>
        <w:rPr>
          <w:szCs w:val="21"/>
        </w:rPr>
      </w:pPr>
      <w:r>
        <w:rPr>
          <w:szCs w:val="21"/>
        </w:rPr>
        <w:t>项目名称：</w:t>
      </w:r>
      <w:r>
        <w:rPr>
          <w:szCs w:val="21"/>
          <w:u w:val="single"/>
        </w:rPr>
        <w:t xml:space="preserve"> </w:t>
      </w:r>
      <w:r>
        <w:rPr>
          <w:rFonts w:hint="eastAsia"/>
          <w:szCs w:val="21"/>
          <w:u w:val="single"/>
        </w:rPr>
        <w:t xml:space="preserve">                                       </w:t>
      </w:r>
      <w:r>
        <w:rPr>
          <w:szCs w:val="21"/>
          <w:u w:val="single"/>
        </w:rPr>
        <w:t xml:space="preserve">   </w:t>
      </w:r>
    </w:p>
    <w:p w:rsidR="00ED5F47" w:rsidP="00ED5F47">
      <w:pPr>
        <w:pStyle w:val="BodyTextIndent"/>
        <w:numPr>
          <w:ilvl w:val="0"/>
          <w:numId w:val="11"/>
        </w:numPr>
        <w:adjustRightInd w:val="0"/>
        <w:snapToGrid w:val="0"/>
        <w:spacing w:after="0" w:line="400" w:lineRule="exact"/>
        <w:ind w:left="0" w:firstLine="420" w:leftChars="0"/>
        <w:rPr>
          <w:szCs w:val="21"/>
        </w:rPr>
      </w:pPr>
      <w:r>
        <w:rPr>
          <w:szCs w:val="21"/>
        </w:rPr>
        <w:t>项目编号：</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rsidR="00ED5F47" w:rsidP="00ED5F47">
      <w:pPr>
        <w:adjustRightInd w:val="0"/>
        <w:snapToGrid w:val="0"/>
        <w:spacing w:before="312" w:beforeLines="100" w:line="400" w:lineRule="exact"/>
        <w:outlineLvl w:val="3"/>
        <w:rPr>
          <w:b/>
          <w:szCs w:val="21"/>
        </w:rPr>
      </w:pPr>
      <w:r>
        <w:rPr>
          <w:rFonts w:hint="eastAsia"/>
          <w:b/>
          <w:szCs w:val="21"/>
        </w:rPr>
        <w:t>二、合同标的</w:t>
      </w:r>
    </w:p>
    <w:p w:rsidR="00ED5F47" w:rsidP="00ED5F47">
      <w:pPr>
        <w:pStyle w:val="BodyTextIndent"/>
        <w:numPr>
          <w:ilvl w:val="0"/>
          <w:numId w:val="12"/>
        </w:numPr>
        <w:adjustRightInd w:val="0"/>
        <w:snapToGrid w:val="0"/>
        <w:spacing w:after="0" w:line="400" w:lineRule="exact"/>
        <w:ind w:left="0" w:firstLine="420" w:leftChars="0"/>
        <w:rPr>
          <w:szCs w:val="21"/>
        </w:rPr>
      </w:pPr>
      <w:r>
        <w:rPr>
          <w:szCs w:val="21"/>
        </w:rPr>
        <w:t>甲方同意从乙方购买，乙方同意向甲方出售下列设备：</w:t>
      </w:r>
    </w:p>
    <w:tbl>
      <w:tblPr>
        <w:tblStyle w:val="TableGrid"/>
        <w:tblW w:w="9347" w:type="dxa"/>
        <w:jc w:val="center"/>
        <w:tblLayout w:type="fixed"/>
        <w:tblLook w:val="04A0"/>
      </w:tblPr>
      <w:tblGrid>
        <w:gridCol w:w="676"/>
        <w:gridCol w:w="1743"/>
        <w:gridCol w:w="703"/>
        <w:gridCol w:w="681"/>
        <w:gridCol w:w="889"/>
        <w:gridCol w:w="934"/>
        <w:gridCol w:w="3721"/>
      </w:tblGrid>
      <w:tr w:rsidTr="00273EDF">
        <w:tblPrEx>
          <w:tblW w:w="9347" w:type="dxa"/>
          <w:jc w:val="center"/>
          <w:tblLayout w:type="fixed"/>
          <w:tblLook w:val="04A0"/>
        </w:tblPrEx>
        <w:trPr>
          <w:jc w:val="center"/>
        </w:trPr>
        <w:tc>
          <w:tcPr>
            <w:tcW w:w="676" w:type="dxa"/>
            <w:vAlign w:val="center"/>
          </w:tcPr>
          <w:p w:rsidR="00ED5F47" w:rsidP="00273EDF">
            <w:pPr>
              <w:autoSpaceDE w:val="0"/>
              <w:jc w:val="center"/>
              <w:rPr>
                <w:kern w:val="0"/>
                <w:szCs w:val="21"/>
              </w:rPr>
            </w:pPr>
            <w:r>
              <w:rPr>
                <w:rFonts w:ascii="Calibri" w:hAnsi="Calibri"/>
                <w:kern w:val="0"/>
                <w:szCs w:val="21"/>
              </w:rPr>
              <w:t>序号</w:t>
            </w:r>
          </w:p>
        </w:tc>
        <w:tc>
          <w:tcPr>
            <w:tcW w:w="1743" w:type="dxa"/>
            <w:vAlign w:val="center"/>
          </w:tcPr>
          <w:p w:rsidR="00ED5F47" w:rsidP="00273EDF">
            <w:pPr>
              <w:autoSpaceDE w:val="0"/>
              <w:jc w:val="center"/>
              <w:rPr>
                <w:kern w:val="0"/>
                <w:szCs w:val="21"/>
              </w:rPr>
            </w:pPr>
            <w:r>
              <w:rPr>
                <w:rFonts w:ascii="Calibri" w:hAnsi="Calibri"/>
                <w:kern w:val="0"/>
                <w:szCs w:val="21"/>
              </w:rPr>
              <w:t>设备名称</w:t>
            </w:r>
          </w:p>
        </w:tc>
        <w:tc>
          <w:tcPr>
            <w:tcW w:w="703" w:type="dxa"/>
            <w:vAlign w:val="center"/>
          </w:tcPr>
          <w:p w:rsidR="00ED5F47" w:rsidP="00273EDF">
            <w:pPr>
              <w:autoSpaceDE w:val="0"/>
              <w:jc w:val="center"/>
              <w:rPr>
                <w:kern w:val="0"/>
                <w:szCs w:val="21"/>
              </w:rPr>
            </w:pPr>
            <w:r>
              <w:rPr>
                <w:rFonts w:ascii="Calibri" w:hAnsi="Calibri"/>
                <w:kern w:val="0"/>
                <w:szCs w:val="21"/>
              </w:rPr>
              <w:t>数量</w:t>
            </w:r>
          </w:p>
        </w:tc>
        <w:tc>
          <w:tcPr>
            <w:tcW w:w="681" w:type="dxa"/>
            <w:vAlign w:val="center"/>
          </w:tcPr>
          <w:p w:rsidR="00ED5F47" w:rsidP="00273EDF">
            <w:pPr>
              <w:autoSpaceDE w:val="0"/>
              <w:jc w:val="center"/>
              <w:rPr>
                <w:kern w:val="0"/>
                <w:szCs w:val="21"/>
              </w:rPr>
            </w:pPr>
            <w:r>
              <w:rPr>
                <w:rFonts w:ascii="Calibri" w:hAnsi="Calibri"/>
                <w:kern w:val="0"/>
                <w:szCs w:val="21"/>
              </w:rPr>
              <w:t>单位</w:t>
            </w:r>
          </w:p>
        </w:tc>
        <w:tc>
          <w:tcPr>
            <w:tcW w:w="889" w:type="dxa"/>
            <w:vAlign w:val="center"/>
          </w:tcPr>
          <w:p w:rsidR="00ED5F47" w:rsidP="00273EDF">
            <w:pPr>
              <w:autoSpaceDE w:val="0"/>
              <w:jc w:val="center"/>
              <w:rPr>
                <w:kern w:val="0"/>
                <w:szCs w:val="21"/>
              </w:rPr>
            </w:pPr>
            <w:r>
              <w:rPr>
                <w:rFonts w:ascii="Calibri" w:hAnsi="Calibri"/>
                <w:kern w:val="0"/>
                <w:szCs w:val="21"/>
              </w:rPr>
              <w:t>单价</w:t>
            </w:r>
          </w:p>
        </w:tc>
        <w:tc>
          <w:tcPr>
            <w:tcW w:w="934" w:type="dxa"/>
            <w:shd w:val="clear" w:color="auto" w:fill="auto"/>
            <w:vAlign w:val="center"/>
          </w:tcPr>
          <w:p w:rsidR="00ED5F47" w:rsidP="00273EDF">
            <w:pPr>
              <w:autoSpaceDE w:val="0"/>
              <w:jc w:val="center"/>
              <w:rPr>
                <w:kern w:val="0"/>
                <w:szCs w:val="21"/>
              </w:rPr>
            </w:pPr>
            <w:r>
              <w:rPr>
                <w:rFonts w:ascii="Calibri" w:hAnsi="Calibri"/>
                <w:kern w:val="0"/>
                <w:szCs w:val="21"/>
              </w:rPr>
              <w:t>合计</w:t>
            </w:r>
          </w:p>
        </w:tc>
        <w:tc>
          <w:tcPr>
            <w:tcW w:w="3721" w:type="dxa"/>
            <w:shd w:val="clear" w:color="auto" w:fill="auto"/>
            <w:vAlign w:val="center"/>
          </w:tcPr>
          <w:p w:rsidR="00ED5F47" w:rsidP="00273EDF">
            <w:pPr>
              <w:autoSpaceDE w:val="0"/>
              <w:autoSpaceDN w:val="0"/>
              <w:adjustRightInd w:val="0"/>
              <w:spacing w:before="48"/>
              <w:ind w:right="-20"/>
              <w:jc w:val="center"/>
              <w:rPr>
                <w:kern w:val="0"/>
                <w:szCs w:val="21"/>
              </w:rPr>
            </w:pPr>
            <w:r>
              <w:rPr>
                <w:rFonts w:ascii="Calibri" w:hAnsi="Calibri"/>
                <w:kern w:val="0"/>
                <w:szCs w:val="21"/>
              </w:rPr>
              <w:t>备注</w:t>
            </w:r>
          </w:p>
        </w:tc>
      </w:tr>
      <w:tr w:rsidTr="00273EDF">
        <w:tblPrEx>
          <w:tblW w:w="9347" w:type="dxa"/>
          <w:jc w:val="center"/>
          <w:tblLayout w:type="fixed"/>
          <w:tblLook w:val="04A0"/>
        </w:tblPrEx>
        <w:trPr>
          <w:jc w:val="center"/>
        </w:trPr>
        <w:tc>
          <w:tcPr>
            <w:tcW w:w="676" w:type="dxa"/>
            <w:vAlign w:val="center"/>
          </w:tcPr>
          <w:p w:rsidR="00ED5F47" w:rsidP="00273EDF">
            <w:pPr>
              <w:autoSpaceDE w:val="0"/>
              <w:jc w:val="center"/>
              <w:rPr>
                <w:kern w:val="0"/>
                <w:szCs w:val="21"/>
              </w:rPr>
            </w:pPr>
            <w:r>
              <w:rPr>
                <w:rFonts w:ascii="Calibri" w:hAnsi="Calibri"/>
              </w:rPr>
              <w:t>1</w:t>
            </w:r>
          </w:p>
        </w:tc>
        <w:tc>
          <w:tcPr>
            <w:tcW w:w="1743" w:type="dxa"/>
            <w:vAlign w:val="center"/>
          </w:tcPr>
          <w:p w:rsidR="00ED5F47" w:rsidP="00273EDF">
            <w:pPr>
              <w:autoSpaceDE w:val="0"/>
              <w:jc w:val="center"/>
              <w:rPr>
                <w:kern w:val="0"/>
                <w:szCs w:val="21"/>
              </w:rPr>
            </w:pPr>
            <w:r>
              <w:rPr>
                <w:rFonts w:ascii="Calibri" w:hAnsi="Calibri"/>
              </w:rPr>
              <w:t>人工影响天气火箭发射装置升级更新</w:t>
            </w:r>
          </w:p>
        </w:tc>
        <w:tc>
          <w:tcPr>
            <w:tcW w:w="703" w:type="dxa"/>
            <w:vAlign w:val="center"/>
          </w:tcPr>
          <w:p w:rsidR="00ED5F47" w:rsidP="00273EDF">
            <w:pPr>
              <w:autoSpaceDE w:val="0"/>
              <w:jc w:val="center"/>
              <w:rPr>
                <w:kern w:val="0"/>
                <w:szCs w:val="21"/>
              </w:rPr>
            </w:pPr>
          </w:p>
        </w:tc>
        <w:tc>
          <w:tcPr>
            <w:tcW w:w="681" w:type="dxa"/>
            <w:vAlign w:val="center"/>
          </w:tcPr>
          <w:p w:rsidR="00ED5F47" w:rsidP="00273EDF">
            <w:pPr>
              <w:autoSpaceDE w:val="0"/>
              <w:jc w:val="center"/>
              <w:rPr>
                <w:kern w:val="0"/>
                <w:szCs w:val="21"/>
              </w:rPr>
            </w:pPr>
            <w:r>
              <w:rPr>
                <w:rFonts w:ascii="Calibri" w:hAnsi="Calibri"/>
              </w:rPr>
              <w:t>套</w:t>
            </w:r>
          </w:p>
        </w:tc>
        <w:tc>
          <w:tcPr>
            <w:tcW w:w="889" w:type="dxa"/>
            <w:vAlign w:val="center"/>
          </w:tcPr>
          <w:p w:rsidR="00ED5F47" w:rsidP="00273EDF">
            <w:pPr>
              <w:autoSpaceDE w:val="0"/>
              <w:jc w:val="center"/>
              <w:rPr>
                <w:kern w:val="0"/>
                <w:szCs w:val="21"/>
              </w:rPr>
            </w:pPr>
          </w:p>
        </w:tc>
        <w:tc>
          <w:tcPr>
            <w:tcW w:w="934" w:type="dxa"/>
            <w:vAlign w:val="center"/>
          </w:tcPr>
          <w:p w:rsidR="00ED5F47" w:rsidP="00273EDF">
            <w:pPr>
              <w:autoSpaceDE w:val="0"/>
              <w:jc w:val="center"/>
            </w:pPr>
          </w:p>
        </w:tc>
        <w:tc>
          <w:tcPr>
            <w:tcW w:w="3721" w:type="dxa"/>
            <w:vAlign w:val="center"/>
          </w:tcPr>
          <w:p w:rsidR="00ED5F47" w:rsidP="00273EDF">
            <w:pPr>
              <w:autoSpaceDE w:val="0"/>
              <w:autoSpaceDN w:val="0"/>
              <w:adjustRightInd w:val="0"/>
              <w:spacing w:before="48"/>
              <w:ind w:right="-20"/>
              <w:rPr>
                <w:kern w:val="0"/>
                <w:szCs w:val="21"/>
              </w:rPr>
            </w:pPr>
            <w:r>
              <w:rPr>
                <w:rFonts w:ascii="Calibri" w:hAnsi="Calibri"/>
              </w:rPr>
              <w:t>每套装置由火箭发射装置、火箭作业安全终端、基于三码绑定的人影火箭发射安全锁控系统三部分组成。</w:t>
            </w:r>
          </w:p>
        </w:tc>
      </w:tr>
      <w:tr w:rsidTr="00273EDF">
        <w:tblPrEx>
          <w:tblW w:w="9347" w:type="dxa"/>
          <w:jc w:val="center"/>
          <w:tblLayout w:type="fixed"/>
          <w:tblLook w:val="04A0"/>
        </w:tblPrEx>
        <w:trPr>
          <w:jc w:val="center"/>
        </w:trPr>
        <w:tc>
          <w:tcPr>
            <w:tcW w:w="676" w:type="dxa"/>
            <w:vAlign w:val="center"/>
          </w:tcPr>
          <w:p w:rsidR="00ED5F47" w:rsidP="00273EDF">
            <w:pPr>
              <w:autoSpaceDE w:val="0"/>
              <w:jc w:val="center"/>
              <w:rPr>
                <w:kern w:val="0"/>
                <w:szCs w:val="21"/>
              </w:rPr>
            </w:pPr>
            <w:r>
              <w:rPr>
                <w:rFonts w:ascii="Calibri" w:hAnsi="Calibri" w:hint="eastAsia"/>
              </w:rPr>
              <w:t>2</w:t>
            </w:r>
          </w:p>
        </w:tc>
        <w:tc>
          <w:tcPr>
            <w:tcW w:w="1743" w:type="dxa"/>
            <w:vAlign w:val="center"/>
          </w:tcPr>
          <w:p w:rsidR="00ED5F47" w:rsidP="00273EDF">
            <w:pPr>
              <w:autoSpaceDE w:val="0"/>
              <w:jc w:val="center"/>
              <w:rPr>
                <w:kern w:val="0"/>
                <w:szCs w:val="21"/>
              </w:rPr>
            </w:pPr>
            <w:r>
              <w:rPr>
                <w:rFonts w:ascii="Calibri" w:hAnsi="Calibri"/>
              </w:rPr>
              <w:t>火箭作业安全监控终端</w:t>
            </w:r>
          </w:p>
        </w:tc>
        <w:tc>
          <w:tcPr>
            <w:tcW w:w="703" w:type="dxa"/>
            <w:vAlign w:val="center"/>
          </w:tcPr>
          <w:p w:rsidR="00ED5F47" w:rsidP="00273EDF">
            <w:pPr>
              <w:autoSpaceDE w:val="0"/>
              <w:jc w:val="center"/>
              <w:rPr>
                <w:kern w:val="0"/>
                <w:szCs w:val="21"/>
              </w:rPr>
            </w:pPr>
          </w:p>
        </w:tc>
        <w:tc>
          <w:tcPr>
            <w:tcW w:w="681" w:type="dxa"/>
            <w:vAlign w:val="center"/>
          </w:tcPr>
          <w:p w:rsidR="00ED5F47" w:rsidP="00273EDF">
            <w:pPr>
              <w:autoSpaceDE w:val="0"/>
              <w:jc w:val="center"/>
              <w:rPr>
                <w:kern w:val="0"/>
                <w:szCs w:val="21"/>
              </w:rPr>
            </w:pPr>
            <w:r>
              <w:rPr>
                <w:rFonts w:ascii="Calibri" w:hAnsi="Calibri"/>
              </w:rPr>
              <w:t>套</w:t>
            </w:r>
          </w:p>
        </w:tc>
        <w:tc>
          <w:tcPr>
            <w:tcW w:w="889" w:type="dxa"/>
            <w:vAlign w:val="center"/>
          </w:tcPr>
          <w:p w:rsidR="00ED5F47" w:rsidP="00273EDF">
            <w:pPr>
              <w:autoSpaceDE w:val="0"/>
              <w:jc w:val="center"/>
              <w:rPr>
                <w:kern w:val="0"/>
                <w:szCs w:val="21"/>
              </w:rPr>
            </w:pPr>
          </w:p>
        </w:tc>
        <w:tc>
          <w:tcPr>
            <w:tcW w:w="934" w:type="dxa"/>
            <w:vAlign w:val="center"/>
          </w:tcPr>
          <w:p w:rsidR="00ED5F47" w:rsidP="00273EDF">
            <w:pPr>
              <w:autoSpaceDE w:val="0"/>
              <w:jc w:val="center"/>
            </w:pPr>
          </w:p>
        </w:tc>
        <w:tc>
          <w:tcPr>
            <w:tcW w:w="3721" w:type="dxa"/>
            <w:vAlign w:val="center"/>
          </w:tcPr>
          <w:p w:rsidR="00ED5F47" w:rsidP="00273EDF">
            <w:pPr>
              <w:autoSpaceDE w:val="0"/>
              <w:autoSpaceDN w:val="0"/>
              <w:adjustRightInd w:val="0"/>
              <w:spacing w:before="48"/>
              <w:ind w:right="-20"/>
              <w:jc w:val="center"/>
              <w:rPr>
                <w:kern w:val="0"/>
                <w:szCs w:val="21"/>
              </w:rPr>
            </w:pPr>
          </w:p>
        </w:tc>
      </w:tr>
      <w:tr w:rsidTr="00273EDF">
        <w:tblPrEx>
          <w:tblW w:w="9347" w:type="dxa"/>
          <w:jc w:val="center"/>
          <w:tblLayout w:type="fixed"/>
          <w:tblLook w:val="04A0"/>
        </w:tblPrEx>
        <w:trPr>
          <w:jc w:val="center"/>
        </w:trPr>
        <w:tc>
          <w:tcPr>
            <w:tcW w:w="676" w:type="dxa"/>
            <w:vAlign w:val="center"/>
          </w:tcPr>
          <w:p w:rsidR="00ED5F47" w:rsidP="00273EDF">
            <w:pPr>
              <w:autoSpaceDE w:val="0"/>
              <w:jc w:val="center"/>
              <w:rPr>
                <w:kern w:val="0"/>
                <w:szCs w:val="21"/>
              </w:rPr>
            </w:pPr>
            <w:r>
              <w:rPr>
                <w:rFonts w:ascii="Calibri" w:hAnsi="Calibri" w:hint="eastAsia"/>
              </w:rPr>
              <w:t>3</w:t>
            </w:r>
          </w:p>
        </w:tc>
        <w:tc>
          <w:tcPr>
            <w:tcW w:w="1743" w:type="dxa"/>
            <w:vAlign w:val="center"/>
          </w:tcPr>
          <w:p w:rsidR="00ED5F47" w:rsidP="00273EDF">
            <w:pPr>
              <w:autoSpaceDE w:val="0"/>
              <w:jc w:val="center"/>
              <w:rPr>
                <w:kern w:val="0"/>
                <w:szCs w:val="21"/>
              </w:rPr>
            </w:pPr>
            <w:r>
              <w:rPr>
                <w:rFonts w:ascii="Calibri" w:hAnsi="Calibri"/>
              </w:rPr>
              <w:t>基于三码绑定的人影火箭发射安全锁控系统</w:t>
            </w:r>
          </w:p>
        </w:tc>
        <w:tc>
          <w:tcPr>
            <w:tcW w:w="703" w:type="dxa"/>
            <w:vAlign w:val="center"/>
          </w:tcPr>
          <w:p w:rsidR="00ED5F47" w:rsidP="00273EDF">
            <w:pPr>
              <w:autoSpaceDE w:val="0"/>
              <w:jc w:val="center"/>
              <w:rPr>
                <w:kern w:val="0"/>
                <w:szCs w:val="21"/>
              </w:rPr>
            </w:pPr>
          </w:p>
        </w:tc>
        <w:tc>
          <w:tcPr>
            <w:tcW w:w="681" w:type="dxa"/>
            <w:vAlign w:val="center"/>
          </w:tcPr>
          <w:p w:rsidR="00ED5F47" w:rsidP="00273EDF">
            <w:pPr>
              <w:autoSpaceDE w:val="0"/>
              <w:jc w:val="center"/>
              <w:rPr>
                <w:kern w:val="0"/>
                <w:szCs w:val="21"/>
              </w:rPr>
            </w:pPr>
            <w:r>
              <w:rPr>
                <w:rFonts w:ascii="Calibri" w:hAnsi="Calibri"/>
              </w:rPr>
              <w:t>套</w:t>
            </w:r>
          </w:p>
        </w:tc>
        <w:tc>
          <w:tcPr>
            <w:tcW w:w="889" w:type="dxa"/>
            <w:vAlign w:val="center"/>
          </w:tcPr>
          <w:p w:rsidR="00ED5F47" w:rsidP="00273EDF">
            <w:pPr>
              <w:autoSpaceDE w:val="0"/>
              <w:jc w:val="center"/>
              <w:rPr>
                <w:kern w:val="0"/>
                <w:szCs w:val="21"/>
              </w:rPr>
            </w:pPr>
          </w:p>
        </w:tc>
        <w:tc>
          <w:tcPr>
            <w:tcW w:w="934" w:type="dxa"/>
            <w:vAlign w:val="center"/>
          </w:tcPr>
          <w:p w:rsidR="00ED5F47" w:rsidP="00273EDF">
            <w:pPr>
              <w:autoSpaceDE w:val="0"/>
              <w:jc w:val="center"/>
            </w:pPr>
          </w:p>
        </w:tc>
        <w:tc>
          <w:tcPr>
            <w:tcW w:w="3721" w:type="dxa"/>
            <w:vAlign w:val="center"/>
          </w:tcPr>
          <w:p w:rsidR="00ED5F47" w:rsidP="00273EDF">
            <w:pPr>
              <w:autoSpaceDE w:val="0"/>
              <w:autoSpaceDN w:val="0"/>
              <w:adjustRightInd w:val="0"/>
              <w:spacing w:before="48"/>
              <w:ind w:right="-20"/>
              <w:jc w:val="center"/>
              <w:rPr>
                <w:kern w:val="0"/>
                <w:szCs w:val="21"/>
              </w:rPr>
            </w:pPr>
          </w:p>
        </w:tc>
      </w:tr>
    </w:tbl>
    <w:p w:rsidR="00ED5F47" w:rsidP="00ED5F47">
      <w:pPr>
        <w:pStyle w:val="BodyTextIndent"/>
        <w:adjustRightInd w:val="0"/>
        <w:snapToGrid w:val="0"/>
        <w:spacing w:after="0" w:line="400" w:lineRule="exact"/>
        <w:ind w:left="0" w:leftChars="0"/>
        <w:rPr>
          <w:szCs w:val="21"/>
        </w:rPr>
      </w:pPr>
    </w:p>
    <w:p w:rsidR="00ED5F47" w:rsidP="00ED5F47">
      <w:pPr>
        <w:pStyle w:val="BodyTextIndent"/>
        <w:numPr>
          <w:ilvl w:val="0"/>
          <w:numId w:val="12"/>
        </w:numPr>
        <w:adjustRightInd w:val="0"/>
        <w:snapToGrid w:val="0"/>
        <w:spacing w:after="0" w:line="400" w:lineRule="exact"/>
        <w:ind w:left="0" w:firstLine="420" w:leftChars="0"/>
        <w:rPr>
          <w:szCs w:val="21"/>
          <w:u w:val="single"/>
        </w:rPr>
      </w:pPr>
      <w:r>
        <w:rPr>
          <w:rFonts w:hint="eastAsia"/>
          <w:szCs w:val="21"/>
        </w:rPr>
        <w:t>交货地点：</w:t>
      </w:r>
      <w:r>
        <w:rPr>
          <w:rFonts w:hint="eastAsia"/>
          <w:szCs w:val="21"/>
          <w:u w:val="single"/>
        </w:rPr>
        <w:t xml:space="preserve">      </w:t>
      </w:r>
      <w:r>
        <w:rPr>
          <w:rFonts w:hint="eastAsia"/>
          <w:szCs w:val="21"/>
          <w:u w:val="single"/>
        </w:rPr>
        <w:t>河南省内用户指定地点</w:t>
      </w:r>
      <w:r>
        <w:rPr>
          <w:rFonts w:hint="eastAsia"/>
          <w:szCs w:val="21"/>
          <w:u w:val="single"/>
        </w:rPr>
        <w:t xml:space="preserve">          </w:t>
      </w:r>
      <w:r>
        <w:rPr>
          <w:rFonts w:hint="eastAsia"/>
          <w:szCs w:val="21"/>
        </w:rPr>
        <w:t xml:space="preserve"> ,                               </w:t>
      </w:r>
    </w:p>
    <w:p w:rsidR="00ED5F47" w:rsidP="00ED5F47">
      <w:pPr>
        <w:pStyle w:val="BodyTextIndent"/>
        <w:numPr>
          <w:ilvl w:val="0"/>
          <w:numId w:val="12"/>
        </w:numPr>
        <w:adjustRightInd w:val="0"/>
        <w:snapToGrid w:val="0"/>
        <w:spacing w:after="0" w:line="400" w:lineRule="exact"/>
        <w:ind w:left="0" w:firstLine="420" w:leftChars="0"/>
        <w:rPr>
          <w:szCs w:val="21"/>
          <w:lang w:val="en"/>
        </w:rPr>
      </w:pPr>
      <w:r>
        <w:rPr>
          <w:rFonts w:hint="eastAsia"/>
          <w:szCs w:val="21"/>
        </w:rPr>
        <w:t>交付安装期限：</w:t>
      </w:r>
      <w:r>
        <w:rPr>
          <w:rFonts w:hint="eastAsia"/>
          <w:szCs w:val="21"/>
          <w:u w:val="single"/>
        </w:rPr>
        <w:t xml:space="preserve">   120      </w:t>
      </w:r>
      <w:r>
        <w:rPr>
          <w:rFonts w:hint="eastAsia"/>
          <w:szCs w:val="21"/>
          <w:u w:val="single"/>
        </w:rPr>
        <w:t>天</w:t>
      </w:r>
      <w:r>
        <w:rPr>
          <w:rFonts w:hint="eastAsia"/>
          <w:szCs w:val="21"/>
          <w:u w:val="single"/>
        </w:rPr>
        <w:t xml:space="preserve"> </w:t>
      </w:r>
      <w:r>
        <w:rPr>
          <w:rFonts w:hint="eastAsia"/>
          <w:szCs w:val="21"/>
          <w:u w:val="single"/>
        </w:rPr>
        <w:t>（</w:t>
      </w:r>
      <w:r>
        <w:rPr>
          <w:rFonts w:hint="eastAsia"/>
          <w:szCs w:val="21"/>
          <w:u w:val="single"/>
        </w:rPr>
        <w:t xml:space="preserve">     </w:t>
      </w:r>
      <w:r>
        <w:rPr>
          <w:rFonts w:hint="eastAsia"/>
          <w:szCs w:val="21"/>
          <w:u w:val="single"/>
        </w:rPr>
        <w:t>年</w:t>
      </w:r>
      <w:r>
        <w:rPr>
          <w:rFonts w:hint="eastAsia"/>
          <w:szCs w:val="21"/>
          <w:u w:val="single"/>
        </w:rPr>
        <w:t xml:space="preserve">   </w:t>
      </w:r>
      <w:r>
        <w:rPr>
          <w:rFonts w:hint="eastAsia"/>
          <w:szCs w:val="21"/>
          <w:u w:val="single"/>
        </w:rPr>
        <w:t>月</w:t>
      </w:r>
      <w:r>
        <w:rPr>
          <w:rFonts w:hint="eastAsia"/>
          <w:szCs w:val="21"/>
          <w:u w:val="single"/>
        </w:rPr>
        <w:t xml:space="preserve">   </w:t>
      </w:r>
      <w:r>
        <w:rPr>
          <w:rFonts w:hint="eastAsia"/>
          <w:szCs w:val="21"/>
          <w:u w:val="single"/>
        </w:rPr>
        <w:t>日～</w:t>
      </w:r>
      <w:r>
        <w:rPr>
          <w:rFonts w:hint="eastAsia"/>
          <w:szCs w:val="21"/>
          <w:u w:val="single"/>
        </w:rPr>
        <w:t xml:space="preserve">   </w:t>
      </w:r>
      <w:r>
        <w:rPr>
          <w:rFonts w:hint="eastAsia"/>
          <w:szCs w:val="21"/>
          <w:u w:val="single"/>
        </w:rPr>
        <w:t>月</w:t>
      </w:r>
      <w:r>
        <w:rPr>
          <w:rFonts w:hint="eastAsia"/>
          <w:szCs w:val="21"/>
          <w:u w:val="single"/>
        </w:rPr>
        <w:t xml:space="preserve">   </w:t>
      </w:r>
      <w:r>
        <w:rPr>
          <w:rFonts w:hint="eastAsia"/>
          <w:szCs w:val="21"/>
          <w:u w:val="single"/>
        </w:rPr>
        <w:t>日）。</w:t>
      </w:r>
    </w:p>
    <w:p w:rsidR="00ED5F47" w:rsidP="00ED5F47">
      <w:pPr>
        <w:adjustRightInd w:val="0"/>
        <w:snapToGrid w:val="0"/>
        <w:spacing w:before="312" w:beforeLines="100" w:line="400" w:lineRule="exact"/>
        <w:outlineLvl w:val="3"/>
        <w:rPr>
          <w:b/>
          <w:szCs w:val="21"/>
        </w:rPr>
      </w:pPr>
      <w:r>
        <w:rPr>
          <w:rFonts w:hint="eastAsia"/>
          <w:b/>
          <w:szCs w:val="21"/>
        </w:rPr>
        <w:t>三、</w:t>
      </w:r>
      <w:r>
        <w:rPr>
          <w:b/>
          <w:szCs w:val="21"/>
        </w:rPr>
        <w:t>合同金额及付款方式</w:t>
      </w:r>
    </w:p>
    <w:p w:rsidR="00ED5F47" w:rsidRPr="00273EDF" w:rsidP="00ED5F47">
      <w:pPr>
        <w:spacing w:line="360" w:lineRule="auto"/>
        <w:ind w:firstLine="420" w:firstLineChars="200"/>
        <w:jc w:val="left"/>
        <w:rPr>
          <w:rFonts w:asciiTheme="minorEastAsia" w:hAnsiTheme="minorEastAsia" w:cstheme="minorEastAsia"/>
          <w:color w:val="000000" w:themeColor="text1"/>
          <w:szCs w:val="21"/>
        </w:rPr>
      </w:pPr>
      <w:r w:rsidRPr="00273EDF">
        <w:rPr>
          <w:rFonts w:asciiTheme="minorEastAsia" w:hAnsiTheme="minorEastAsia" w:cstheme="minorEastAsia"/>
          <w:color w:val="000000" w:themeColor="text1"/>
          <w:szCs w:val="21"/>
        </w:rPr>
        <w:t>1、付款方式：</w:t>
      </w:r>
      <w:r w:rsidRPr="00273EDF">
        <w:rPr>
          <w:rFonts w:asciiTheme="minorEastAsia" w:hAnsiTheme="minorEastAsia" w:cstheme="minorEastAsia" w:hint="eastAsia"/>
          <w:color w:val="000000" w:themeColor="text1"/>
          <w:szCs w:val="21"/>
          <w:u w:val="single"/>
        </w:rPr>
        <w:t>签订合同后三十个工作日内，乙方应提交在其基本户开户银行开具的合同总金额</w:t>
      </w:r>
      <w:r w:rsidRPr="00273EDF">
        <w:rPr>
          <w:rFonts w:asciiTheme="minorEastAsia" w:hAnsiTheme="minorEastAsia" w:cstheme="minorEastAsia"/>
          <w:color w:val="000000" w:themeColor="text1"/>
          <w:szCs w:val="21"/>
          <w:u w:val="single"/>
        </w:rPr>
        <w:t>60%的预付款保函</w:t>
      </w:r>
      <w:r w:rsidRPr="00273EDF">
        <w:rPr>
          <w:rFonts w:asciiTheme="minorEastAsia" w:hAnsiTheme="minorEastAsia" w:cstheme="minorEastAsia" w:hint="eastAsia"/>
          <w:color w:val="000000" w:themeColor="text1"/>
          <w:szCs w:val="21"/>
          <w:u w:val="single"/>
        </w:rPr>
        <w:t>（主要材料进场后无息退还预付款保函）。甲方在收到乙方正式发票和预付款保函后十五个工作日内，支付合同总金额的</w:t>
      </w:r>
      <w:r w:rsidRPr="00273EDF">
        <w:rPr>
          <w:rFonts w:asciiTheme="minorEastAsia" w:hAnsiTheme="minorEastAsia" w:cstheme="minorEastAsia"/>
          <w:color w:val="000000" w:themeColor="text1"/>
          <w:szCs w:val="21"/>
          <w:u w:val="single"/>
        </w:rPr>
        <w:t>60%；主要材料进场后，支付合同总金额的30%；建设完成并验收合格后，支付合同总金额的10%</w:t>
      </w:r>
      <w:r w:rsidRPr="00273EDF">
        <w:rPr>
          <w:rFonts w:asciiTheme="minorEastAsia" w:hAnsiTheme="minorEastAsia" w:cstheme="minorEastAsia" w:hint="eastAsia"/>
          <w:color w:val="000000" w:themeColor="text1"/>
          <w:szCs w:val="21"/>
        </w:rPr>
        <w:t>。</w:t>
      </w:r>
    </w:p>
    <w:p w:rsidR="00ED5F47" w:rsidP="00ED5F47">
      <w:pPr>
        <w:spacing w:line="360" w:lineRule="auto"/>
        <w:ind w:firstLine="420" w:firstLineChars="200"/>
        <w:jc w:val="left"/>
        <w:rPr>
          <w:rFonts w:asciiTheme="minorEastAsia" w:hAnsiTheme="minorEastAsia" w:cstheme="minorEastAsia"/>
          <w:szCs w:val="21"/>
        </w:rPr>
      </w:pPr>
      <w:r>
        <w:rPr>
          <w:rFonts w:asciiTheme="minorEastAsia" w:hAnsiTheme="minorEastAsia" w:cstheme="minorEastAsia" w:hint="eastAsia"/>
          <w:szCs w:val="21"/>
        </w:rPr>
        <w:t>2、甲方在支付每一笔款之前，乙方均应向甲方先行开具合规的增值税专用发票，乙方未开票的，甲方有权拒绝付款且不构成违约。</w:t>
      </w:r>
    </w:p>
    <w:p w:rsidR="00ED5F47" w:rsidP="00ED5F47">
      <w:pPr>
        <w:adjustRightInd w:val="0"/>
        <w:snapToGrid w:val="0"/>
        <w:spacing w:before="312" w:beforeLines="100" w:line="400" w:lineRule="exact"/>
        <w:outlineLvl w:val="3"/>
        <w:rPr>
          <w:b/>
          <w:szCs w:val="21"/>
        </w:rPr>
      </w:pPr>
      <w:r>
        <w:rPr>
          <w:rFonts w:hint="eastAsia"/>
          <w:b/>
          <w:szCs w:val="21"/>
        </w:rPr>
        <w:t>四、交货</w:t>
      </w:r>
    </w:p>
    <w:p w:rsidR="00ED5F47" w:rsidP="00ED5F47">
      <w:pPr>
        <w:numPr>
          <w:ilvl w:val="0"/>
          <w:numId w:val="13"/>
        </w:numPr>
        <w:adjustRightInd w:val="0"/>
        <w:snapToGrid w:val="0"/>
        <w:spacing w:line="400" w:lineRule="exact"/>
        <w:ind w:firstLine="420"/>
        <w:rPr>
          <w:szCs w:val="21"/>
          <w:u w:val="single"/>
        </w:rPr>
      </w:pPr>
      <w:r>
        <w:rPr>
          <w:rFonts w:hint="eastAsia"/>
          <w:szCs w:val="21"/>
        </w:rPr>
        <w:t>交货日期：</w:t>
      </w:r>
      <w:r>
        <w:rPr>
          <w:rFonts w:hint="eastAsia"/>
          <w:szCs w:val="21"/>
          <w:u w:val="single"/>
        </w:rPr>
        <w:tab/>
        <w:t xml:space="preserve">                      </w:t>
      </w:r>
      <w:r>
        <w:rPr>
          <w:rFonts w:hint="eastAsia"/>
          <w:szCs w:val="21"/>
          <w:u w:val="single"/>
        </w:rPr>
        <w:t>。</w:t>
      </w:r>
    </w:p>
    <w:p w:rsidR="00ED5F47" w:rsidP="00ED5F47">
      <w:pPr>
        <w:numPr>
          <w:ilvl w:val="0"/>
          <w:numId w:val="13"/>
        </w:numPr>
        <w:adjustRightInd w:val="0"/>
        <w:snapToGrid w:val="0"/>
        <w:spacing w:line="400" w:lineRule="exact"/>
        <w:ind w:firstLine="420"/>
        <w:rPr>
          <w:szCs w:val="21"/>
          <w:u w:val="single"/>
        </w:rPr>
      </w:pPr>
      <w:r>
        <w:rPr>
          <w:rFonts w:hint="eastAsia"/>
          <w:szCs w:val="21"/>
        </w:rPr>
        <w:t>运输方式：</w:t>
      </w:r>
      <w:r>
        <w:rPr>
          <w:rFonts w:hint="eastAsia"/>
          <w:szCs w:val="21"/>
          <w:u w:val="single"/>
        </w:rPr>
        <w:tab/>
        <w:t xml:space="preserve">                       </w:t>
      </w:r>
      <w:r>
        <w:rPr>
          <w:rFonts w:hint="eastAsia"/>
          <w:szCs w:val="21"/>
          <w:u w:val="single"/>
        </w:rPr>
        <w:t>。</w:t>
      </w:r>
    </w:p>
    <w:p w:rsidR="00ED5F47" w:rsidP="00ED5F47">
      <w:pPr>
        <w:numPr>
          <w:ilvl w:val="0"/>
          <w:numId w:val="13"/>
        </w:numPr>
        <w:adjustRightInd w:val="0"/>
        <w:snapToGrid w:val="0"/>
        <w:spacing w:line="400" w:lineRule="exact"/>
        <w:ind w:firstLine="420"/>
        <w:rPr>
          <w:szCs w:val="21"/>
          <w:u w:val="single"/>
        </w:rPr>
      </w:pPr>
      <w:r>
        <w:rPr>
          <w:rFonts w:hint="eastAsia"/>
          <w:szCs w:val="21"/>
        </w:rPr>
        <w:t>交货（安装、调试、服务）地点：</w:t>
      </w:r>
      <w:r>
        <w:rPr>
          <w:rFonts w:hint="eastAsia"/>
          <w:szCs w:val="21"/>
          <w:u w:val="single"/>
        </w:rPr>
        <w:t>河南省内用户指定点</w:t>
      </w:r>
      <w:r>
        <w:rPr>
          <w:rFonts w:hint="eastAsia"/>
          <w:szCs w:val="21"/>
          <w:u w:val="single"/>
        </w:rPr>
        <w:t xml:space="preserve">      </w:t>
      </w:r>
      <w:r>
        <w:rPr>
          <w:rFonts w:hint="eastAsia"/>
          <w:szCs w:val="21"/>
          <w:u w:val="single"/>
        </w:rPr>
        <w:t>。</w:t>
      </w:r>
    </w:p>
    <w:p w:rsidR="00ED5F47" w:rsidP="00ED5F47">
      <w:pPr>
        <w:numPr>
          <w:ilvl w:val="0"/>
          <w:numId w:val="13"/>
        </w:numPr>
        <w:adjustRightInd w:val="0"/>
        <w:snapToGrid w:val="0"/>
        <w:spacing w:line="400" w:lineRule="exact"/>
        <w:ind w:firstLine="420"/>
        <w:rPr>
          <w:szCs w:val="21"/>
          <w:u w:val="single"/>
        </w:rPr>
      </w:pPr>
      <w:r>
        <w:rPr>
          <w:rFonts w:hint="eastAsia"/>
          <w:szCs w:val="21"/>
        </w:rPr>
        <w:t>其他约定事项：</w:t>
      </w:r>
      <w:r>
        <w:rPr>
          <w:rFonts w:hint="eastAsia"/>
          <w:szCs w:val="21"/>
          <w:u w:val="single"/>
        </w:rPr>
        <w:t xml:space="preserve">                                        </w:t>
      </w:r>
      <w:r>
        <w:rPr>
          <w:rFonts w:hint="eastAsia"/>
          <w:szCs w:val="21"/>
          <w:u w:val="single"/>
        </w:rPr>
        <w:t>。</w:t>
      </w:r>
    </w:p>
    <w:p w:rsidR="00ED5F47" w:rsidP="00ED5F47">
      <w:pPr>
        <w:adjustRightInd w:val="0"/>
        <w:snapToGrid w:val="0"/>
        <w:spacing w:before="312" w:beforeLines="100" w:line="400" w:lineRule="exact"/>
        <w:outlineLvl w:val="3"/>
        <w:rPr>
          <w:b/>
          <w:szCs w:val="21"/>
        </w:rPr>
      </w:pPr>
      <w:r>
        <w:rPr>
          <w:rFonts w:hint="eastAsia"/>
          <w:b/>
          <w:szCs w:val="21"/>
        </w:rPr>
        <w:t>五、双方主要责任</w:t>
      </w:r>
    </w:p>
    <w:p w:rsidR="00ED5F47" w:rsidP="00ED5F47">
      <w:pPr>
        <w:numPr>
          <w:ilvl w:val="0"/>
          <w:numId w:val="14"/>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甲方按照本合同的约定时间向乙方提供必要的工作条件与支付相关款项。</w:t>
      </w:r>
    </w:p>
    <w:p w:rsidR="00ED5F47" w:rsidP="00ED5F47">
      <w:pPr>
        <w:numPr>
          <w:ilvl w:val="0"/>
          <w:numId w:val="14"/>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乙方按照本合同各条款约定及时间向甲方提供合格的产品及相关服务。</w:t>
      </w:r>
    </w:p>
    <w:p w:rsidR="00ED5F47" w:rsidP="00ED5F47">
      <w:pPr>
        <w:numPr>
          <w:ilvl w:val="0"/>
          <w:numId w:val="14"/>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本合同正文和附件中所规定的甲、乙双方的其他责任。</w:t>
      </w:r>
    </w:p>
    <w:p w:rsidR="00ED5F47" w:rsidP="00ED5F47">
      <w:pPr>
        <w:adjustRightInd w:val="0"/>
        <w:snapToGrid w:val="0"/>
        <w:spacing w:before="312" w:beforeLines="100" w:line="400" w:lineRule="exact"/>
        <w:outlineLvl w:val="3"/>
        <w:rPr>
          <w:b/>
          <w:szCs w:val="21"/>
        </w:rPr>
      </w:pPr>
      <w:r>
        <w:rPr>
          <w:rFonts w:hint="eastAsia"/>
          <w:b/>
          <w:szCs w:val="21"/>
        </w:rPr>
        <w:t>六、知识产权</w:t>
      </w:r>
    </w:p>
    <w:p w:rsidR="00ED5F47" w:rsidP="00ED5F47">
      <w:pPr>
        <w:tabs>
          <w:tab w:val="left" w:pos="1573"/>
        </w:tabs>
        <w:adjustRightInd w:val="0"/>
        <w:snapToGrid w:val="0"/>
        <w:spacing w:line="360" w:lineRule="auto"/>
        <w:ind w:firstLine="420" w:firstLineChars="200"/>
        <w:jc w:val="left"/>
      </w:pPr>
      <w:r>
        <w:rPr>
          <w:rFonts w:hint="eastAsia"/>
        </w:rPr>
        <w:t>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p>
    <w:p w:rsidR="00ED5F47" w:rsidP="00ED5F47">
      <w:pPr>
        <w:adjustRightInd w:val="0"/>
        <w:snapToGrid w:val="0"/>
        <w:spacing w:before="312" w:beforeLines="100" w:line="400" w:lineRule="exact"/>
        <w:outlineLvl w:val="3"/>
        <w:rPr>
          <w:b/>
          <w:szCs w:val="21"/>
        </w:rPr>
      </w:pPr>
      <w:r>
        <w:rPr>
          <w:rFonts w:hint="eastAsia"/>
          <w:b/>
          <w:szCs w:val="21"/>
        </w:rPr>
        <w:t>七、质量标准和验收方式</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补足或更换的货物应在签署货损证明之日起</w:t>
      </w:r>
      <w:r>
        <w:rPr>
          <w:rFonts w:ascii="宋体" w:hAnsi="宋体" w:hint="eastAsia"/>
          <w:szCs w:val="21"/>
          <w:u w:val="single"/>
        </w:rPr>
        <w:t xml:space="preserve">   7    </w:t>
      </w:r>
      <w:r>
        <w:rPr>
          <w:rFonts w:ascii="宋体" w:hAnsi="宋体" w:hint="eastAsia"/>
          <w:szCs w:val="21"/>
        </w:rPr>
        <w:t>日内运达甲方指定地点。</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所提供的设备必须是制造厂家生产的崭新的未开箱的原包装设备。所有设备按厂家设备验收标准（符合国家或行业或地方标准）、招标文件、投标文件等有关内容进行验收。乙方提供设备的制造标准及技术规范等有关资料必须符合中国相应有关标准、规范要求。验收应按照招标文件、乙方投标文件的规定或约定进行，具体如下：</w:t>
      </w:r>
    </w:p>
    <w:p w:rsidR="00ED5F47" w:rsidP="00ED5F47">
      <w:pPr>
        <w:numPr>
          <w:ilvl w:val="0"/>
          <w:numId w:val="15"/>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乙方须为安装和验收提供必需的一切条件及承担相关费用。</w:t>
      </w:r>
    </w:p>
    <w:p w:rsidR="00ED5F47" w:rsidP="00ED5F47">
      <w:pPr>
        <w:numPr>
          <w:ilvl w:val="0"/>
          <w:numId w:val="15"/>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验收程序：设备全部到场后由甲方组织进行货物进场验收，进场验收通过后，乙方进行安装调试工作，安装调试完毕后，由甲方组织进行验收。</w:t>
      </w:r>
    </w:p>
    <w:p w:rsidR="00ED5F47" w:rsidP="00ED5F47">
      <w:pPr>
        <w:numPr>
          <w:ilvl w:val="0"/>
          <w:numId w:val="15"/>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设备进场验收</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设备到货验收前，乙方应提供材料设备清单、设备原厂证明、产品合格证、材料自检证明、报关单（若有）等资料。</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设备全部到货后，由甲方或者甲方委托的监理组织到货检验。</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如设备测试中发现设备性能指标或功能上不符合公开招标文件和合同要求时，将被看作性能不合格，甲方有权拒收。</w:t>
      </w:r>
    </w:p>
    <w:p w:rsidR="00ED5F47" w:rsidP="00ED5F4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到货检验需要甲方或监理工程师在到货检验报告上签署意见，由采购方最后签字认可。</w:t>
      </w:r>
    </w:p>
    <w:p w:rsidR="00ED5F47" w:rsidP="00ED5F47">
      <w:pPr>
        <w:numPr>
          <w:ilvl w:val="0"/>
          <w:numId w:val="15"/>
        </w:numPr>
        <w:spacing w:line="360" w:lineRule="auto"/>
        <w:ind w:firstLine="420" w:firstLineChars="200"/>
        <w:rPr>
          <w:szCs w:val="21"/>
        </w:rPr>
      </w:pPr>
      <w:r>
        <w:rPr>
          <w:rFonts w:hint="eastAsia"/>
          <w:szCs w:val="21"/>
        </w:rPr>
        <w:t>合同</w:t>
      </w:r>
      <w:r>
        <w:rPr>
          <w:szCs w:val="21"/>
        </w:rPr>
        <w:t>验收</w:t>
      </w:r>
    </w:p>
    <w:p w:rsidR="00ED5F47" w:rsidP="00ED5F47">
      <w:pPr>
        <w:spacing w:line="360" w:lineRule="auto"/>
        <w:ind w:firstLine="420" w:firstLineChars="200"/>
        <w:rPr>
          <w:szCs w:val="21"/>
        </w:rPr>
      </w:pPr>
      <w:r>
        <w:rPr>
          <w:rFonts w:hint="eastAsia"/>
          <w:szCs w:val="21"/>
        </w:rPr>
        <w:t>甲方</w:t>
      </w:r>
      <w:r>
        <w:rPr>
          <w:szCs w:val="21"/>
        </w:rPr>
        <w:t>将按照政府采购合同规定的技术、服务、安全标准组织对</w:t>
      </w:r>
      <w:r>
        <w:rPr>
          <w:rFonts w:hint="eastAsia"/>
          <w:szCs w:val="21"/>
        </w:rPr>
        <w:t>乙方</w:t>
      </w:r>
      <w:r>
        <w:rPr>
          <w:szCs w:val="21"/>
        </w:rPr>
        <w:t>履约情况进行验收</w:t>
      </w:r>
      <w:r>
        <w:rPr>
          <w:rFonts w:hint="eastAsia"/>
          <w:szCs w:val="21"/>
        </w:rPr>
        <w:t>并</w:t>
      </w:r>
      <w:r>
        <w:rPr>
          <w:szCs w:val="21"/>
        </w:rPr>
        <w:t>出具验收书。验收书应当包括每一项技术、服务、安全标准的履约情况。所有验收结果经双方确认后，双方代表必须按规定的验收交接单上的项目对照本合同填好验收结果并签名盖章</w:t>
      </w:r>
      <w:r>
        <w:rPr>
          <w:rFonts w:hint="eastAsia"/>
          <w:szCs w:val="21"/>
        </w:rPr>
        <w:t>，</w:t>
      </w:r>
      <w:r>
        <w:rPr>
          <w:rFonts w:ascii="宋体" w:hAnsi="宋体" w:hint="eastAsia"/>
          <w:szCs w:val="21"/>
        </w:rPr>
        <w:t>签字盖章后视为验收通过</w:t>
      </w:r>
      <w:r>
        <w:rPr>
          <w:szCs w:val="21"/>
        </w:rPr>
        <w:t>。</w:t>
      </w:r>
    </w:p>
    <w:p w:rsidR="00ED5F47" w:rsidP="00ED5F47">
      <w:pPr>
        <w:spacing w:line="360" w:lineRule="auto"/>
        <w:ind w:firstLine="420" w:firstLineChars="200"/>
        <w:rPr>
          <w:szCs w:val="21"/>
        </w:rPr>
      </w:pPr>
      <w:r>
        <w:rPr>
          <w:szCs w:val="21"/>
        </w:rPr>
        <w:t>所有设备的修改和调整都应在验收结束后写入操作和维修手册中，</w:t>
      </w:r>
      <w:r>
        <w:rPr>
          <w:rFonts w:hint="eastAsia"/>
          <w:szCs w:val="21"/>
        </w:rPr>
        <w:t>乙方</w:t>
      </w:r>
      <w:r>
        <w:rPr>
          <w:szCs w:val="21"/>
        </w:rPr>
        <w:t>应给出修复的全部细节。</w:t>
      </w:r>
    </w:p>
    <w:p w:rsidR="00ED5F47" w:rsidP="00ED5F47">
      <w:pPr>
        <w:spacing w:line="360" w:lineRule="auto"/>
        <w:ind w:firstLine="420" w:firstLineChars="200"/>
        <w:rPr>
          <w:szCs w:val="21"/>
        </w:rPr>
      </w:pPr>
      <w:r>
        <w:rPr>
          <w:rFonts w:hint="eastAsia"/>
          <w:szCs w:val="21"/>
        </w:rPr>
        <w:t>乙方</w:t>
      </w:r>
      <w:r>
        <w:rPr>
          <w:szCs w:val="21"/>
        </w:rPr>
        <w:t>提供第三方测试机构出具的测试报告，且符合与项目相关的现行技术要求。</w:t>
      </w:r>
    </w:p>
    <w:p w:rsidR="00ED5F47" w:rsidP="00ED5F47">
      <w:pPr>
        <w:spacing w:line="360" w:lineRule="auto"/>
        <w:ind w:firstLine="420" w:firstLineChars="200"/>
        <w:rPr>
          <w:szCs w:val="21"/>
        </w:rPr>
      </w:pPr>
      <w:r>
        <w:rPr>
          <w:rFonts w:hint="eastAsia"/>
          <w:szCs w:val="21"/>
        </w:rPr>
        <w:t>乙方</w:t>
      </w:r>
      <w:r>
        <w:rPr>
          <w:szCs w:val="21"/>
        </w:rPr>
        <w:t>提供约定的备件、用户手册、维修手册，软件安装光盘及使用手册，日常维修工具等。</w:t>
      </w:r>
    </w:p>
    <w:p w:rsidR="00ED5F47" w:rsidP="00ED5F47">
      <w:pPr>
        <w:spacing w:line="360" w:lineRule="auto"/>
        <w:ind w:firstLine="420" w:firstLineChars="200"/>
        <w:rPr>
          <w:rFonts w:ascii="宋体" w:hAnsi="宋体"/>
          <w:szCs w:val="21"/>
        </w:rPr>
      </w:pPr>
      <w:r>
        <w:rPr>
          <w:szCs w:val="21"/>
        </w:rPr>
        <w:t>验收按照</w:t>
      </w:r>
      <w:r>
        <w:rPr>
          <w:rFonts w:hint="eastAsia"/>
          <w:szCs w:val="21"/>
        </w:rPr>
        <w:t>甲方</w:t>
      </w:r>
      <w:r>
        <w:rPr>
          <w:szCs w:val="21"/>
        </w:rPr>
        <w:t>的内部规定操作。通过验收后，需要</w:t>
      </w:r>
      <w:r>
        <w:rPr>
          <w:rFonts w:hint="eastAsia"/>
          <w:szCs w:val="21"/>
        </w:rPr>
        <w:t>乙方</w:t>
      </w:r>
      <w:r>
        <w:rPr>
          <w:szCs w:val="21"/>
        </w:rPr>
        <w:t>、</w:t>
      </w:r>
      <w:r>
        <w:rPr>
          <w:rFonts w:hint="eastAsia"/>
          <w:szCs w:val="21"/>
        </w:rPr>
        <w:t>甲方</w:t>
      </w:r>
      <w:r>
        <w:rPr>
          <w:szCs w:val="21"/>
        </w:rPr>
        <w:t>双方在验收报告上签字盖章，签字盖章后视为验收通过。</w:t>
      </w:r>
    </w:p>
    <w:p w:rsidR="00ED5F47" w:rsidP="00ED5F47">
      <w:pPr>
        <w:numPr>
          <w:ilvl w:val="12"/>
          <w:numId w:val="0"/>
        </w:numPr>
        <w:tabs>
          <w:tab w:val="left" w:pos="1573"/>
        </w:tabs>
        <w:adjustRightInd w:val="0"/>
        <w:snapToGrid w:val="0"/>
        <w:spacing w:line="360" w:lineRule="auto"/>
        <w:ind w:firstLine="420" w:firstLineChars="200"/>
        <w:jc w:val="left"/>
      </w:pPr>
      <w:r>
        <w:rPr>
          <w:szCs w:val="21"/>
        </w:rPr>
        <w:t>验收过程中，若发现货物质量有问题，</w:t>
      </w:r>
      <w:r>
        <w:rPr>
          <w:rFonts w:hint="eastAsia"/>
          <w:szCs w:val="21"/>
        </w:rPr>
        <w:t>乙方</w:t>
      </w:r>
      <w:r>
        <w:rPr>
          <w:szCs w:val="21"/>
        </w:rPr>
        <w:t>应无条件免费更换，并无条件重新检测并调试直至验收合格交付</w:t>
      </w:r>
      <w:r>
        <w:rPr>
          <w:rFonts w:hint="eastAsia"/>
          <w:szCs w:val="21"/>
        </w:rPr>
        <w:t>甲方</w:t>
      </w:r>
      <w:r>
        <w:rPr>
          <w:szCs w:val="21"/>
        </w:rPr>
        <w:t>使用。在此期间，</w:t>
      </w:r>
      <w:r>
        <w:rPr>
          <w:rFonts w:hint="eastAsia"/>
          <w:szCs w:val="21"/>
        </w:rPr>
        <w:t>乙方</w:t>
      </w:r>
      <w:r>
        <w:rPr>
          <w:szCs w:val="21"/>
        </w:rPr>
        <w:t>在</w:t>
      </w:r>
      <w:r>
        <w:rPr>
          <w:rFonts w:hint="eastAsia"/>
          <w:szCs w:val="21"/>
        </w:rPr>
        <w:t>甲方</w:t>
      </w:r>
      <w:r>
        <w:rPr>
          <w:szCs w:val="21"/>
        </w:rPr>
        <w:t>现场进行安装、调试、试运行直至初验收所发生的一切费用由</w:t>
      </w:r>
      <w:r>
        <w:rPr>
          <w:rFonts w:hint="eastAsia"/>
          <w:szCs w:val="21"/>
        </w:rPr>
        <w:t>乙方</w:t>
      </w:r>
      <w:r>
        <w:rPr>
          <w:szCs w:val="21"/>
        </w:rPr>
        <w:t>承担且已含在报价总价中。</w:t>
      </w:r>
    </w:p>
    <w:p w:rsidR="00ED5F47" w:rsidP="00ED5F47">
      <w:pPr>
        <w:numPr>
          <w:ilvl w:val="0"/>
          <w:numId w:val="15"/>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若验收不能符合要求，甲方将按合同条款的有关规定执行。</w:t>
      </w:r>
    </w:p>
    <w:p w:rsidR="00ED5F47" w:rsidP="00ED5F47">
      <w:pPr>
        <w:numPr>
          <w:ilvl w:val="0"/>
          <w:numId w:val="15"/>
        </w:numPr>
        <w:tabs>
          <w:tab w:val="left" w:pos="1573"/>
        </w:tabs>
        <w:adjustRightInd w:val="0"/>
        <w:snapToGrid w:val="0"/>
        <w:spacing w:line="360" w:lineRule="auto"/>
        <w:ind w:firstLine="420" w:firstLineChars="200"/>
        <w:jc w:val="left"/>
      </w:pPr>
      <w:r>
        <w:rPr>
          <w:rFonts w:ascii="宋体" w:hAnsi="宋体" w:hint="eastAsia"/>
          <w:szCs w:val="21"/>
        </w:rPr>
        <w:t>验收结果经双方确认后，双方代表必须按规定的验收交接单上的项目对照本合同填好验收结果并签名盖章。</w:t>
      </w:r>
    </w:p>
    <w:p w:rsidR="00ED5F47" w:rsidP="00ED5F47">
      <w:pPr>
        <w:adjustRightInd w:val="0"/>
        <w:snapToGrid w:val="0"/>
        <w:spacing w:before="312" w:beforeLines="100" w:line="400" w:lineRule="exact"/>
        <w:outlineLvl w:val="3"/>
        <w:rPr>
          <w:b/>
          <w:szCs w:val="21"/>
        </w:rPr>
      </w:pPr>
      <w:r>
        <w:rPr>
          <w:rFonts w:hint="eastAsia"/>
          <w:b/>
          <w:szCs w:val="21"/>
        </w:rPr>
        <w:t>八、培训</w:t>
      </w:r>
    </w:p>
    <w:p w:rsidR="00ED5F47" w:rsidP="00ED5F47">
      <w:pPr>
        <w:tabs>
          <w:tab w:val="left" w:pos="1573"/>
        </w:tabs>
        <w:adjustRightInd w:val="0"/>
        <w:snapToGrid w:val="0"/>
        <w:spacing w:line="360" w:lineRule="auto"/>
        <w:ind w:firstLine="420" w:firstLineChars="200"/>
        <w:jc w:val="left"/>
        <w:rPr>
          <w:rFonts w:ascii="宋体" w:hAnsi="宋体"/>
        </w:rPr>
      </w:pPr>
      <w:r>
        <w:rPr>
          <w:rFonts w:ascii="宋体" w:hAnsi="宋体" w:hint="eastAsia"/>
        </w:rPr>
        <w:t>对本项目直接用户进行</w:t>
      </w:r>
      <w:r>
        <w:rPr>
          <w:spacing w:val="-4"/>
          <w:szCs w:val="21"/>
        </w:rPr>
        <w:t>日常操作</w:t>
      </w:r>
      <w:r>
        <w:rPr>
          <w:rFonts w:hint="eastAsia"/>
          <w:spacing w:val="-4"/>
          <w:szCs w:val="21"/>
        </w:rPr>
        <w:t>、</w:t>
      </w:r>
      <w:r>
        <w:rPr>
          <w:spacing w:val="-4"/>
          <w:szCs w:val="21"/>
        </w:rPr>
        <w:t>保养与管理</w:t>
      </w:r>
      <w:r>
        <w:rPr>
          <w:rFonts w:hint="eastAsia"/>
          <w:spacing w:val="-4"/>
          <w:szCs w:val="21"/>
        </w:rPr>
        <w:t>、</w:t>
      </w:r>
      <w:r>
        <w:rPr>
          <w:spacing w:val="-4"/>
          <w:szCs w:val="21"/>
        </w:rPr>
        <w:t>常见故障排除</w:t>
      </w:r>
      <w:r>
        <w:rPr>
          <w:rFonts w:hint="eastAsia"/>
          <w:spacing w:val="-4"/>
          <w:szCs w:val="21"/>
        </w:rPr>
        <w:t>、</w:t>
      </w:r>
      <w:r>
        <w:rPr>
          <w:spacing w:val="-4"/>
          <w:szCs w:val="21"/>
        </w:rPr>
        <w:t>紧急情况处理等专业培训</w:t>
      </w:r>
      <w:r>
        <w:rPr>
          <w:rFonts w:ascii="宋体" w:hAnsi="宋体" w:hint="eastAsia"/>
        </w:rPr>
        <w:t>，课时根据用户需求安排。</w:t>
      </w:r>
    </w:p>
    <w:p w:rsidR="00ED5F47" w:rsidP="00ED5F47">
      <w:pPr>
        <w:numPr>
          <w:ilvl w:val="0"/>
          <w:numId w:val="16"/>
        </w:numPr>
        <w:ind w:firstLine="420"/>
      </w:pPr>
      <w:r>
        <w:rPr>
          <w:rFonts w:hint="eastAsia"/>
        </w:rPr>
        <w:t>乙方</w:t>
      </w:r>
      <w:r>
        <w:t>须在</w:t>
      </w:r>
      <w:r>
        <w:rPr>
          <w:rFonts w:hint="eastAsia"/>
        </w:rPr>
        <w:t>依照</w:t>
      </w:r>
      <w:r>
        <w:t>投标文件中列出</w:t>
      </w:r>
      <w:r>
        <w:rPr>
          <w:rFonts w:hint="eastAsia"/>
        </w:rPr>
        <w:t>的</w:t>
      </w:r>
      <w:r>
        <w:t>培训课程大纲，提出培训计划。</w:t>
      </w:r>
    </w:p>
    <w:p w:rsidR="00ED5F47" w:rsidP="00ED5F47">
      <w:pPr>
        <w:numPr>
          <w:ilvl w:val="0"/>
          <w:numId w:val="16"/>
        </w:numPr>
        <w:ind w:firstLine="420"/>
      </w:pPr>
      <w:r>
        <w:t>培训在</w:t>
      </w:r>
      <w:r>
        <w:rPr>
          <w:rFonts w:hint="eastAsia"/>
        </w:rPr>
        <w:t>甲方</w:t>
      </w:r>
      <w:r>
        <w:t>指定的地点进行。</w:t>
      </w:r>
    </w:p>
    <w:p w:rsidR="00ED5F47" w:rsidP="00ED5F47">
      <w:pPr>
        <w:numPr>
          <w:ilvl w:val="0"/>
          <w:numId w:val="16"/>
        </w:numPr>
        <w:ind w:firstLine="420"/>
      </w:pPr>
      <w:r>
        <w:rPr>
          <w:rFonts w:hint="eastAsia"/>
        </w:rPr>
        <w:t>乙方</w:t>
      </w:r>
      <w:r>
        <w:t>应提供日常操作，保养与管理，常见故障排除，紧急情况处理等专业培训。</w:t>
      </w:r>
    </w:p>
    <w:p w:rsidR="00ED5F47" w:rsidP="00ED5F47">
      <w:pPr>
        <w:numPr>
          <w:ilvl w:val="0"/>
          <w:numId w:val="16"/>
        </w:numPr>
        <w:ind w:firstLine="420"/>
      </w:pPr>
      <w:r>
        <w:t>培训</w:t>
      </w:r>
      <w:r>
        <w:rPr>
          <w:rFonts w:hint="eastAsia"/>
        </w:rPr>
        <w:t>形式包括但不限于现场讲解和操作训练相结合</w:t>
      </w:r>
      <w:r>
        <w:t>的方法。</w:t>
      </w:r>
    </w:p>
    <w:p w:rsidR="00ED5F47" w:rsidP="00ED5F47">
      <w:pPr>
        <w:numPr>
          <w:ilvl w:val="0"/>
          <w:numId w:val="16"/>
        </w:numPr>
        <w:ind w:firstLine="420"/>
      </w:pPr>
      <w:r>
        <w:t>所有培训课程和示范均应由有资质的人员进行，培训人员不仅须具备该领域的专长，同时还须具备与受训人员之间进行简明有效的沟通的能力。</w:t>
      </w:r>
      <w:r>
        <w:rPr>
          <w:rFonts w:hint="eastAsia"/>
        </w:rPr>
        <w:t>甲方</w:t>
      </w:r>
      <w:r>
        <w:t>将监督培训计划的实施。</w:t>
      </w:r>
    </w:p>
    <w:p w:rsidR="00ED5F47" w:rsidP="00ED5F47">
      <w:pPr>
        <w:numPr>
          <w:ilvl w:val="0"/>
          <w:numId w:val="16"/>
        </w:numPr>
        <w:ind w:firstLine="420"/>
      </w:pPr>
      <w:r>
        <w:rPr>
          <w:rFonts w:hint="eastAsia"/>
        </w:rPr>
        <w:t>乙方</w:t>
      </w:r>
      <w:r>
        <w:t>编制和提供本招标文件中描述的培训工作所需的所有培训手册。</w:t>
      </w:r>
    </w:p>
    <w:p w:rsidR="00ED5F47" w:rsidP="00ED5F47">
      <w:pPr>
        <w:numPr>
          <w:ilvl w:val="0"/>
          <w:numId w:val="16"/>
        </w:numPr>
        <w:ind w:firstLine="420"/>
      </w:pPr>
      <w:r>
        <w:rPr>
          <w:rFonts w:hint="eastAsia"/>
        </w:rPr>
        <w:t>乙方</w:t>
      </w:r>
      <w:r>
        <w:t>根据参加各项培训课程人员的数目，向每一个参加人员提供全部有关的培训手册。培训课程使用</w:t>
      </w:r>
      <w:r>
        <w:rPr>
          <w:rFonts w:hint="eastAsia"/>
        </w:rPr>
        <w:t>乙方</w:t>
      </w:r>
      <w:r>
        <w:t>提供的有关文件，并且在培训班开始之前完成有关文件认可后的最终稿</w:t>
      </w:r>
      <w:r>
        <w:rPr>
          <w:rFonts w:hint="eastAsia"/>
        </w:rPr>
        <w:t>。</w:t>
      </w:r>
    </w:p>
    <w:p w:rsidR="00ED5F47" w:rsidP="00ED5F47">
      <w:pPr>
        <w:numPr>
          <w:ilvl w:val="0"/>
          <w:numId w:val="16"/>
        </w:numPr>
        <w:ind w:firstLine="420"/>
      </w:pPr>
      <w:r>
        <w:t>除</w:t>
      </w:r>
      <w:r>
        <w:rPr>
          <w:rFonts w:hint="eastAsia"/>
        </w:rPr>
        <w:t>甲方</w:t>
      </w:r>
      <w:r>
        <w:t>另有认可外，最终文件应于开始任何培训课至少</w:t>
      </w:r>
      <w:r>
        <w:t xml:space="preserve">15 </w:t>
      </w:r>
      <w:r>
        <w:t>个工作日之前提交</w:t>
      </w:r>
      <w:r>
        <w:rPr>
          <w:rFonts w:hint="eastAsia"/>
        </w:rPr>
        <w:t>甲方</w:t>
      </w:r>
      <w:r>
        <w:t>确认。</w:t>
      </w:r>
    </w:p>
    <w:p w:rsidR="00ED5F47" w:rsidP="00ED5F47">
      <w:pPr>
        <w:numPr>
          <w:ilvl w:val="0"/>
          <w:numId w:val="16"/>
        </w:numPr>
        <w:ind w:firstLine="420"/>
      </w:pPr>
      <w:r>
        <w:rPr>
          <w:rFonts w:hint="eastAsia"/>
        </w:rPr>
        <w:t>乙方</w:t>
      </w:r>
      <w:r>
        <w:t>提交包括所有培训手册的完整的电子文件。</w:t>
      </w:r>
    </w:p>
    <w:p w:rsidR="00ED5F47" w:rsidP="00ED5F47">
      <w:pPr>
        <w:numPr>
          <w:ilvl w:val="0"/>
          <w:numId w:val="16"/>
        </w:numPr>
        <w:ind w:firstLine="420"/>
      </w:pPr>
      <w:r>
        <w:rPr>
          <w:rFonts w:hint="eastAsia"/>
        </w:rPr>
        <w:t>乙方</w:t>
      </w:r>
      <w:r>
        <w:t>提供培训所需的所有消耗品、测试设备和任何其他材料。</w:t>
      </w:r>
    </w:p>
    <w:p w:rsidR="00ED5F47" w:rsidP="00ED5F47">
      <w:pPr>
        <w:numPr>
          <w:ilvl w:val="0"/>
          <w:numId w:val="16"/>
        </w:numPr>
        <w:ind w:firstLine="420"/>
        <w:jc w:val="left"/>
        <w:rPr>
          <w:rFonts w:ascii="宋体" w:hAnsi="宋体"/>
        </w:rPr>
      </w:pPr>
      <w:r>
        <w:rPr>
          <w:rFonts w:hint="eastAsia"/>
        </w:rPr>
        <w:t>甲方</w:t>
      </w:r>
      <w:r>
        <w:t>有权使用其摄像、录音等设备记录所有的培训课程。</w:t>
      </w:r>
    </w:p>
    <w:p w:rsidR="00ED5F47" w:rsidP="00ED5F47">
      <w:pPr>
        <w:adjustRightInd w:val="0"/>
        <w:snapToGrid w:val="0"/>
        <w:spacing w:before="312" w:beforeLines="100" w:line="400" w:lineRule="exact"/>
        <w:outlineLvl w:val="3"/>
        <w:rPr>
          <w:b/>
          <w:szCs w:val="21"/>
        </w:rPr>
      </w:pPr>
      <w:r>
        <w:rPr>
          <w:rFonts w:hint="eastAsia"/>
          <w:b/>
          <w:szCs w:val="21"/>
        </w:rPr>
        <w:t>九、技术服务和保修责任方式</w:t>
      </w:r>
    </w:p>
    <w:p w:rsidR="00ED5F47" w:rsidP="00ED5F47">
      <w:pPr>
        <w:numPr>
          <w:ilvl w:val="0"/>
          <w:numId w:val="17"/>
        </w:numPr>
        <w:tabs>
          <w:tab w:val="left" w:pos="1573"/>
        </w:tabs>
        <w:adjustRightInd w:val="0"/>
        <w:snapToGrid w:val="0"/>
        <w:spacing w:line="360" w:lineRule="auto"/>
        <w:ind w:firstLine="420" w:firstLineChars="200"/>
        <w:jc w:val="left"/>
      </w:pPr>
      <w:r>
        <w:rPr>
          <w:rFonts w:ascii="宋体" w:hAnsi="宋体" w:hint="eastAsia"/>
          <w:szCs w:val="21"/>
        </w:rPr>
        <w:t>乙方对合同货物的质量保修期为验收证书签署之日起</w:t>
      </w:r>
      <w:r>
        <w:rPr>
          <w:rFonts w:ascii="宋体" w:hAnsi="宋体" w:hint="eastAsia"/>
          <w:szCs w:val="21"/>
          <w:u w:val="single"/>
        </w:rPr>
        <w:t xml:space="preserve">   96    </w:t>
      </w:r>
      <w:r>
        <w:rPr>
          <w:rFonts w:ascii="宋体" w:hAnsi="宋体" w:hint="eastAsia"/>
          <w:szCs w:val="21"/>
        </w:rPr>
        <w:t>个月。</w:t>
      </w:r>
    </w:p>
    <w:p w:rsidR="00ED5F47" w:rsidP="00ED5F47">
      <w:pPr>
        <w:numPr>
          <w:ilvl w:val="12"/>
          <w:numId w:val="0"/>
        </w:numPr>
        <w:ind w:firstLine="420"/>
      </w:pPr>
      <w:r>
        <w:rPr>
          <w:rFonts w:hint="eastAsia"/>
        </w:rPr>
        <w:t>（</w:t>
      </w:r>
      <w:r>
        <w:rPr>
          <w:rFonts w:hint="eastAsia"/>
        </w:rPr>
        <w:t>1</w:t>
      </w:r>
      <w:r>
        <w:rPr>
          <w:rFonts w:hint="eastAsia"/>
        </w:rPr>
        <w:t>）乙方须按招标文件文件的要求提供合格的产品，</w:t>
      </w:r>
      <w:r>
        <w:t>整体系统通过验收合格之日起计，</w:t>
      </w:r>
      <w:r>
        <w:rPr>
          <w:rFonts w:hint="eastAsia"/>
        </w:rPr>
        <w:t>设备（含软件）质保期为捌年</w:t>
      </w:r>
      <w:r>
        <w:t>。质保期内</w:t>
      </w:r>
      <w:r>
        <w:rPr>
          <w:rFonts w:hint="eastAsia"/>
        </w:rPr>
        <w:t>须按合同条款提服务，非因操作不当造成要更换的零配件由乙方负责包修、包换。如果由于乙方产品缺陷所导致的升级费用由乙方承担，由于甲方提出新的功能所引起的升级费用由双方协商解决。</w:t>
      </w:r>
    </w:p>
    <w:p w:rsidR="00ED5F47" w:rsidP="00ED5F47">
      <w:pPr>
        <w:ind w:firstLine="420"/>
        <w:jc w:val="left"/>
      </w:pPr>
      <w:r>
        <w:rPr>
          <w:rFonts w:hint="eastAsia"/>
        </w:rPr>
        <w:t>（</w:t>
      </w:r>
      <w:r>
        <w:rPr>
          <w:rFonts w:hint="eastAsia"/>
        </w:rPr>
        <w:t>2</w:t>
      </w:r>
      <w:r>
        <w:rPr>
          <w:rFonts w:hint="eastAsia"/>
        </w:rPr>
        <w:t>）</w:t>
      </w:r>
      <w:r>
        <w:t>质保期内，</w:t>
      </w:r>
      <w:r>
        <w:rPr>
          <w:rFonts w:hint="eastAsia"/>
        </w:rPr>
        <w:t>乙方</w:t>
      </w:r>
      <w:r>
        <w:t>必须配备一支稳定的专业技术服务队伍，并配备足够的交通工具、通信工具、检测仪器及维修设备，负责设备的一切维护工作。</w:t>
      </w:r>
    </w:p>
    <w:p w:rsidR="00ED5F47" w:rsidP="00ED5F47">
      <w:pPr>
        <w:numPr>
          <w:ilvl w:val="12"/>
          <w:numId w:val="0"/>
        </w:numPr>
        <w:ind w:firstLine="420"/>
        <w:jc w:val="left"/>
      </w:pPr>
      <w:r>
        <w:rPr>
          <w:rFonts w:hint="eastAsia"/>
        </w:rPr>
        <w:t>（</w:t>
      </w:r>
      <w:r>
        <w:rPr>
          <w:rFonts w:hint="eastAsia"/>
        </w:rPr>
        <w:t>3</w:t>
      </w:r>
      <w:r>
        <w:rPr>
          <w:rFonts w:hint="eastAsia"/>
        </w:rPr>
        <w:t>）质保期内，乙方负责提供本次采购产品与采购人信息系统对接过程中硬件、软件接口改造或其他可能产生的费用等。免费保修期满前</w:t>
      </w:r>
      <w:r>
        <w:rPr>
          <w:rFonts w:hint="eastAsia"/>
        </w:rPr>
        <w:t>1</w:t>
      </w:r>
      <w:r>
        <w:rPr>
          <w:rFonts w:hint="eastAsia"/>
        </w:rPr>
        <w:t>个月内，乙方应负责对设备进行一次免费全面检查，如发现潜在问题，应负责排除，保证设备正常运行。超出质保期后设备（含软件）维保费用不高于合同价的</w:t>
      </w:r>
      <w:r>
        <w:rPr>
          <w:rFonts w:hint="eastAsia"/>
        </w:rPr>
        <w:t>5%</w:t>
      </w:r>
      <w:r>
        <w:rPr>
          <w:rFonts w:hint="eastAsia"/>
        </w:rPr>
        <w:t>。</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乙方在合同货物的质量保修期内，免费为甲方提供合同货物的技术指导和维修服务的时间是：每周</w:t>
      </w:r>
      <w:r>
        <w:rPr>
          <w:rFonts w:ascii="宋体" w:hAnsi="宋体"/>
          <w:szCs w:val="21"/>
          <w:u w:val="single"/>
        </w:rPr>
        <w:t xml:space="preserve">   7    </w:t>
      </w:r>
      <w:r>
        <w:rPr>
          <w:rFonts w:ascii="宋体" w:hAnsi="宋体"/>
          <w:szCs w:val="21"/>
        </w:rPr>
        <w:t>天</w:t>
      </w:r>
      <w:r>
        <w:rPr>
          <w:rFonts w:ascii="Arial" w:hAnsi="Arial" w:cs="Arial"/>
          <w:szCs w:val="21"/>
        </w:rPr>
        <w:t>×</w:t>
      </w:r>
      <w:r>
        <w:rPr>
          <w:rFonts w:ascii="宋体" w:hAnsi="宋体"/>
          <w:szCs w:val="21"/>
          <w:u w:val="single"/>
        </w:rPr>
        <w:t xml:space="preserve">    24   </w:t>
      </w:r>
      <w:r>
        <w:rPr>
          <w:rFonts w:ascii="宋体" w:hAnsi="宋体"/>
          <w:szCs w:val="21"/>
        </w:rPr>
        <w:t>小时（工作时间）。</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rPr>
      </w:pPr>
      <w:r>
        <w:rPr>
          <w:rFonts w:ascii="宋体" w:hAnsi="宋体" w:hint="eastAsia"/>
          <w:szCs w:val="21"/>
        </w:rPr>
        <w:t>乙方保证在合同货物出现故障和缺陷时，或接到甲方提出的技术服务要求后</w:t>
      </w:r>
      <w:r>
        <w:rPr>
          <w:rFonts w:ascii="宋体" w:hAnsi="宋体" w:hint="eastAsia"/>
          <w:szCs w:val="21"/>
          <w:u w:val="single"/>
        </w:rPr>
        <w:t xml:space="preserve"> 2  </w:t>
      </w:r>
      <w:r>
        <w:rPr>
          <w:rFonts w:ascii="宋体" w:hAnsi="宋体" w:hint="eastAsia"/>
          <w:szCs w:val="21"/>
        </w:rPr>
        <w:t>小时内予以答复，如甲方有要求或必要时，乙方应在接到甲方通知后</w:t>
      </w:r>
      <w:r>
        <w:rPr>
          <w:rFonts w:ascii="宋体" w:hAnsi="宋体" w:hint="eastAsia"/>
          <w:szCs w:val="21"/>
          <w:u w:val="single"/>
        </w:rPr>
        <w:t xml:space="preserve">  6    </w:t>
      </w:r>
      <w:r>
        <w:rPr>
          <w:rFonts w:ascii="宋体" w:hAnsi="宋体" w:hint="eastAsia"/>
          <w:szCs w:val="21"/>
        </w:rPr>
        <w:t>小时内派员至甲方免费维修和提供现场指导，24小时内处理完毕</w:t>
      </w:r>
      <w:r>
        <w:rPr>
          <w:rFonts w:ascii="宋体" w:hAnsi="宋体" w:hint="eastAsia"/>
        </w:rPr>
        <w:t>并及时填写维修报告（包括故障原因、处理情况及甲方意见等）报甲方备案。</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如乙方在接到甲方维修通知后</w:t>
      </w:r>
      <w:r>
        <w:rPr>
          <w:rFonts w:ascii="宋体" w:hAnsi="宋体" w:hint="eastAsia"/>
          <w:szCs w:val="21"/>
          <w:u w:val="single"/>
        </w:rPr>
        <w:t xml:space="preserve">   24    </w:t>
      </w:r>
      <w:r>
        <w:rPr>
          <w:rFonts w:ascii="宋体" w:hAnsi="宋体" w:hint="eastAsia"/>
          <w:szCs w:val="21"/>
        </w:rPr>
        <w:t>小时仍不能修复有关货物，则乙方应在12小时内提供不低于故障设备规格、型号、性能的备用设备供甲方使用，直至故障设备修复，</w:t>
      </w:r>
      <w:r>
        <w:rPr>
          <w:rFonts w:ascii="宋体" w:hAnsi="宋体" w:hint="eastAsia"/>
        </w:rPr>
        <w:t>其中发生的一切费用由乙方承担。</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rPr>
        <w:t>质保期内乙方有责任对设备进行</w:t>
      </w:r>
      <w:r>
        <w:rPr>
          <w:rFonts w:ascii="宋体" w:hAnsi="宋体" w:hint="eastAsia"/>
          <w:szCs w:val="21"/>
        </w:rPr>
        <w:t>定期巡检：乙方需派遣维修技术人员定期进行巡检、走访，听取客户意见，为客户解决疑难问题，指导操作人员进行正确操作和保养，质保期内定期巡视时间周期为年均不少于一次</w:t>
      </w:r>
      <w:r>
        <w:rPr>
          <w:rFonts w:ascii="宋体" w:hAnsi="宋体" w:hint="eastAsia"/>
        </w:rPr>
        <w:t>。</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如乙方在接到甲方提出的技术服务要求或维修通知后</w:t>
      </w:r>
      <w:r>
        <w:rPr>
          <w:rFonts w:ascii="宋体" w:hAnsi="宋体" w:hint="eastAsia"/>
          <w:szCs w:val="21"/>
          <w:u w:val="single"/>
        </w:rPr>
        <w:t xml:space="preserve">    6   </w:t>
      </w:r>
      <w:r>
        <w:rPr>
          <w:rFonts w:ascii="宋体" w:hAnsi="宋体" w:hint="eastAsia"/>
          <w:szCs w:val="21"/>
        </w:rPr>
        <w:t>小时内没有响应、拒绝或没有派员到达甲方提供技术服务、修理或退换货物，甲方有权委托第三人对合同货物进行维修或提供技术服务，</w:t>
      </w:r>
      <w:r>
        <w:rPr>
          <w:rFonts w:ascii="宋体" w:hAnsi="宋体" w:hint="eastAsia"/>
        </w:rPr>
        <w:t>其中发生的一切费用由乙方承担。</w:t>
      </w:r>
    </w:p>
    <w:p w:rsidR="00ED5F47" w:rsidP="00ED5F47">
      <w:pPr>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质保期内，保修服务方式均为乙方上门保修，即由乙方派员到设备使用现场维修，由此产生的一切费用均由乙方承担。如果需要将部件托运或邮寄到异地维修，乙方承担由此产生的拆装、邮寄、维修等一切费用。</w:t>
      </w:r>
    </w:p>
    <w:p w:rsidR="00ED5F47" w:rsidP="00ED5F47">
      <w:pPr>
        <w:widowControl/>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在合同货物保修期届满后，如果因合同货物硬件或软件的固有缺陷和瑕疵出现紧急故障和事故，乙方应在接到甲方通知之后</w:t>
      </w:r>
      <w:r>
        <w:rPr>
          <w:rFonts w:ascii="宋体" w:hAnsi="宋体" w:hint="eastAsia"/>
          <w:szCs w:val="21"/>
          <w:u w:val="single"/>
        </w:rPr>
        <w:t xml:space="preserve">  6  </w:t>
      </w:r>
      <w:r>
        <w:rPr>
          <w:rFonts w:ascii="宋体" w:hAnsi="宋体" w:hint="eastAsia"/>
          <w:szCs w:val="21"/>
        </w:rPr>
        <w:t>小时内到达现场。</w:t>
      </w:r>
    </w:p>
    <w:p w:rsidR="00ED5F47" w:rsidP="00ED5F47">
      <w:pPr>
        <w:widowControl/>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乙方应负责系统运行的稳定性。负责免费更换硬件故障部件或修改出错的软件系统。</w:t>
      </w:r>
    </w:p>
    <w:p w:rsidR="00ED5F47" w:rsidP="00ED5F47">
      <w:pPr>
        <w:widowControl/>
        <w:numPr>
          <w:ilvl w:val="0"/>
          <w:numId w:val="17"/>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乙方承诺在质保期内提供咨询和技术支持服务。</w:t>
      </w:r>
    </w:p>
    <w:p w:rsidR="00ED5F47" w:rsidP="00ED5F47">
      <w:pPr>
        <w:adjustRightInd w:val="0"/>
        <w:snapToGrid w:val="0"/>
        <w:spacing w:before="312" w:beforeLines="100" w:line="400" w:lineRule="exact"/>
        <w:outlineLvl w:val="3"/>
        <w:rPr>
          <w:b/>
          <w:szCs w:val="21"/>
        </w:rPr>
      </w:pPr>
      <w:r>
        <w:rPr>
          <w:rFonts w:hint="eastAsia"/>
          <w:b/>
          <w:szCs w:val="21"/>
        </w:rPr>
        <w:t>十、违约责任</w:t>
      </w:r>
    </w:p>
    <w:p w:rsidR="00ED5F47" w:rsidP="00ED5F47">
      <w:pPr>
        <w:numPr>
          <w:ilvl w:val="0"/>
          <w:numId w:val="18"/>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延期交货或延期付款的违约责任：如乙方延期交货或甲方延期付款，每逾期一天，违约方应按延期交货所折合的金额或延期付款金额每天</w:t>
      </w:r>
      <w:r>
        <w:rPr>
          <w:rFonts w:ascii="宋体" w:hAnsi="宋体" w:hint="eastAsia"/>
          <w:szCs w:val="21"/>
          <w:u w:val="single"/>
        </w:rPr>
        <w:t xml:space="preserve">   5   </w:t>
      </w:r>
      <w:r>
        <w:rPr>
          <w:rFonts w:ascii="宋体" w:hAnsi="宋体" w:hint="eastAsia"/>
          <w:szCs w:val="21"/>
        </w:rPr>
        <w:t>‰ 的比例向对方支付违约</w:t>
      </w:r>
      <w:r>
        <w:rPr>
          <w:rFonts w:ascii="宋体" w:hAnsi="宋体" w:hint="eastAsia"/>
          <w:szCs w:val="21"/>
        </w:rPr>
        <w:t>金，但该违约金累计不超过合同总金额的</w:t>
      </w:r>
      <w:r>
        <w:rPr>
          <w:rFonts w:ascii="宋体" w:hAnsi="宋体" w:hint="eastAsia"/>
          <w:szCs w:val="21"/>
          <w:u w:val="single"/>
        </w:rPr>
        <w:t xml:space="preserve">  10   </w:t>
      </w:r>
      <w:r>
        <w:rPr>
          <w:rFonts w:ascii="宋体" w:hAnsi="宋体" w:hint="eastAsia"/>
          <w:szCs w:val="21"/>
        </w:rPr>
        <w:t>%；上述逾期超过</w:t>
      </w:r>
      <w:r>
        <w:rPr>
          <w:rFonts w:ascii="宋体" w:hAnsi="宋体" w:hint="eastAsia"/>
          <w:szCs w:val="21"/>
          <w:u w:val="single"/>
        </w:rPr>
        <w:t xml:space="preserve">   30   </w:t>
      </w:r>
      <w:r>
        <w:rPr>
          <w:rFonts w:ascii="宋体" w:hAnsi="宋体" w:hint="eastAsia"/>
          <w:szCs w:val="21"/>
        </w:rPr>
        <w:t>天且成套集成的货物已交货套数未达合同约定套数90%的以及单套货物未能全部交足的，守约方有权解除合同，并要求违约方赔偿由此造成的损失。</w:t>
      </w:r>
    </w:p>
    <w:p w:rsidR="00ED5F47" w:rsidP="00ED5F47">
      <w:pPr>
        <w:numPr>
          <w:ilvl w:val="0"/>
          <w:numId w:val="18"/>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延期售后服务的违约责任：如果乙方未能按照合同约定的时间提供服务的，每逾</w:t>
      </w:r>
      <w:r>
        <w:rPr>
          <w:rFonts w:ascii="宋体" w:hAnsi="宋体" w:hint="eastAsia"/>
          <w:szCs w:val="21"/>
          <w:u w:val="single"/>
        </w:rPr>
        <w:t xml:space="preserve"> 1 </w:t>
      </w:r>
      <w:r>
        <w:rPr>
          <w:rFonts w:ascii="宋体" w:hAnsi="宋体" w:hint="eastAsia"/>
          <w:szCs w:val="21"/>
        </w:rPr>
        <w:t>天的，乙方应向甲方支付</w:t>
      </w:r>
      <w:r>
        <w:rPr>
          <w:rFonts w:ascii="宋体" w:hAnsi="宋体" w:hint="eastAsia"/>
          <w:szCs w:val="21"/>
          <w:u w:val="single"/>
        </w:rPr>
        <w:t xml:space="preserve"> 500 </w:t>
      </w:r>
      <w:r>
        <w:rPr>
          <w:rFonts w:ascii="宋体" w:hAnsi="宋体" w:hint="eastAsia"/>
          <w:szCs w:val="21"/>
        </w:rPr>
        <w:t>元违约金，若因此给甲方造成损失的，乙方还应赔偿甲方所受的损失。</w:t>
      </w:r>
    </w:p>
    <w:p w:rsidR="00ED5F47" w:rsidP="00ED5F47">
      <w:pPr>
        <w:numPr>
          <w:ilvl w:val="0"/>
          <w:numId w:val="18"/>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其他违约责任：若乙方不能交货的（逾期15个工作日视为不能交货，因不可抗拒的因素除外）或交货不合格从而影响甲方正常使用的，乙方应向甲方偿付不能交货部分货款的</w:t>
      </w:r>
      <w:r>
        <w:rPr>
          <w:rFonts w:ascii="宋体" w:hAnsi="宋体" w:hint="eastAsia"/>
          <w:szCs w:val="21"/>
          <w:u w:val="single"/>
        </w:rPr>
        <w:t xml:space="preserve">10 </w:t>
      </w:r>
      <w:r>
        <w:rPr>
          <w:rFonts w:ascii="宋体" w:hAnsi="宋体" w:hint="eastAsia"/>
          <w:szCs w:val="21"/>
        </w:rPr>
        <w:t>%的违约金。违约金不足以补偿损失的，甲方有权要求乙方赔偿损失。</w:t>
      </w:r>
    </w:p>
    <w:p w:rsidR="00ED5F47" w:rsidP="00ED5F47">
      <w:pPr>
        <w:adjustRightInd w:val="0"/>
        <w:snapToGrid w:val="0"/>
        <w:spacing w:before="312" w:beforeLines="100" w:line="400" w:lineRule="exact"/>
        <w:outlineLvl w:val="3"/>
        <w:rPr>
          <w:b/>
          <w:szCs w:val="21"/>
        </w:rPr>
      </w:pPr>
      <w:r>
        <w:rPr>
          <w:rFonts w:hint="eastAsia"/>
          <w:b/>
          <w:szCs w:val="21"/>
        </w:rPr>
        <w:t>十一、风险责任</w:t>
      </w:r>
    </w:p>
    <w:p w:rsidR="00ED5F47" w:rsidP="00ED5F4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因不可抗力造成违约的，遭受不可抗力的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rsidR="00ED5F47" w:rsidP="00ED5F4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本合同中的不可抗力指不能预见、不能避免并不能克服的客观情况。包括但不限于：自然灾害如地震、台风、洪水、火灾；政府行为、法律规定或其适用的变化或者其他任何无法预见、避免或者控制的事件。</w:t>
      </w:r>
    </w:p>
    <w:p w:rsidR="00ED5F47" w:rsidP="00ED5F47">
      <w:pPr>
        <w:adjustRightInd w:val="0"/>
        <w:snapToGrid w:val="0"/>
        <w:spacing w:before="312" w:beforeLines="100" w:line="400" w:lineRule="exact"/>
        <w:outlineLvl w:val="3"/>
        <w:rPr>
          <w:b/>
          <w:szCs w:val="21"/>
        </w:rPr>
      </w:pPr>
      <w:r>
        <w:rPr>
          <w:rFonts w:hint="eastAsia"/>
          <w:b/>
          <w:szCs w:val="21"/>
        </w:rPr>
        <w:t>十二、合同终止条款</w:t>
      </w:r>
    </w:p>
    <w:p w:rsidR="00ED5F47" w:rsidP="00ED5F47">
      <w:pPr>
        <w:numPr>
          <w:ilvl w:val="0"/>
          <w:numId w:val="19"/>
        </w:numPr>
        <w:spacing w:line="360" w:lineRule="auto"/>
        <w:ind w:firstLine="420"/>
        <w:rPr>
          <w:rFonts w:ascii="宋体" w:hAnsi="宋体" w:cs="宋体"/>
        </w:rPr>
      </w:pPr>
      <w:r>
        <w:rPr>
          <w:rFonts w:ascii="宋体" w:hAnsi="宋体" w:cs="宋体" w:hint="eastAsia"/>
        </w:rPr>
        <w:t xml:space="preserve">在补救违约而采取的任何其他措施未能实现的情况下，即在甲方发出的违约通知后30天内（或经甲方书面确认的更长时间内）仍未纠正其下述任何一种违约行为，甲方有权向乙方发出书面违约通知，甲方终止本合同：  </w:t>
      </w:r>
    </w:p>
    <w:p w:rsidR="00ED5F47" w:rsidP="00ED5F47">
      <w:pPr>
        <w:spacing w:line="360" w:lineRule="auto"/>
        <w:ind w:firstLine="420" w:firstLineChars="200"/>
        <w:rPr>
          <w:rFonts w:ascii="宋体" w:hAnsi="宋体" w:cs="宋体"/>
        </w:rPr>
      </w:pPr>
      <w:r>
        <w:rPr>
          <w:rFonts w:ascii="宋体" w:hAnsi="宋体" w:cs="宋体" w:hint="eastAsia"/>
        </w:rPr>
        <w:t>a）如果乙方未能在合同规定的期限内或双方另行确定的延期交货时间内交付合同约定的货物。</w:t>
      </w:r>
    </w:p>
    <w:p w:rsidR="00ED5F47" w:rsidP="00ED5F47">
      <w:pPr>
        <w:spacing w:line="360" w:lineRule="auto"/>
        <w:ind w:firstLine="420" w:firstLineChars="200"/>
        <w:rPr>
          <w:rFonts w:ascii="宋体" w:hAnsi="宋体" w:cs="宋体"/>
        </w:rPr>
      </w:pPr>
      <w:r>
        <w:rPr>
          <w:rFonts w:ascii="宋体" w:hAnsi="宋体" w:cs="宋体" w:hint="eastAsia"/>
        </w:rPr>
        <w:t>b）乙方未能履行合同项下的任何其它义务。</w:t>
      </w:r>
    </w:p>
    <w:p w:rsidR="00ED5F47" w:rsidP="00ED5F47">
      <w:pPr>
        <w:numPr>
          <w:ilvl w:val="0"/>
          <w:numId w:val="19"/>
        </w:numPr>
        <w:spacing w:line="360" w:lineRule="auto"/>
        <w:ind w:firstLine="420"/>
        <w:rPr>
          <w:rFonts w:ascii="宋体" w:hAnsi="宋体" w:cs="宋体"/>
        </w:rPr>
      </w:pPr>
      <w:r>
        <w:rPr>
          <w:rFonts w:ascii="宋体" w:hAnsi="宋体" w:cs="宋体" w:hint="eastAsia"/>
        </w:rPr>
        <w:t>合同当事人一方无法继续履行合同义务，且经双方协商后解除合同；协商不能达到双方目的的，通过甲方所在当地法院进行判决，根据法院实际判决情况终止合同。</w:t>
      </w:r>
    </w:p>
    <w:p w:rsidR="00ED5F47" w:rsidP="00ED5F47">
      <w:pPr>
        <w:adjustRightInd w:val="0"/>
        <w:snapToGrid w:val="0"/>
        <w:spacing w:before="312" w:beforeLines="100" w:line="400" w:lineRule="exact"/>
        <w:outlineLvl w:val="3"/>
        <w:rPr>
          <w:b/>
          <w:szCs w:val="21"/>
        </w:rPr>
      </w:pPr>
      <w:r>
        <w:rPr>
          <w:rFonts w:hint="eastAsia"/>
          <w:b/>
          <w:szCs w:val="21"/>
        </w:rPr>
        <w:t>十三、</w:t>
      </w:r>
      <w:r>
        <w:rPr>
          <w:b/>
          <w:szCs w:val="21"/>
        </w:rPr>
        <w:t>组成合同的</w:t>
      </w:r>
      <w:r>
        <w:rPr>
          <w:rFonts w:hint="eastAsia"/>
          <w:b/>
          <w:szCs w:val="21"/>
        </w:rPr>
        <w:t>附件</w:t>
      </w:r>
    </w:p>
    <w:p w:rsidR="00ED5F47" w:rsidP="00ED5F47">
      <w:pPr>
        <w:adjustRightInd w:val="0"/>
        <w:snapToGrid w:val="0"/>
        <w:spacing w:line="400" w:lineRule="exact"/>
        <w:ind w:firstLine="420" w:firstLineChars="200"/>
        <w:rPr>
          <w:szCs w:val="21"/>
        </w:rPr>
      </w:pPr>
      <w:r>
        <w:rPr>
          <w:szCs w:val="21"/>
        </w:rPr>
        <w:t>本协议书与下列文件一起构成合同文件，如下述文件之间有任何抵触、矛盾或歧义，应按以下顺序解释：</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（7）附件1：</w:t>
      </w:r>
      <w:r>
        <w:rPr>
          <w:rFonts w:hint="eastAsia"/>
          <w:szCs w:val="21"/>
        </w:rPr>
        <w:t>供货承诺函</w:t>
      </w:r>
    </w:p>
    <w:p w:rsidR="00ED5F47" w:rsidP="00ED5F47">
      <w:pPr>
        <w:adjustRightInd w:val="0"/>
        <w:snapToGrid w:val="0"/>
        <w:spacing w:line="400" w:lineRule="exact"/>
        <w:ind w:firstLine="420" w:firstLineChars="200"/>
        <w:rPr>
          <w:rFonts w:ascii="宋体" w:hAnsi="宋体"/>
          <w:szCs w:val="21"/>
        </w:rPr>
      </w:pPr>
      <w:r>
        <w:rPr>
          <w:rFonts w:ascii="宋体" w:hAnsi="宋体" w:hint="eastAsia"/>
          <w:szCs w:val="21"/>
        </w:rPr>
        <w:t>（8）有关技术文件，图纸</w:t>
      </w:r>
    </w:p>
    <w:p w:rsidR="00ED5F47" w:rsidP="00ED5F47">
      <w:pPr>
        <w:pStyle w:val="AONormal"/>
        <w:ind w:firstLine="420"/>
        <w:rPr>
          <w:rFonts w:ascii="宋体" w:eastAsia="宋体" w:hAnsi="宋体" w:cs="宋体"/>
          <w:kern w:val="2"/>
          <w:sz w:val="21"/>
        </w:rPr>
      </w:pPr>
      <w:r>
        <w:rPr>
          <w:rFonts w:ascii="宋体" w:eastAsia="宋体" w:hAnsi="宋体" w:cs="宋体" w:hint="eastAsia"/>
          <w:sz w:val="21"/>
        </w:rPr>
        <w:t>（9）</w:t>
      </w:r>
      <w:r>
        <w:rPr>
          <w:rFonts w:ascii="宋体" w:eastAsia="宋体" w:hAnsi="宋体" w:cs="宋体" w:hint="eastAsia"/>
          <w:color w:val="000000"/>
          <w:kern w:val="2"/>
          <w:sz w:val="21"/>
        </w:rPr>
        <w:t>国家法律、行政法规和规章制度规定或合同约定的作为合同组成部分的其他文件</w:t>
      </w:r>
    </w:p>
    <w:p w:rsidR="00ED5F47" w:rsidP="00ED5F47">
      <w:pPr>
        <w:adjustRightInd w:val="0"/>
        <w:snapToGrid w:val="0"/>
        <w:spacing w:before="312" w:beforeLines="100" w:line="400" w:lineRule="exact"/>
        <w:outlineLvl w:val="3"/>
        <w:rPr>
          <w:b/>
          <w:szCs w:val="21"/>
        </w:rPr>
      </w:pPr>
      <w:r>
        <w:rPr>
          <w:rFonts w:hint="eastAsia"/>
          <w:b/>
          <w:szCs w:val="21"/>
        </w:rPr>
        <w:t>十四、其他</w:t>
      </w:r>
    </w:p>
    <w:p w:rsidR="00ED5F47" w:rsidP="00ED5F47">
      <w:pPr>
        <w:numPr>
          <w:ilvl w:val="0"/>
          <w:numId w:val="20"/>
        </w:numPr>
        <w:spacing w:line="360" w:lineRule="auto"/>
        <w:ind w:firstLine="420"/>
        <w:rPr>
          <w:rFonts w:ascii="宋体" w:hAnsi="宋体"/>
        </w:rPr>
      </w:pPr>
      <w:r>
        <w:rPr>
          <w:rFonts w:ascii="宋体" w:hAnsi="宋体"/>
        </w:rPr>
        <w:t>本合同经甲、乙双方签字盖章后生效，合同文本一式</w:t>
      </w:r>
      <w:r>
        <w:rPr>
          <w:rFonts w:ascii="宋体" w:hAnsi="宋体"/>
          <w:u w:val="single"/>
        </w:rPr>
        <w:t xml:space="preserve">  </w:t>
      </w:r>
      <w:r>
        <w:rPr>
          <w:rFonts w:ascii="宋体" w:hAnsi="宋体" w:hint="eastAsia"/>
          <w:u w:val="single"/>
        </w:rPr>
        <w:t xml:space="preserve">肆  </w:t>
      </w:r>
      <w:r>
        <w:rPr>
          <w:rFonts w:ascii="宋体" w:hAnsi="宋体"/>
          <w:u w:val="single"/>
        </w:rPr>
        <w:t xml:space="preserve"> </w:t>
      </w:r>
      <w:r>
        <w:rPr>
          <w:rFonts w:ascii="宋体" w:hAnsi="宋体"/>
        </w:rPr>
        <w:t>份，甲方、乙方各持</w:t>
      </w:r>
      <w:r>
        <w:rPr>
          <w:rFonts w:ascii="宋体" w:hAnsi="宋体" w:hint="eastAsia"/>
          <w:u w:val="single"/>
        </w:rPr>
        <w:t xml:space="preserve"> </w:t>
      </w:r>
      <w:r>
        <w:rPr>
          <w:rFonts w:ascii="宋体" w:hAnsi="宋体"/>
          <w:u w:val="single"/>
        </w:rPr>
        <w:t xml:space="preserve"> </w:t>
      </w:r>
      <w:r>
        <w:rPr>
          <w:rFonts w:ascii="宋体" w:hAnsi="宋体" w:hint="eastAsia"/>
          <w:u w:val="single"/>
        </w:rPr>
        <w:t xml:space="preserve">贰 </w:t>
      </w:r>
      <w:r>
        <w:rPr>
          <w:rFonts w:ascii="宋体" w:hAnsi="宋体"/>
          <w:u w:val="single"/>
        </w:rPr>
        <w:t xml:space="preserve"> </w:t>
      </w:r>
      <w:r>
        <w:rPr>
          <w:rFonts w:ascii="宋体" w:hAnsi="宋体"/>
        </w:rPr>
        <w:t>份。</w:t>
      </w:r>
    </w:p>
    <w:p w:rsidR="00ED5F47" w:rsidP="00ED5F47">
      <w:pPr>
        <w:numPr>
          <w:ilvl w:val="0"/>
          <w:numId w:val="20"/>
        </w:numPr>
        <w:spacing w:line="360" w:lineRule="auto"/>
        <w:ind w:firstLine="420"/>
      </w:pPr>
      <w:r>
        <w:rPr>
          <w:rFonts w:ascii="宋体" w:hAnsi="宋体"/>
        </w:rPr>
        <w:t>本合同附件与合同具有同等法律效力。</w:t>
      </w:r>
    </w:p>
    <w:p w:rsidR="00ED5F47" w:rsidP="00ED5F47">
      <w:pPr>
        <w:numPr>
          <w:ilvl w:val="0"/>
          <w:numId w:val="20"/>
        </w:numPr>
        <w:spacing w:line="360" w:lineRule="auto"/>
        <w:ind w:firstLine="420"/>
      </w:pPr>
      <w:r>
        <w:rPr>
          <w:rFonts w:ascii="宋体" w:hAnsi="宋体" w:hint="eastAsia"/>
        </w:rPr>
        <w:t>合同第八条（培训）、第九条（技术服务和保修责任方式）和附件1不可在中标后变更。</w:t>
      </w:r>
    </w:p>
    <w:p w:rsidR="00ED5F47" w:rsidP="00ED5F47">
      <w:pPr>
        <w:numPr>
          <w:ilvl w:val="0"/>
          <w:numId w:val="20"/>
        </w:numPr>
        <w:spacing w:line="360" w:lineRule="auto"/>
        <w:ind w:firstLine="420"/>
      </w:pPr>
      <w:r>
        <w:rPr>
          <w:rFonts w:ascii="宋体" w:hAnsi="宋体"/>
        </w:rPr>
        <w:t>本合同未尽事宜，可在合同执行过程中及时协商解决，协商取得一致时，将书面材料作为本合同的附件，与本合同具有同等效力。</w:t>
      </w:r>
    </w:p>
    <w:p w:rsidR="00ED5F47" w:rsidP="00ED5F47">
      <w:pPr>
        <w:numPr>
          <w:ilvl w:val="12"/>
          <w:numId w:val="0"/>
        </w:numPr>
      </w:pPr>
      <w:r>
        <w:rPr>
          <w:rFonts w:ascii="宋体" w:hAnsi="宋体"/>
        </w:rPr>
        <w:br w:type="page"/>
      </w: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rsidTr="00273EDF">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D5F47" w:rsidP="00273EDF">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D5F47" w:rsidP="00273EDF">
            <w:pPr>
              <w:adjustRightInd w:val="0"/>
              <w:snapToGrid w:val="0"/>
              <w:spacing w:line="300" w:lineRule="exact"/>
              <w:jc w:val="center"/>
            </w:pPr>
            <w:r>
              <w:rPr>
                <w:szCs w:val="21"/>
              </w:rPr>
              <w:t>乙方</w:t>
            </w:r>
            <w:r>
              <w:rPr>
                <w:rFonts w:hint="eastAsia"/>
                <w:szCs w:val="21"/>
              </w:rPr>
              <w:t>（供应商）</w:t>
            </w:r>
          </w:p>
        </w:tc>
      </w:tr>
      <w:tr w:rsidTr="00273EDF">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法定代表人</w:t>
            </w:r>
          </w:p>
          <w:p w:rsidR="00ED5F47" w:rsidP="00273EDF">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法定代表人</w:t>
            </w:r>
          </w:p>
          <w:p w:rsidR="00ED5F47" w:rsidP="00273ED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zCs w:val="21"/>
              </w:rPr>
            </w:pPr>
          </w:p>
        </w:tc>
      </w:tr>
      <w:tr w:rsidTr="00273EDF">
        <w:tblPrEx>
          <w:tblW w:w="4927" w:type="pct"/>
          <w:tblLook w:val="04A0"/>
        </w:tblPrEx>
        <w:trPr>
          <w:trHeight w:val="483"/>
        </w:trPr>
        <w:tc>
          <w:tcPr>
            <w:tcW w:w="1126" w:type="pct"/>
            <w:vMerge/>
            <w:tcBorders>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D5F47" w:rsidP="00273EDF">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D5F47" w:rsidP="00273EDF">
            <w:pPr>
              <w:adjustRightInd w:val="0"/>
              <w:snapToGrid w:val="0"/>
              <w:spacing w:line="300" w:lineRule="exact"/>
              <w:jc w:val="center"/>
              <w:rPr>
                <w:spacing w:val="20"/>
                <w:szCs w:val="21"/>
              </w:rPr>
            </w:pPr>
          </w:p>
        </w:tc>
      </w:tr>
      <w:tr w:rsidTr="00273EDF">
        <w:tblPrEx>
          <w:tblW w:w="4927" w:type="pct"/>
          <w:tblLook w:val="04A0"/>
        </w:tblPrEx>
        <w:trPr>
          <w:trHeight w:val="586"/>
        </w:trPr>
        <w:tc>
          <w:tcPr>
            <w:tcW w:w="5000" w:type="pct"/>
            <w:gridSpan w:val="4"/>
            <w:tcBorders>
              <w:top w:val="single" w:sz="2" w:space="0" w:color="auto"/>
            </w:tcBorders>
            <w:vAlign w:val="center"/>
          </w:tcPr>
          <w:p w:rsidR="00ED5F47" w:rsidP="00ED5F4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8415A" w:rsidRPr="00ED5F47" w:rsidP="00ED5F47">
      <w:pPr>
        <w:pStyle w:val="BodyText"/>
        <w:spacing w:after="0"/>
        <w:jc w:val="center"/>
        <w:rPr>
          <w:lang w:val="en-US"/>
        </w:rPr>
      </w:pPr>
    </w:p>
    <w:p w:rsidR="00A77B3E"/>
    <w:p w:rsidR="0028415A" w:rsidP="00ED5F47">
      <w:pPr>
        <w:numPr>
          <w:ilvl w:val="0"/>
          <w:numId w:val="10"/>
        </w:numPr>
        <w:spacing w:line="360" w:lineRule="auto"/>
        <w:ind w:firstLine="3066" w:firstLineChars="1460"/>
        <w:jc w:val="left"/>
        <w:rPr>
          <w:b/>
          <w:bCs/>
          <w:szCs w:val="21"/>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A5DBD9"/>
    <w:multiLevelType w:val="singleLevel"/>
    <w:tmpl w:val="95A5DBD9"/>
    <w:lvl w:ilvl="0">
      <w:start w:val="1"/>
      <w:numFmt w:val="decimal"/>
      <w:suff w:val="space"/>
      <w:lvlText w:val="%1."/>
      <w:lvlJc w:val="left"/>
    </w:lvl>
  </w:abstractNum>
  <w:abstractNum w:abstractNumId="1">
    <w:nsid w:val="99DAA402"/>
    <w:multiLevelType w:val="singleLevel"/>
    <w:tmpl w:val="99DAA402"/>
    <w:lvl w:ilvl="0">
      <w:start w:val="1"/>
      <w:numFmt w:val="decimal"/>
      <w:suff w:val="space"/>
      <w:lvlText w:val="%1."/>
      <w:lvlJc w:val="left"/>
    </w:lvl>
  </w:abstractNum>
  <w:abstractNum w:abstractNumId="2">
    <w:nsid w:val="BEEF948F"/>
    <w:multiLevelType w:val="singleLevel"/>
    <w:tmpl w:val="BEEF948F"/>
    <w:lvl w:ilvl="0">
      <w:start w:val="1"/>
      <w:numFmt w:val="decimal"/>
      <w:suff w:val="space"/>
      <w:lvlText w:val="%1."/>
      <w:lvlJc w:val="left"/>
    </w:lvl>
  </w:abstractNum>
  <w:abstractNum w:abstractNumId="3">
    <w:nsid w:val="C4A07229"/>
    <w:multiLevelType w:val="singleLevel"/>
    <w:tmpl w:val="C4A07229"/>
    <w:lvl w:ilvl="0">
      <w:start w:val="1"/>
      <w:numFmt w:val="decimal"/>
      <w:suff w:val="space"/>
      <w:lvlText w:val="%1."/>
      <w:lvlJc w:val="left"/>
    </w:lvl>
  </w:abstractNum>
  <w:abstractNum w:abstractNumId="4">
    <w:nsid w:val="D02FB804"/>
    <w:multiLevelType w:val="singleLevel"/>
    <w:tmpl w:val="D02FB804"/>
    <w:lvl w:ilvl="0">
      <w:start w:val="1"/>
      <w:numFmt w:val="decimal"/>
      <w:suff w:val="space"/>
      <w:lvlText w:val="%1."/>
      <w:lvlJc w:val="left"/>
    </w:lvl>
  </w:abstractNum>
  <w:abstractNum w:abstractNumId="5">
    <w:nsid w:val="E43D2DCC"/>
    <w:multiLevelType w:val="singleLevel"/>
    <w:tmpl w:val="E43D2DCC"/>
    <w:lvl w:ilvl="0">
      <w:start w:val="1"/>
      <w:numFmt w:val="decimal"/>
      <w:lvlText w:val="%1)"/>
      <w:lvlJc w:val="left"/>
      <w:pPr>
        <w:ind w:left="0" w:firstLine="0"/>
      </w:pPr>
      <w:rPr>
        <w:rFonts w:hint="default"/>
      </w:rPr>
    </w:lvl>
  </w:abstractNum>
  <w:abstractNum w:abstractNumId="6">
    <w:nsid w:val="F1E75CE3"/>
    <w:multiLevelType w:val="multilevel"/>
    <w:tmpl w:val="F1E75CE3"/>
    <w:lvl w:ilvl="0">
      <w:start w:val="1"/>
      <w:numFmt w:val="decimal"/>
      <w:suff w:val="nothing"/>
      <w:lvlText w:val="%1、"/>
      <w:lvlJc w:val="left"/>
      <w:pPr>
        <w:ind w:left="776" w:hanging="360"/>
      </w:pPr>
      <w:rPr>
        <w:rFonts w:hint="default"/>
        <w:sz w:val="21"/>
        <w:szCs w:val="21"/>
      </w:rPr>
    </w:lvl>
    <w:lvl w:ilvl="1">
      <w:start w:val="1"/>
      <w:numFmt w:val="lowerLetter"/>
      <w:lvlText w:val="%2)"/>
      <w:lvlJc w:val="left"/>
      <w:pPr>
        <w:ind w:left="1256" w:hanging="420"/>
      </w:pPr>
    </w:lvl>
    <w:lvl w:ilvl="2">
      <w:start w:val="1"/>
      <w:numFmt w:val="lowerRoman"/>
      <w:lvlText w:val="%3."/>
      <w:lvlJc w:val="right"/>
      <w:pPr>
        <w:ind w:left="1676" w:hanging="420"/>
      </w:pPr>
    </w:lvl>
    <w:lvl w:ilvl="3">
      <w:start w:val="1"/>
      <w:numFmt w:val="decimal"/>
      <w:lvlText w:val="%4."/>
      <w:lvlJc w:val="left"/>
      <w:pPr>
        <w:ind w:left="2096" w:hanging="420"/>
      </w:pPr>
    </w:lvl>
    <w:lvl w:ilvl="4">
      <w:start w:val="1"/>
      <w:numFmt w:val="lowerLetter"/>
      <w:lvlText w:val="%5)"/>
      <w:lvlJc w:val="left"/>
      <w:pPr>
        <w:ind w:left="2516" w:hanging="420"/>
      </w:pPr>
    </w:lvl>
    <w:lvl w:ilvl="5">
      <w:start w:val="1"/>
      <w:numFmt w:val="lowerRoman"/>
      <w:lvlText w:val="%6."/>
      <w:lvlJc w:val="right"/>
      <w:pPr>
        <w:ind w:left="2936" w:hanging="420"/>
      </w:pPr>
    </w:lvl>
    <w:lvl w:ilvl="6">
      <w:start w:val="1"/>
      <w:numFmt w:val="decimal"/>
      <w:lvlText w:val="%7."/>
      <w:lvlJc w:val="left"/>
      <w:pPr>
        <w:ind w:left="3356" w:hanging="420"/>
      </w:pPr>
    </w:lvl>
    <w:lvl w:ilvl="7">
      <w:start w:val="1"/>
      <w:numFmt w:val="lowerLetter"/>
      <w:lvlText w:val="%8)"/>
      <w:lvlJc w:val="left"/>
      <w:pPr>
        <w:ind w:left="3776" w:hanging="420"/>
      </w:pPr>
    </w:lvl>
    <w:lvl w:ilvl="8">
      <w:start w:val="1"/>
      <w:numFmt w:val="lowerRoman"/>
      <w:lvlText w:val="%9."/>
      <w:lvlJc w:val="right"/>
      <w:pPr>
        <w:ind w:left="4196" w:hanging="420"/>
      </w:pPr>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9735DBE"/>
    <w:multiLevelType w:val="multilevel"/>
    <w:tmpl w:val="09735DBE"/>
    <w:lvl w:ilvl="0">
      <w:start w:val="1"/>
      <w:numFmt w:val="decimal"/>
      <w:suff w:val="nothing"/>
      <w:lvlText w:val="%1、"/>
      <w:lvlJc w:val="left"/>
      <w:pPr>
        <w:ind w:left="776" w:hanging="360"/>
      </w:pPr>
      <w:rPr>
        <w:rFonts w:hint="default"/>
        <w:sz w:val="21"/>
        <w:szCs w:val="21"/>
      </w:rPr>
    </w:lvl>
    <w:lvl w:ilvl="1">
      <w:start w:val="1"/>
      <w:numFmt w:val="lowerLetter"/>
      <w:lvlText w:val="%2)"/>
      <w:lvlJc w:val="left"/>
      <w:pPr>
        <w:ind w:left="1256" w:hanging="420"/>
      </w:pPr>
    </w:lvl>
    <w:lvl w:ilvl="2">
      <w:start w:val="1"/>
      <w:numFmt w:val="lowerRoman"/>
      <w:lvlText w:val="%3."/>
      <w:lvlJc w:val="right"/>
      <w:pPr>
        <w:ind w:left="1676" w:hanging="420"/>
      </w:pPr>
    </w:lvl>
    <w:lvl w:ilvl="3">
      <w:start w:val="1"/>
      <w:numFmt w:val="decimal"/>
      <w:lvlText w:val="%4."/>
      <w:lvlJc w:val="left"/>
      <w:pPr>
        <w:ind w:left="2096" w:hanging="420"/>
      </w:pPr>
    </w:lvl>
    <w:lvl w:ilvl="4">
      <w:start w:val="1"/>
      <w:numFmt w:val="lowerLetter"/>
      <w:lvlText w:val="%5)"/>
      <w:lvlJc w:val="left"/>
      <w:pPr>
        <w:ind w:left="2516" w:hanging="420"/>
      </w:pPr>
    </w:lvl>
    <w:lvl w:ilvl="5">
      <w:start w:val="1"/>
      <w:numFmt w:val="lowerRoman"/>
      <w:lvlText w:val="%6."/>
      <w:lvlJc w:val="right"/>
      <w:pPr>
        <w:ind w:left="2936" w:hanging="420"/>
      </w:pPr>
    </w:lvl>
    <w:lvl w:ilvl="6">
      <w:start w:val="1"/>
      <w:numFmt w:val="decimal"/>
      <w:lvlText w:val="%7."/>
      <w:lvlJc w:val="left"/>
      <w:pPr>
        <w:ind w:left="3356" w:hanging="420"/>
      </w:pPr>
    </w:lvl>
    <w:lvl w:ilvl="7">
      <w:start w:val="1"/>
      <w:numFmt w:val="lowerLetter"/>
      <w:lvlText w:val="%8)"/>
      <w:lvlJc w:val="left"/>
      <w:pPr>
        <w:ind w:left="3776" w:hanging="420"/>
      </w:pPr>
    </w:lvl>
    <w:lvl w:ilvl="8">
      <w:start w:val="1"/>
      <w:numFmt w:val="lowerRoman"/>
      <w:lvlText w:val="%9."/>
      <w:lvlJc w:val="right"/>
      <w:pPr>
        <w:ind w:left="4196" w:hanging="420"/>
      </w:p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177C232F"/>
    <w:multiLevelType w:val="singleLevel"/>
    <w:tmpl w:val="177C232F"/>
    <w:lvl w:ilvl="0">
      <w:start w:val="1"/>
      <w:numFmt w:val="decimal"/>
      <w:suff w:val="space"/>
      <w:lvlText w:val="%1."/>
      <w:lvlJc w:val="left"/>
    </w:lvl>
  </w:abstractNum>
  <w:abstractNum w:abstractNumId="12">
    <w:nsid w:val="28E6A61A"/>
    <w:multiLevelType w:val="singleLevel"/>
    <w:tmpl w:val="28E6A61A"/>
    <w:lvl w:ilvl="0">
      <w:start w:val="1"/>
      <w:numFmt w:val="decimal"/>
      <w:suff w:val="space"/>
      <w:lvlText w:val="%1."/>
      <w:lvlJc w:val="left"/>
    </w:lvl>
  </w:abstractNum>
  <w:abstractNum w:abstractNumId="13">
    <w:nsid w:val="293CC800"/>
    <w:multiLevelType w:val="singleLevel"/>
    <w:tmpl w:val="293CC800"/>
    <w:lvl w:ilvl="0">
      <w:start w:val="5"/>
      <w:numFmt w:val="chineseCounting"/>
      <w:suff w:val="nothing"/>
      <w:lvlText w:val="%1、"/>
      <w:lvlJc w:val="left"/>
      <w:rPr>
        <w:rFonts w:hint="eastAsia"/>
      </w:rPr>
    </w:lvl>
  </w:abstractNum>
  <w:abstractNum w:abstractNumId="14">
    <w:nsid w:val="2CBE78C5"/>
    <w:multiLevelType w:val="singleLevel"/>
    <w:tmpl w:val="2CBE78C5"/>
    <w:lvl w:ilvl="0">
      <w:start w:val="1"/>
      <w:numFmt w:val="decimal"/>
      <w:suff w:val="space"/>
      <w:lvlText w:val="%1."/>
      <w:lvlJc w:val="left"/>
    </w:lvl>
  </w:abstractNum>
  <w:abstractNum w:abstractNumId="1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4F739D8"/>
    <w:multiLevelType w:val="multilevel"/>
    <w:tmpl w:val="34F739D8"/>
    <w:lvl w:ilvl="0">
      <w:start w:val="1"/>
      <w:numFmt w:val="decimal"/>
      <w:suff w:val="nothing"/>
      <w:lvlText w:val="%1、"/>
      <w:lvlJc w:val="left"/>
      <w:pPr>
        <w:ind w:left="776" w:hanging="360"/>
      </w:pPr>
      <w:rPr>
        <w:rFonts w:hint="default"/>
        <w:sz w:val="21"/>
        <w:szCs w:val="21"/>
      </w:rPr>
    </w:lvl>
    <w:lvl w:ilvl="1">
      <w:start w:val="1"/>
      <w:numFmt w:val="lowerLetter"/>
      <w:lvlText w:val="%2)"/>
      <w:lvlJc w:val="left"/>
      <w:pPr>
        <w:ind w:left="1256" w:hanging="420"/>
      </w:pPr>
    </w:lvl>
    <w:lvl w:ilvl="2">
      <w:start w:val="1"/>
      <w:numFmt w:val="lowerRoman"/>
      <w:lvlText w:val="%3."/>
      <w:lvlJc w:val="right"/>
      <w:pPr>
        <w:ind w:left="1676" w:hanging="420"/>
      </w:pPr>
    </w:lvl>
    <w:lvl w:ilvl="3">
      <w:start w:val="1"/>
      <w:numFmt w:val="decimal"/>
      <w:lvlText w:val="%4."/>
      <w:lvlJc w:val="left"/>
      <w:pPr>
        <w:ind w:left="2096" w:hanging="420"/>
      </w:pPr>
    </w:lvl>
    <w:lvl w:ilvl="4">
      <w:start w:val="1"/>
      <w:numFmt w:val="lowerLetter"/>
      <w:lvlText w:val="%5)"/>
      <w:lvlJc w:val="left"/>
      <w:pPr>
        <w:ind w:left="2516" w:hanging="420"/>
      </w:pPr>
    </w:lvl>
    <w:lvl w:ilvl="5">
      <w:start w:val="1"/>
      <w:numFmt w:val="lowerRoman"/>
      <w:lvlText w:val="%6."/>
      <w:lvlJc w:val="right"/>
      <w:pPr>
        <w:ind w:left="2936" w:hanging="420"/>
      </w:pPr>
    </w:lvl>
    <w:lvl w:ilvl="6">
      <w:start w:val="1"/>
      <w:numFmt w:val="decimal"/>
      <w:lvlText w:val="%7."/>
      <w:lvlJc w:val="left"/>
      <w:pPr>
        <w:ind w:left="3356" w:hanging="420"/>
      </w:pPr>
    </w:lvl>
    <w:lvl w:ilvl="7">
      <w:start w:val="1"/>
      <w:numFmt w:val="lowerLetter"/>
      <w:lvlText w:val="%8)"/>
      <w:lvlJc w:val="left"/>
      <w:pPr>
        <w:ind w:left="3776" w:hanging="420"/>
      </w:pPr>
    </w:lvl>
    <w:lvl w:ilvl="8">
      <w:start w:val="1"/>
      <w:numFmt w:val="lowerRoman"/>
      <w:lvlText w:val="%9."/>
      <w:lvlJc w:val="right"/>
      <w:pPr>
        <w:ind w:left="4196" w:hanging="420"/>
      </w:pPr>
    </w:lvl>
  </w:abstractNum>
  <w:abstractNum w:abstractNumId="17">
    <w:nsid w:val="40E497DC"/>
    <w:multiLevelType w:val="multilevel"/>
    <w:tmpl w:val="40E497DC"/>
    <w:lvl w:ilvl="0">
      <w:start w:val="1"/>
      <w:numFmt w:val="decimal"/>
      <w:suff w:val="nothing"/>
      <w:lvlText w:val="%1、"/>
      <w:lvlJc w:val="left"/>
      <w:pPr>
        <w:ind w:left="776" w:hanging="360"/>
      </w:pPr>
      <w:rPr>
        <w:rFonts w:hint="default"/>
        <w:sz w:val="21"/>
        <w:szCs w:val="21"/>
      </w:rPr>
    </w:lvl>
    <w:lvl w:ilvl="1">
      <w:start w:val="1"/>
      <w:numFmt w:val="lowerLetter"/>
      <w:lvlText w:val="%2)"/>
      <w:lvlJc w:val="left"/>
      <w:pPr>
        <w:ind w:left="1256" w:hanging="420"/>
      </w:pPr>
    </w:lvl>
    <w:lvl w:ilvl="2">
      <w:start w:val="1"/>
      <w:numFmt w:val="lowerRoman"/>
      <w:lvlText w:val="%3."/>
      <w:lvlJc w:val="right"/>
      <w:pPr>
        <w:ind w:left="1676" w:hanging="420"/>
      </w:pPr>
    </w:lvl>
    <w:lvl w:ilvl="3">
      <w:start w:val="1"/>
      <w:numFmt w:val="decimal"/>
      <w:lvlText w:val="%4."/>
      <w:lvlJc w:val="left"/>
      <w:pPr>
        <w:ind w:left="2096" w:hanging="420"/>
      </w:pPr>
    </w:lvl>
    <w:lvl w:ilvl="4">
      <w:start w:val="1"/>
      <w:numFmt w:val="lowerLetter"/>
      <w:lvlText w:val="%5)"/>
      <w:lvlJc w:val="left"/>
      <w:pPr>
        <w:ind w:left="2516" w:hanging="420"/>
      </w:pPr>
    </w:lvl>
    <w:lvl w:ilvl="5">
      <w:start w:val="1"/>
      <w:numFmt w:val="lowerRoman"/>
      <w:lvlText w:val="%6."/>
      <w:lvlJc w:val="right"/>
      <w:pPr>
        <w:ind w:left="2936" w:hanging="420"/>
      </w:pPr>
    </w:lvl>
    <w:lvl w:ilvl="6">
      <w:start w:val="1"/>
      <w:numFmt w:val="decimal"/>
      <w:lvlText w:val="%7."/>
      <w:lvlJc w:val="left"/>
      <w:pPr>
        <w:ind w:left="3356" w:hanging="420"/>
      </w:pPr>
    </w:lvl>
    <w:lvl w:ilvl="7">
      <w:start w:val="1"/>
      <w:numFmt w:val="lowerLetter"/>
      <w:lvlText w:val="%8)"/>
      <w:lvlJc w:val="left"/>
      <w:pPr>
        <w:ind w:left="3776" w:hanging="420"/>
      </w:pPr>
    </w:lvl>
    <w:lvl w:ilvl="8">
      <w:start w:val="1"/>
      <w:numFmt w:val="lowerRoman"/>
      <w:lvlText w:val="%9."/>
      <w:lvlJc w:val="right"/>
      <w:pPr>
        <w:ind w:left="4196" w:hanging="420"/>
      </w:pPr>
    </w:lvl>
  </w:abstractNum>
  <w:abstractNum w:abstractNumId="18">
    <w:nsid w:val="53A08313"/>
    <w:multiLevelType w:val="singleLevel"/>
    <w:tmpl w:val="53A08313"/>
    <w:lvl w:ilvl="0">
      <w:start w:val="9"/>
      <w:numFmt w:val="chineseCounting"/>
      <w:suff w:val="space"/>
      <w:lvlText w:val="第%1章"/>
      <w:lvlJc w:val="left"/>
      <w:rPr>
        <w:rFonts w:hint="eastAsia"/>
      </w:rPr>
    </w:lvl>
  </w:abstractNum>
  <w:abstractNum w:abstractNumId="19">
    <w:nsid w:val="5D390E5B"/>
    <w:multiLevelType w:val="singleLevel"/>
    <w:tmpl w:val="5D390E5B"/>
    <w:lvl w:ilvl="0">
      <w:start w:val="1"/>
      <w:numFmt w:val="decimal"/>
      <w:suff w:val="space"/>
      <w:lvlText w:val="%1."/>
      <w:lvlJc w:val="left"/>
    </w:lvl>
  </w:abstractNum>
  <w:abstractNum w:abstractNumId="20">
    <w:nsid w:val="7862216B"/>
    <w:multiLevelType w:val="singleLevel"/>
    <w:tmpl w:val="7862216B"/>
    <w:lvl w:ilvl="0">
      <w:start w:val="1"/>
      <w:numFmt w:val="decimal"/>
      <w:suff w:val="space"/>
      <w:lvlText w:val="%1."/>
      <w:lvlJc w:val="left"/>
    </w:lvl>
  </w:abstractNum>
  <w:num w:numId="1">
    <w:abstractNumId w:val="8"/>
  </w:num>
  <w:num w:numId="2">
    <w:abstractNumId w:val="7"/>
  </w:num>
  <w:num w:numId="3">
    <w:abstractNumId w:val="10"/>
  </w:num>
  <w:num w:numId="4">
    <w:abstractNumId w:val="13"/>
  </w:num>
  <w:num w:numId="5">
    <w:abstractNumId w:val="6"/>
  </w:num>
  <w:num w:numId="6">
    <w:abstractNumId w:val="16"/>
  </w:num>
  <w:num w:numId="7">
    <w:abstractNumId w:val="17"/>
  </w:num>
  <w:num w:numId="8">
    <w:abstractNumId w:val="9"/>
  </w:num>
  <w:num w:numId="9">
    <w:abstractNumId w:val="5"/>
  </w:num>
  <w:num w:numId="10">
    <w:abstractNumId w:val="18"/>
  </w:num>
  <w:num w:numId="11">
    <w:abstractNumId w:val="20"/>
  </w:num>
  <w:num w:numId="12">
    <w:abstractNumId w:val="0"/>
  </w:num>
  <w:num w:numId="13">
    <w:abstractNumId w:val="1"/>
  </w:num>
  <w:num w:numId="14">
    <w:abstractNumId w:val="12"/>
  </w:num>
  <w:num w:numId="15">
    <w:abstractNumId w:val="4"/>
  </w:num>
  <w:num w:numId="16">
    <w:abstractNumId w:val="14"/>
  </w:num>
  <w:num w:numId="17">
    <w:abstractNumId w:val="19"/>
  </w:num>
  <w:num w:numId="18">
    <w:abstractNumId w:val="2"/>
  </w:num>
  <w:num w:numId="19">
    <w:abstractNumId w:val="3"/>
  </w:num>
  <w:num w:numId="20">
    <w:abstractNumId w:val="11"/>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3EDF"/>
    <w:rsid w:val="002746D6"/>
    <w:rsid w:val="00274906"/>
    <w:rsid w:val="00274D1F"/>
    <w:rsid w:val="002758FB"/>
    <w:rsid w:val="00275B5D"/>
    <w:rsid w:val="00280D59"/>
    <w:rsid w:val="002816DD"/>
    <w:rsid w:val="00283285"/>
    <w:rsid w:val="0028415A"/>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5F47"/>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