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盐城市强对流灾害防御监测站网建设-盐城市强对流监测预报预警一体化系统建设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ZQCD-26219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盐城市气象局</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盐城市强对流灾害防御监测站网建设-盐城市强对流监测预报预警一体化系统建设</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ZQCD-26219</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合同签订后10个月内完成建设、试运行和验收，其中软件研发与部署6个月、试运行3个月、竣工验收1个月</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盐城市气象局</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2026年09月30日 00:00:00</w:t>
      </w:r>
      <w:bookmarkEnd w:id="27"/>
      <w:r>
        <w:rPr>
          <w:rFonts w:ascii="宋体" w:hint="eastAsia"/>
          <w:szCs w:val="21"/>
          <w:highlight w:val="none"/>
        </w:rPr>
        <w:t>至</w:t>
      </w:r>
      <w:bookmarkStart w:id="28" w:name="项目公告_signUpLastTime"/>
      <w:r>
        <w:rPr>
          <w:rFonts w:ascii="宋体" w:hint="eastAsia"/>
          <w:szCs w:val="21"/>
          <w:highlight w:val="none"/>
        </w:rPr>
        <w:t>2026年10月14日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9" w:name="项目公告_openBidTime"/>
      <w:r>
        <w:rPr>
          <w:rFonts w:ascii="宋体" w:hAnsi="宋体" w:hint="eastAsia"/>
          <w:bCs/>
          <w:szCs w:val="21"/>
          <w:highlight w:val="none"/>
        </w:rPr>
        <w:t>2026年10月22日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陈小超</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010-68406136</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盐城市气象局</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丁晔</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0515-88422230</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盐城市亭湖区东亭路1号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盐城市气象局</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是</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9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3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 盐城市强对流灾害防御监测站网建设-盐城市强对流监测预报预警一体化系统建设   ，属于  软件和信息技术服务行业；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是，代理服务费：2.3万元。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205.000000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205.000000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根据本项目实际情况，招标文件1.27.3第1项至第3项启动异常低价投标审查的数值标准为65%。</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(3)</w:t>
            </w:r>
          </w:p>
        </w:tc>
        <w:tc>
          <w:tcPr/>
          <w:p>
            <w:r>
              <w:t>评审标准：</w:t>
            </w:r>
          </w:p>
          <w:p>
            <w:r>
              <w:t>1、投标人具有 ISO9000系列或GJB9001系列质量管理体系认证；</w:t>
              <w:cr/>
              <w:t>2、投标人具有ISO20000信息技术服务管理体系认证；</w:t>
              <w:cr/>
              <w:t>3、投标人具有ISO27001信息安全管理体系认证；</w:t>
              <w:cr/>
              <w:t>以上每有一个证书得1分，满分3分。否则不得分。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6、所有复印件应清晰，不得有任何涂改、遮挡。</w:t>
              <w:cr/>
              <w:t>提供的材料不符合以上1-6要求的无效。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(3)</w:t>
            </w:r>
          </w:p>
        </w:tc>
        <w:tc>
          <w:tcPr/>
          <w:p>
            <w:r>
              <w:t>评审标准：</w:t>
            </w:r>
          </w:p>
          <w:p>
            <w:r>
              <w:t>每提供 1份用户满意度证明得1分，最多得3分。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(8)</w:t>
            </w:r>
          </w:p>
        </w:tc>
        <w:tc>
          <w:tcPr/>
          <w:p>
            <w:r>
              <w:t>评审标准：</w:t>
            </w:r>
          </w:p>
          <w:p>
            <w:r>
              <w:t>每提供1份软件著作权证书得2分，最多得 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(15)</w:t>
            </w:r>
          </w:p>
        </w:tc>
        <w:tc>
          <w:tcPr/>
          <w:p>
            <w:r>
              <w:t>评审标准：</w:t>
            </w:r>
          </w:p>
          <w:p>
            <w:r>
              <w:t>投标人应组成本项目开发服务团队，团队组织结构清晰，人员专业背景齐全。具体如下：</w:t>
              <w:cr/>
              <w:t>1、团队人数至少9人，其中驻场人员至少3人。完全满足得5分，否则不得分。</w:t>
              <w:cr/>
              <w:t>2、团队负责人具有计算机类或软件类或气象类高级职称，有主持过与本项目类似项目的工作经历。完全满足得5分，否则不得分；</w:t>
              <w:cr/>
              <w:t>3、团队其他成员中，每有1人具有1年以上与本项目类似项目的开发经历得1分，最多得5分。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提供软件开发计划。软件开发计划应包括软件开发工作任务分解、人员安排、实施步骤、时间进度及控制措施、里程碑设计、全过程质量保证措施。具体评分标准如下：</w:t>
              <w:cr/>
              <w:t xml:space="preserve">一档：未提供软件开发计划； </w:t>
              <w:cr/>
              <w:t>二档：软件开发计划不完整（指缺失软件开发工作任务分解、人员安排、实施步骤、时间进度及控制措施、里程碑设计、全过程质量保证措施任意一项），或者软件开发工作分解与人员安排无合理性、可行性，里程碑设计不合理；</w:t>
              <w:cr/>
              <w:t xml:space="preserve">三档：软件开发计划完整，软件开发工作分解与人员安排合理、可行，有一定针对性，进度控制措施和质量保证措施不具体，里程碑设计一般； </w:t>
              <w:cr/>
              <w:t>四档：软件开发计划完整，软件开发工作分解与人员安排合理、可行，针对性强，进度控制措施、质量保证措施具体有力，里程碑设计合理。</w:t>
            </w:r>
          </w:p>
          <w:p/>
        </w:tc>
      </w:tr>
      <w:tr>
        <w:tblPrEx>
          <w:tblW w:w="5000" w:type="pct"/>
          <w:tblCellMar>
            <w:left w:w="108" w:type="dxa"/>
            <w:right w:w="108" w:type="dxa"/>
          </w:tblCellMar>
        </w:tblPrEx>
        <w:tc>
          <w:tcPr/>
          <w:p>
            <w:r>
              <w:t>11</w:t>
            </w:r>
          </w:p>
        </w:tc>
        <w:tc>
          <w:tcPr>
            <w:vMerge/>
          </w:tcPr>
          <w:p>
            <w:r>
              <w:t>技术部分</w:t>
            </w:r>
          </w:p>
        </w:tc>
        <w:tc>
          <w:tcPr/>
          <w:p>
            <w:r>
              <w:t>软件开发需求分析（主观分）</w:t>
            </w:r>
          </w:p>
        </w:tc>
        <w:tc>
          <w:tcPr/>
          <w:p>
            <w:r>
              <w:t>勾选打分</w:t>
            </w:r>
            <w:r>
              <w:t>(2)</w:t>
            </w:r>
          </w:p>
        </w:tc>
        <w:tc>
          <w:tcPr/>
          <w:p>
            <w:r>
              <w:t>评审标准：</w:t>
            </w:r>
          </w:p>
          <w:p>
            <w:r>
              <w:t>一档0分</w:t>
              <w:cr/>
              <w:t>二档0.5分</w:t>
              <w:cr/>
              <w:t>三档1分</w:t>
              <w:cr/>
              <w:t>四档2分</w:t>
            </w:r>
          </w:p>
          <w:p>
            <w:r>
              <w:t>评审标准说明：</w:t>
            </w:r>
          </w:p>
          <w:p>
            <w:r>
              <w:t>根据投标人提供的软件开发需求分析报告评分。分析报告应包括软件系统各模块功能需求分析、软件系统的非功能及性能需求分析、数据需求分析、接口需求分析。具体评分标准如下：</w:t>
              <w:cr/>
              <w:t>一档：未提交需求分析；</w:t>
              <w:cr/>
              <w:t>二档：提交的需求分析不完整（指缺失软件系统各模块功能需求分析、软件系统的非功能及性能需求分析、数据需求分析、接口需求分析任一部分），或者未对软件系统各模块进行功能需求拆分；</w:t>
              <w:cr/>
              <w:t>三档：需求分析完整、全面，但不具体、不详细、不充分，合理性、针对性一般；</w:t>
              <w:cr/>
              <w:t>四档：需求分析完整全面，且详细具体充分，合理性、针对性强，完全契合项目需求。</w:t>
            </w:r>
          </w:p>
          <w:p/>
        </w:tc>
      </w:tr>
      <w:tr>
        <w:tblPrEx>
          <w:tblW w:w="5000" w:type="pct"/>
          <w:tblCellMar>
            <w:left w:w="108" w:type="dxa"/>
            <w:right w:w="108" w:type="dxa"/>
          </w:tblCellMar>
        </w:tblPrEx>
        <w:tc>
          <w:tcPr/>
          <w:p>
            <w:r>
              <w:t>12</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13</w:t>
            </w:r>
          </w:p>
        </w:tc>
        <w:tc>
          <w:tcPr>
            <w:vMerge/>
          </w:tcPr>
          <w:p>
            <w:r>
              <w:t>技术部分</w:t>
            </w:r>
          </w:p>
        </w:tc>
        <w:tc>
          <w:tcPr/>
          <w:p>
            <w:r>
              <w:t>系统整体架构技术方案（主观分）</w:t>
            </w:r>
          </w:p>
        </w:tc>
        <w:tc>
          <w:tcPr/>
          <w:p>
            <w:r>
              <w:t>勾选打分</w:t>
            </w:r>
            <w:r>
              <w:t>(2)</w:t>
            </w:r>
          </w:p>
        </w:tc>
        <w:tc>
          <w:tcPr/>
          <w:p>
            <w:r>
              <w:t>评审标准：</w:t>
            </w:r>
          </w:p>
          <w:p>
            <w:r>
              <w:t>一档0分</w:t>
              <w:cr/>
              <w:t>二档0.5分</w:t>
              <w:cr/>
              <w:t>三档1分</w:t>
              <w:cr/>
              <w:t>四档2分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14</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15</w:t>
            </w:r>
          </w:p>
        </w:tc>
        <w:tc>
          <w:tcPr>
            <w:vMerge/>
          </w:tcPr>
          <w:p>
            <w:r>
              <w:t>技术部分</w:t>
            </w:r>
          </w:p>
        </w:tc>
        <w:tc>
          <w:tcPr/>
          <w:p>
            <w:r>
              <w:t>模块设计技术方案（主观分）</w:t>
            </w:r>
          </w:p>
        </w:tc>
        <w:tc>
          <w:tcPr/>
          <w:p>
            <w:r>
              <w:t>区间打分</w:t>
            </w:r>
            <w:r>
              <w:t>(32)</w:t>
            </w:r>
          </w:p>
        </w:tc>
        <w:tc>
          <w:tcPr/>
          <w:p>
            <w:r>
              <w:t>评审标准：</w:t>
            </w:r>
          </w:p>
          <w:p>
            <w:r>
              <w:t>投标人应围绕本项目五大一级建设模块，提交以下8项二级建设专项的技术方案。</w:t>
              <w:cr/>
              <w:t>1. 多源监测与雷达三维分析；</w:t>
              <w:cr/>
              <w:t>2. 卫星云与高影响天气识别；</w:t>
              <w:cr/>
              <w:t>3. 数值模式与精细化预报；</w:t>
              <w:cr/>
              <w:t>4. AI短临与预警辅助；</w:t>
              <w:cr/>
              <w:t>5. AI数智预报员应用；</w:t>
              <w:cr/>
              <w:t>6. 算法工场运行管理；</w:t>
              <w:cr/>
              <w:t>7. 观测试验与本地验证；</w:t>
              <w:cr/>
              <w:t>8. 数据支撑与AI知识库。</w:t>
              <w:cr/>
              <w:t>以上每个专项模块</w:t>
              <w:cr/>
              <w:t>一档0分</w:t>
              <w:cr/>
              <w:t>二档1分</w:t>
              <w:cr/>
              <w:t>三档2分</w:t>
              <w:cr/>
              <w:t>四档4分</w:t>
              <w:cr/>
              <w:t>以上共计8模块，满分32分。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16</w:t>
            </w:r>
          </w:p>
        </w:tc>
        <w:tc>
          <w:tcPr>
            <w:vMerge/>
          </w:tcPr>
          <w:p>
            <w:r>
              <w:t>技术部分</w:t>
            </w:r>
          </w:p>
        </w:tc>
        <w:tc>
          <w:tcPr/>
          <w:p>
            <w:r>
              <w:t>针对本项目的合理化建议（主观分）</w:t>
            </w:r>
          </w:p>
        </w:tc>
        <w:tc>
          <w:tcPr/>
          <w:p>
            <w:r>
              <w:t>勾选打分</w:t>
            </w:r>
            <w:r>
              <w:t>(1)</w:t>
            </w:r>
          </w:p>
        </w:tc>
        <w:tc>
          <w:tcPr/>
          <w:p>
            <w:r>
              <w:t>评审标准：</w:t>
            </w:r>
          </w:p>
          <w:p>
            <w:r>
              <w:t>每提供一条合理化建议得0.5分，满分1分。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bl>
    <w:p w:rsidR="00A77B3E">
      <w:r>
        <w:t xml:space="preserve">      </w:t>
      </w:r>
    </w:p>
    <w:p w:rsidR="00A77B3E"/>
    <w:p w:rsidR="00A77B3E">
      <w:bookmarkEnd w:id="59"/>
    </w:p>
    <w:p>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pPr>
        <w:jc w:val="left"/>
        <w:rPr>
          <w:b/>
          <w:szCs w:val="21"/>
        </w:rPr>
      </w:pPr>
    </w:p>
    <w:p>
      <w:pPr>
        <w:snapToGrid w:val="0"/>
        <w:spacing w:line="360" w:lineRule="auto"/>
        <w:ind w:firstLine="508" w:firstLineChars="242"/>
        <w:jc w:val="left"/>
        <w:rPr>
          <w:rFonts w:ascii="宋体" w:hAnsi="宋体"/>
          <w:b/>
          <w:bCs/>
          <w:szCs w:val="21"/>
        </w:rPr>
      </w:pPr>
      <w:bookmarkStart w:id="61" w:name="_Hlk238217255"/>
      <w:r>
        <w:rPr>
          <w:rFonts w:ascii="宋体" w:hAnsi="宋体" w:hint="eastAsia"/>
          <w:b/>
          <w:bCs/>
          <w:szCs w:val="21"/>
        </w:rPr>
        <w:t>一、盐城市强对流灾害防御监测站网建设-盐城市强对流监测预报预警一体化系统建设项目概况</w:t>
      </w:r>
    </w:p>
    <w:p>
      <w:pPr>
        <w:snapToGrid w:val="0"/>
        <w:spacing w:line="360" w:lineRule="auto"/>
        <w:ind w:firstLine="508" w:firstLineChars="242"/>
        <w:rPr>
          <w:rFonts w:ascii="宋体" w:hAnsi="宋体"/>
          <w:szCs w:val="21"/>
        </w:rPr>
      </w:pPr>
      <w:r>
        <w:rPr>
          <w:rFonts w:ascii="宋体" w:hAnsi="宋体" w:hint="eastAsia"/>
          <w:szCs w:val="21"/>
        </w:rPr>
        <w:t>1. 盐城市强对流灾害防御监测站网建设-盐城市强对流监测预报预警一体化系统面向盐城市市县两级气象业务应用，覆盖市气象局、市气象台及下辖各县（市、区）气象业务单位，建设市县共用的盐城市强对流灾害防御监测站网建设-盐城市强对流监测预报预警一体化系统，一体化支撑市县联动实况监测、协同联防预警、分场景精细化气象保障全链条业务。</w:t>
      </w:r>
    </w:p>
    <w:p>
      <w:pPr>
        <w:snapToGrid w:val="0"/>
        <w:spacing w:line="360" w:lineRule="auto"/>
        <w:ind w:firstLine="508" w:firstLineChars="242"/>
        <w:rPr>
          <w:rFonts w:ascii="宋体" w:hAnsi="宋体"/>
          <w:szCs w:val="21"/>
        </w:rPr>
      </w:pPr>
      <w:r>
        <w:rPr>
          <w:rFonts w:ascii="宋体" w:hAnsi="宋体" w:hint="eastAsia"/>
          <w:szCs w:val="21"/>
        </w:rPr>
        <w:t>2. 项目围绕立体精密监测、精准预报预警、AI智能值班、多元算法研发、AI气象数据支撑五大板块搭建完整业务架构，形成“立体监测-精准预报-智能服务-算法工场-数据支撑”一体化业务闭环，重点补齐省级通用平台在盐城本地强对流专项入口、S+X波段雷达融合、百米级分钟级高精度预报产品应用、AI外推本地化算法适配、县级图件制作、服务材料自动生成和历史个例复用等方面的不足。</w:t>
      </w:r>
    </w:p>
    <w:p>
      <w:pPr>
        <w:snapToGrid w:val="0"/>
        <w:spacing w:line="360" w:lineRule="auto"/>
        <w:ind w:firstLine="508" w:firstLineChars="242"/>
        <w:rPr>
          <w:rFonts w:ascii="宋体" w:hAnsi="宋体"/>
          <w:szCs w:val="21"/>
        </w:rPr>
      </w:pPr>
      <w:r>
        <w:rPr>
          <w:rFonts w:ascii="宋体" w:hAnsi="宋体" w:hint="eastAsia"/>
          <w:szCs w:val="21"/>
        </w:rPr>
        <w:t>3. 本项目采购内容为定制化软件开发、部署实施、系统集成、试运行、培训、质保及相关技术服务。项目不采购新增机房、服务器、存储、GPU及网络安全硬件；采购人已有的省级、市级基础资源和业务平台应按本章要求复用。项目平台需搭建在盐城市气象局及江苏省气象局指定受控环境。</w:t>
      </w:r>
    </w:p>
    <w:p>
      <w:pPr>
        <w:snapToGrid w:val="0"/>
        <w:spacing w:line="360" w:lineRule="auto"/>
        <w:ind w:firstLine="508" w:firstLineChars="242"/>
        <w:jc w:val="left"/>
        <w:rPr>
          <w:rFonts w:ascii="宋体" w:hAnsi="宋体"/>
          <w:szCs w:val="21"/>
        </w:rPr>
      </w:pPr>
      <w:r>
        <w:rPr>
          <w:rFonts w:ascii="宋体" w:hAnsi="宋体" w:hint="eastAsia"/>
          <w:szCs w:val="21"/>
        </w:rPr>
        <w:t>二、</w:t>
      </w:r>
      <w:r>
        <w:rPr>
          <w:rFonts w:ascii="宋体" w:hAnsi="宋体" w:hint="eastAsia"/>
          <w:b/>
          <w:bCs/>
          <w:szCs w:val="21"/>
        </w:rPr>
        <w:t>盐城市强对流灾害防御监测站网建设-盐城市强对流监测预报预警一体化系统建设基本情况</w:t>
      </w:r>
    </w:p>
    <w:p>
      <w:pPr>
        <w:snapToGrid w:val="0"/>
        <w:spacing w:line="360" w:lineRule="auto"/>
        <w:ind w:firstLine="508" w:firstLineChars="242"/>
        <w:jc w:val="left"/>
        <w:rPr>
          <w:rFonts w:ascii="宋体" w:hAnsi="宋体"/>
          <w:szCs w:val="21"/>
        </w:rPr>
      </w:pPr>
      <w:r>
        <w:rPr>
          <w:rFonts w:ascii="宋体" w:hAnsi="宋体" w:hint="eastAsia"/>
          <w:szCs w:val="21"/>
        </w:rPr>
        <w:t>1. 项目属性:服务类项目。</w:t>
      </w:r>
    </w:p>
    <w:p>
      <w:pPr>
        <w:snapToGrid w:val="0"/>
        <w:spacing w:line="360" w:lineRule="auto"/>
        <w:ind w:firstLine="508" w:firstLineChars="242"/>
        <w:jc w:val="left"/>
        <w:rPr>
          <w:rFonts w:ascii="宋体" w:hAnsi="宋体"/>
          <w:szCs w:val="21"/>
        </w:rPr>
      </w:pPr>
      <w:r>
        <w:rPr>
          <w:rFonts w:ascii="宋体" w:hAnsi="宋体" w:hint="eastAsia"/>
          <w:szCs w:val="21"/>
        </w:rPr>
        <w:t>2. 项目名称：盐城市强对流灾害防御监测站网建设-盐城市强对流监测预报预警一体化系统建设</w:t>
      </w:r>
    </w:p>
    <w:p>
      <w:pPr>
        <w:snapToGrid w:val="0"/>
        <w:spacing w:line="360" w:lineRule="auto"/>
        <w:ind w:firstLine="508" w:firstLineChars="242"/>
        <w:jc w:val="left"/>
        <w:rPr>
          <w:rFonts w:ascii="宋体" w:hAnsi="宋体"/>
          <w:szCs w:val="21"/>
        </w:rPr>
      </w:pPr>
      <w:r>
        <w:rPr>
          <w:rFonts w:ascii="宋体" w:hAnsi="宋体" w:hint="eastAsia"/>
          <w:szCs w:val="21"/>
        </w:rPr>
        <w:t>3. 采购预算：205.00万元</w:t>
      </w:r>
    </w:p>
    <w:p>
      <w:pPr>
        <w:snapToGrid w:val="0"/>
        <w:spacing w:line="360" w:lineRule="auto"/>
        <w:ind w:firstLine="508" w:firstLineChars="242"/>
        <w:jc w:val="left"/>
        <w:rPr>
          <w:rFonts w:ascii="宋体" w:hAnsi="宋体"/>
          <w:szCs w:val="21"/>
        </w:rPr>
      </w:pPr>
      <w:r>
        <w:rPr>
          <w:rFonts w:ascii="宋体" w:hAnsi="宋体" w:hint="eastAsia"/>
          <w:szCs w:val="21"/>
        </w:rPr>
        <w:t>4. 合同履行期限： 合同签订后10个月内完成建设、试运行和验收，其中软件研发与部署6个月、试运行3个月、竣工验收1个月。</w:t>
      </w:r>
    </w:p>
    <w:p>
      <w:pPr>
        <w:snapToGrid w:val="0"/>
        <w:spacing w:line="360" w:lineRule="auto"/>
        <w:ind w:firstLine="508" w:firstLineChars="242"/>
        <w:jc w:val="left"/>
        <w:rPr>
          <w:rFonts w:ascii="宋体" w:hAnsi="宋体"/>
          <w:szCs w:val="21"/>
        </w:rPr>
      </w:pPr>
      <w:r>
        <w:rPr>
          <w:rFonts w:ascii="宋体" w:hAnsi="宋体" w:hint="eastAsia"/>
          <w:szCs w:val="21"/>
        </w:rPr>
        <w:t>5. 质保期：项目验收合格之日起 3 年</w:t>
      </w:r>
    </w:p>
    <w:p>
      <w:pPr>
        <w:snapToGrid w:val="0"/>
        <w:spacing w:line="360" w:lineRule="auto"/>
        <w:ind w:firstLine="508" w:firstLineChars="242"/>
        <w:jc w:val="left"/>
        <w:rPr>
          <w:rFonts w:ascii="宋体" w:hAnsi="宋体"/>
          <w:szCs w:val="21"/>
        </w:rPr>
      </w:pPr>
      <w:r>
        <w:rPr>
          <w:rFonts w:ascii="宋体" w:hAnsi="宋体" w:hint="eastAsia"/>
          <w:szCs w:val="21"/>
        </w:rPr>
        <w:t>6. 服务地点：盐城市亭湖区东亭路1号</w:t>
      </w:r>
    </w:p>
    <w:p>
      <w:pPr>
        <w:snapToGrid w:val="0"/>
        <w:spacing w:line="360" w:lineRule="auto"/>
        <w:ind w:firstLine="508" w:firstLineChars="242"/>
        <w:jc w:val="left"/>
        <w:rPr>
          <w:rFonts w:ascii="宋体" w:hAnsi="宋体"/>
          <w:szCs w:val="21"/>
        </w:rPr>
      </w:pPr>
      <w:r>
        <w:rPr>
          <w:rFonts w:ascii="宋体" w:hAnsi="宋体" w:hint="eastAsia"/>
          <w:szCs w:val="21"/>
        </w:rPr>
        <w:t>7. 付款方式： 合同签订生效、乙方提交预付款同等金额的履约保函后，10个工作日内，甲方向乙方支付合同总价的30%作为项目预付款，乙方开具合法合规的等额发票；项目验收合格，资料全部归档后，10个工作日内，乙方开具合法合规的等额发票，甲方向乙方支付至合同总价的100%；因财政资金拨付流程、政策调整等非甲方原因造成付款延迟的，甲方不承担违约责任。</w:t>
      </w:r>
    </w:p>
    <w:p>
      <w:pPr>
        <w:snapToGrid w:val="0"/>
        <w:spacing w:line="360" w:lineRule="auto"/>
        <w:ind w:firstLine="508" w:firstLineChars="242"/>
        <w:jc w:val="left"/>
        <w:rPr>
          <w:rFonts w:ascii="宋体" w:hAnsi="宋体"/>
          <w:szCs w:val="21"/>
        </w:rPr>
      </w:pPr>
      <w:r>
        <w:rPr>
          <w:rFonts w:ascii="宋体" w:hAnsi="宋体" w:hint="eastAsia"/>
          <w:szCs w:val="21"/>
        </w:rPr>
        <w:t>8. 本项目不接受分公司、联合体投标。</w:t>
      </w:r>
    </w:p>
    <w:p>
      <w:pPr>
        <w:snapToGrid w:val="0"/>
        <w:spacing w:line="360" w:lineRule="auto"/>
        <w:ind w:firstLine="508" w:firstLineChars="242"/>
        <w:jc w:val="left"/>
        <w:rPr>
          <w:rFonts w:ascii="宋体" w:hAnsi="宋体"/>
          <w:b/>
          <w:bCs/>
          <w:szCs w:val="21"/>
        </w:rPr>
      </w:pPr>
      <w:r>
        <w:rPr>
          <w:rFonts w:ascii="宋体" w:hAnsi="宋体" w:hint="eastAsia"/>
          <w:szCs w:val="21"/>
        </w:rPr>
        <w:t>三、</w:t>
      </w:r>
      <w:r>
        <w:rPr>
          <w:rFonts w:ascii="宋体" w:hAnsi="宋体" w:hint="eastAsia"/>
          <w:b/>
          <w:bCs/>
          <w:szCs w:val="21"/>
        </w:rPr>
        <w:t>盐城市强对流灾害防御监测站网建设-盐城市强对流监测预报预警一体化系统建设主要业务功能需求</w:t>
      </w:r>
    </w:p>
    <w:p>
      <w:pPr>
        <w:snapToGrid w:val="0"/>
        <w:spacing w:line="360" w:lineRule="auto"/>
        <w:ind w:firstLine="508" w:firstLineChars="242"/>
        <w:jc w:val="left"/>
        <w:rPr>
          <w:rFonts w:ascii="宋体" w:hAnsi="宋体"/>
        </w:rPr>
      </w:pPr>
      <w:bookmarkStart w:id="62" w:name="_Hlk239166875"/>
      <w:r>
        <w:rPr>
          <w:rFonts w:ascii="Calibri" w:hAnsi="Calibri" w:hint="eastAsia"/>
        </w:rPr>
        <w:t>系统应建设强对流精密监测</w:t>
      </w:r>
      <w:r>
        <w:rPr>
          <w:rFonts w:ascii="Calibri" w:hAnsi="Calibri"/>
        </w:rPr>
        <w:t>“</w:t>
      </w:r>
      <w:r>
        <w:rPr>
          <w:rFonts w:ascii="Calibri" w:hAnsi="Calibri" w:hint="eastAsia"/>
        </w:rPr>
        <w:t>一张网</w:t>
      </w:r>
      <w:r>
        <w:rPr>
          <w:rFonts w:ascii="Calibri" w:hAnsi="Calibri"/>
        </w:rPr>
        <w:t>”</w:t>
      </w:r>
      <w:r>
        <w:rPr>
          <w:rFonts w:ascii="Calibri" w:hAnsi="Calibri" w:hint="eastAsia"/>
        </w:rPr>
        <w:t>、</w:t>
      </w:r>
      <w:r>
        <w:rPr>
          <w:rFonts w:ascii="宋体" w:hAnsi="宋体" w:hint="eastAsia"/>
        </w:rPr>
        <w:t>强对流精准预报预警专题、AI数智预报员、多元数据融合模型算法工场和AI气象数据支撑功能模块五类能力，并形成监测、预报、预警辅助、服务、复盘一体化业务链条。项目建设内容具体包括5个一级建设模块和8个二级建设专项，其中</w:t>
      </w:r>
      <w:r>
        <w:rPr>
          <w:rFonts w:hint="eastAsia"/>
        </w:rPr>
        <w:t>二级建设专项是一级建设模块下的具体建设与技术方案编制单元，</w:t>
      </w:r>
      <w:r>
        <w:rPr>
          <w:rFonts w:hint="eastAsia"/>
          <w:b/>
          <w:bCs/>
          <w:u w:val="single"/>
        </w:rPr>
        <w:t>投标人应按本表二级建设专项逐项响应并编制技术方</w:t>
      </w:r>
      <w:r>
        <w:rPr>
          <w:rFonts w:ascii="宋体" w:eastAsia="宋体" w:hAnsi="宋体" w:cs="宋体" w:hint="eastAsia"/>
          <w:b/>
          <w:bCs/>
          <w:u w:val="single"/>
        </w:rPr>
        <w:t>案</w:t>
      </w:r>
      <w:r>
        <w:rPr>
          <w:rFonts w:ascii="宋体" w:eastAsia="宋体" w:hAnsi="宋体" w:cs="宋体" w:hint="eastAsia"/>
        </w:rPr>
        <w:t>。</w:t>
      </w:r>
      <w:r>
        <w:rPr>
          <w:rFonts w:ascii="宋体" w:hAnsi="宋体" w:hint="eastAsia"/>
        </w:rPr>
        <w:t>各模块及专项功能需求如下：</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31"/>
        <w:gridCol w:w="1520"/>
        <w:gridCol w:w="1560"/>
        <w:gridCol w:w="5011"/>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662"/>
          <w:jc w:val="center"/>
        </w:trPr>
        <w:tc>
          <w:tcPr>
            <w:tcW w:w="253" w:type="pct"/>
            <w:vAlign w:val="center"/>
          </w:tcPr>
          <w:p>
            <w:pPr>
              <w:snapToGrid w:val="0"/>
              <w:spacing w:line="360" w:lineRule="auto"/>
              <w:jc w:val="center"/>
              <w:rPr>
                <w:rFonts w:ascii="宋体" w:eastAsia="宋体" w:hAnsi="宋体"/>
                <w:b/>
                <w:bCs/>
              </w:rPr>
            </w:pPr>
            <w:r>
              <w:rPr>
                <w:rFonts w:ascii="宋体" w:eastAsia="宋体" w:hAnsi="宋体" w:hint="eastAsia"/>
                <w:b/>
                <w:bCs/>
              </w:rPr>
              <w:t>序号</w:t>
            </w:r>
          </w:p>
        </w:tc>
        <w:tc>
          <w:tcPr>
            <w:tcW w:w="892" w:type="pct"/>
            <w:vAlign w:val="center"/>
          </w:tcPr>
          <w:p>
            <w:pPr>
              <w:snapToGrid w:val="0"/>
              <w:spacing w:line="360" w:lineRule="auto"/>
              <w:jc w:val="center"/>
              <w:rPr>
                <w:rFonts w:ascii="宋体" w:eastAsia="宋体" w:hAnsi="宋体"/>
                <w:b/>
                <w:bCs/>
              </w:rPr>
            </w:pPr>
            <w:r>
              <w:rPr>
                <w:rFonts w:ascii="宋体" w:eastAsia="宋体" w:hAnsi="宋体" w:hint="eastAsia"/>
                <w:b/>
                <w:bCs/>
              </w:rPr>
              <w:t>一级建设模块</w:t>
            </w:r>
          </w:p>
        </w:tc>
        <w:tc>
          <w:tcPr>
            <w:tcW w:w="915" w:type="pct"/>
            <w:vAlign w:val="center"/>
          </w:tcPr>
          <w:p>
            <w:pPr>
              <w:snapToGrid w:val="0"/>
              <w:spacing w:line="360" w:lineRule="auto"/>
              <w:jc w:val="center"/>
              <w:rPr>
                <w:rFonts w:ascii="宋体" w:eastAsia="宋体" w:hAnsi="宋体"/>
                <w:b/>
                <w:bCs/>
              </w:rPr>
            </w:pPr>
            <w:r>
              <w:rPr>
                <w:rFonts w:ascii="宋体" w:eastAsia="宋体" w:hAnsi="宋体" w:hint="eastAsia"/>
                <w:b/>
                <w:bCs/>
              </w:rPr>
              <w:t>二级建设专项</w:t>
            </w:r>
          </w:p>
        </w:tc>
        <w:tc>
          <w:tcPr>
            <w:tcW w:w="2940" w:type="pct"/>
            <w:vAlign w:val="center"/>
          </w:tcPr>
          <w:p>
            <w:pPr>
              <w:snapToGrid w:val="0"/>
              <w:spacing w:line="360" w:lineRule="auto"/>
              <w:jc w:val="center"/>
              <w:rPr>
                <w:rFonts w:ascii="宋体" w:eastAsia="宋体" w:hAnsi="宋体"/>
                <w:b/>
                <w:bCs/>
              </w:rPr>
            </w:pPr>
            <w:r>
              <w:rPr>
                <w:rFonts w:ascii="宋体" w:eastAsia="宋体" w:hAnsi="宋体" w:hint="eastAsia"/>
                <w:b/>
                <w:bCs/>
              </w:rPr>
              <w:t>功能需求</w:t>
            </w:r>
          </w:p>
        </w:tc>
      </w:tr>
      <w:tr>
        <w:tblPrEx>
          <w:tblW w:w="5000" w:type="pct"/>
          <w:jc w:val="center"/>
          <w:tblCellMar>
            <w:top w:w="0" w:type="dxa"/>
            <w:left w:w="108" w:type="dxa"/>
            <w:bottom w:w="0" w:type="dxa"/>
            <w:right w:w="108" w:type="dxa"/>
          </w:tblCellMar>
        </w:tblPrEx>
        <w:trPr>
          <w:jc w:val="center"/>
        </w:trPr>
        <w:tc>
          <w:tcPr>
            <w:tcW w:w="253" w:type="pct"/>
            <w:vAlign w:val="center"/>
          </w:tcPr>
          <w:p>
            <w:pPr>
              <w:snapToGrid w:val="0"/>
              <w:spacing w:line="360" w:lineRule="auto"/>
              <w:jc w:val="center"/>
              <w:rPr>
                <w:rFonts w:ascii="宋体" w:eastAsia="宋体" w:hAnsi="宋体"/>
              </w:rPr>
            </w:pPr>
            <w:r>
              <w:rPr>
                <w:rFonts w:ascii="宋体" w:eastAsia="宋体" w:hAnsi="宋体" w:hint="eastAsia"/>
              </w:rPr>
              <w:t>1</w:t>
            </w:r>
          </w:p>
        </w:tc>
        <w:tc>
          <w:tcPr>
            <w:tcW w:w="892" w:type="pct"/>
            <w:vMerge w:val="restart"/>
            <w:vAlign w:val="center"/>
          </w:tcPr>
          <w:p>
            <w:pPr>
              <w:snapToGrid w:val="0"/>
              <w:spacing w:line="360" w:lineRule="auto"/>
              <w:jc w:val="center"/>
              <w:rPr>
                <w:rFonts w:ascii="宋体" w:eastAsia="宋体" w:hAnsi="宋体"/>
              </w:rPr>
            </w:pPr>
            <w:r>
              <w:rPr>
                <w:rFonts w:ascii="宋体" w:eastAsia="宋体" w:hAnsi="宋体" w:hint="eastAsia"/>
                <w:b/>
                <w:bCs/>
                <w:szCs w:val="21"/>
              </w:rPr>
              <w:t>强对流精密监测“一张网”</w:t>
            </w:r>
          </w:p>
        </w:tc>
        <w:tc>
          <w:tcPr>
            <w:tcW w:w="915" w:type="pct"/>
            <w:vAlign w:val="center"/>
          </w:tcPr>
          <w:p>
            <w:pPr>
              <w:jc w:val="center"/>
              <w:rPr>
                <w:rFonts w:ascii="宋体" w:eastAsia="宋体" w:hAnsi="宋体"/>
                <w:b/>
                <w:bCs/>
              </w:rPr>
            </w:pPr>
            <w:r>
              <w:rPr>
                <w:rFonts w:ascii="宋体" w:eastAsia="宋体" w:hAnsi="宋体"/>
                <w:b/>
                <w:bCs/>
              </w:rPr>
              <w:t>多源监测与雷达三维分析</w:t>
            </w:r>
          </w:p>
        </w:tc>
        <w:tc>
          <w:tcPr>
            <w:tcW w:w="2940" w:type="pct"/>
            <w:vAlign w:val="center"/>
          </w:tcPr>
          <w:p>
            <w:pPr>
              <w:snapToGrid w:val="0"/>
              <w:spacing w:line="360" w:lineRule="auto"/>
              <w:jc w:val="left"/>
              <w:rPr>
                <w:rFonts w:ascii="宋体" w:eastAsia="宋体" w:hAnsi="宋体"/>
              </w:rPr>
            </w:pPr>
            <w:r>
              <w:rPr>
                <w:rFonts w:ascii="宋体" w:eastAsia="宋体" w:hAnsi="宋体"/>
              </w:rPr>
              <w:t>整合自动站、S+X波段雷达、卫星、风廓线、闪电定位等多源资料，支持综合展示、重点区域研判、监测预警“三区”管理及典型过程回放；支持S+X波段雷达融合组网、三维渲染、剖面分析和多高度层对比</w:t>
            </w:r>
            <w:r>
              <w:rPr>
                <w:rFonts w:ascii="宋体" w:eastAsia="宋体" w:hAnsi="宋体" w:cs="宋体" w:hint="eastAsia"/>
              </w:rPr>
              <w:t>。</w:t>
            </w:r>
          </w:p>
        </w:tc>
      </w:tr>
      <w:tr>
        <w:tblPrEx>
          <w:tblW w:w="5000" w:type="pct"/>
          <w:jc w:val="center"/>
          <w:tblCellMar>
            <w:top w:w="0" w:type="dxa"/>
            <w:left w:w="108" w:type="dxa"/>
            <w:bottom w:w="0" w:type="dxa"/>
            <w:right w:w="108" w:type="dxa"/>
          </w:tblCellMar>
        </w:tblPrEx>
        <w:trPr>
          <w:jc w:val="center"/>
        </w:trPr>
        <w:tc>
          <w:tcPr>
            <w:tcW w:w="253" w:type="pct"/>
            <w:vAlign w:val="center"/>
          </w:tcPr>
          <w:p>
            <w:pPr>
              <w:snapToGrid w:val="0"/>
              <w:spacing w:line="360" w:lineRule="auto"/>
              <w:jc w:val="center"/>
              <w:rPr>
                <w:rFonts w:ascii="宋体" w:eastAsia="宋体" w:hAnsi="宋体"/>
              </w:rPr>
            </w:pPr>
            <w:r>
              <w:rPr>
                <w:rFonts w:ascii="宋体" w:eastAsia="宋体" w:hAnsi="宋体" w:hint="eastAsia"/>
              </w:rPr>
              <w:t>2</w:t>
            </w:r>
          </w:p>
        </w:tc>
        <w:tc>
          <w:tcPr>
            <w:tcW w:w="892" w:type="pct"/>
            <w:vMerge/>
            <w:vAlign w:val="center"/>
          </w:tcPr>
          <w:p>
            <w:pPr>
              <w:snapToGrid w:val="0"/>
              <w:spacing w:line="360" w:lineRule="auto"/>
              <w:jc w:val="center"/>
              <w:rPr>
                <w:rFonts w:ascii="宋体" w:eastAsia="宋体" w:hAnsi="宋体"/>
                <w:b/>
                <w:bCs/>
                <w:szCs w:val="21"/>
              </w:rPr>
            </w:pPr>
          </w:p>
        </w:tc>
        <w:tc>
          <w:tcPr>
            <w:tcW w:w="915" w:type="pct"/>
            <w:vAlign w:val="center"/>
          </w:tcPr>
          <w:p>
            <w:pPr>
              <w:jc w:val="center"/>
              <w:rPr>
                <w:rFonts w:ascii="宋体" w:eastAsia="宋体" w:hAnsi="宋体"/>
                <w:b/>
                <w:bCs/>
              </w:rPr>
            </w:pPr>
            <w:r>
              <w:rPr>
                <w:rFonts w:ascii="宋体" w:eastAsia="宋体" w:hAnsi="宋体"/>
                <w:b/>
                <w:bCs/>
              </w:rPr>
              <w:t>卫星云与高影响天气识</w:t>
            </w:r>
            <w:r>
              <w:rPr>
                <w:rFonts w:ascii="宋体" w:eastAsia="宋体" w:hAnsi="宋体" w:cs="宋体" w:hint="eastAsia"/>
                <w:b/>
                <w:bCs/>
              </w:rPr>
              <w:t>别</w:t>
            </w:r>
          </w:p>
        </w:tc>
        <w:tc>
          <w:tcPr>
            <w:tcW w:w="2940" w:type="pct"/>
            <w:vAlign w:val="center"/>
          </w:tcPr>
          <w:p>
            <w:pPr>
              <w:snapToGrid w:val="0"/>
              <w:spacing w:line="360" w:lineRule="auto"/>
              <w:jc w:val="left"/>
              <w:rPr>
                <w:rFonts w:ascii="宋体" w:eastAsia="宋体" w:hAnsi="宋体"/>
              </w:rPr>
            </w:pPr>
            <w:r>
              <w:rPr>
                <w:rFonts w:ascii="宋体" w:eastAsia="宋体" w:hAnsi="宋体"/>
              </w:rPr>
              <w:t>支持卫星云分类、云相态、云顶高度等云属性产品应用，对流云团识别、追踪和预报；支持冰雹、龙卷、对流性大风、大雾、道路结冰等高影响天气风险识别、分级告警和重点区域研判</w:t>
            </w:r>
            <w:r>
              <w:rPr>
                <w:rFonts w:ascii="宋体" w:eastAsia="宋体" w:hAnsi="宋体" w:cs="宋体" w:hint="eastAsia"/>
              </w:rPr>
              <w:t>。</w:t>
            </w:r>
          </w:p>
        </w:tc>
      </w:tr>
      <w:tr>
        <w:tblPrEx>
          <w:tblW w:w="5000" w:type="pct"/>
          <w:jc w:val="center"/>
          <w:tblCellMar>
            <w:top w:w="0" w:type="dxa"/>
            <w:left w:w="108" w:type="dxa"/>
            <w:bottom w:w="0" w:type="dxa"/>
            <w:right w:w="108" w:type="dxa"/>
          </w:tblCellMar>
        </w:tblPrEx>
        <w:trPr>
          <w:jc w:val="center"/>
        </w:trPr>
        <w:tc>
          <w:tcPr>
            <w:tcW w:w="253" w:type="pct"/>
            <w:vAlign w:val="center"/>
          </w:tcPr>
          <w:p>
            <w:pPr>
              <w:snapToGrid w:val="0"/>
              <w:spacing w:line="360" w:lineRule="auto"/>
              <w:jc w:val="center"/>
              <w:rPr>
                <w:rFonts w:ascii="宋体" w:eastAsia="宋体" w:hAnsi="宋体"/>
              </w:rPr>
            </w:pPr>
            <w:r>
              <w:rPr>
                <w:rFonts w:ascii="宋体" w:eastAsia="宋体" w:hAnsi="宋体" w:hint="eastAsia"/>
              </w:rPr>
              <w:t>3</w:t>
            </w:r>
          </w:p>
        </w:tc>
        <w:tc>
          <w:tcPr>
            <w:tcW w:w="892" w:type="pct"/>
            <w:vMerge w:val="restart"/>
            <w:vAlign w:val="center"/>
          </w:tcPr>
          <w:p>
            <w:pPr>
              <w:snapToGrid w:val="0"/>
              <w:spacing w:line="360" w:lineRule="auto"/>
              <w:jc w:val="center"/>
              <w:rPr>
                <w:rFonts w:ascii="宋体" w:eastAsia="宋体" w:hAnsi="宋体"/>
              </w:rPr>
            </w:pPr>
            <w:r>
              <w:rPr>
                <w:rFonts w:ascii="宋体" w:eastAsia="宋体" w:hAnsi="宋体" w:hint="eastAsia"/>
                <w:b/>
                <w:bCs/>
              </w:rPr>
              <w:t>强对流精准预报预警专题</w:t>
            </w:r>
          </w:p>
        </w:tc>
        <w:tc>
          <w:tcPr>
            <w:tcW w:w="915" w:type="pct"/>
            <w:vAlign w:val="center"/>
          </w:tcPr>
          <w:p>
            <w:pPr>
              <w:snapToGrid w:val="0"/>
              <w:spacing w:line="360" w:lineRule="auto"/>
              <w:jc w:val="center"/>
              <w:rPr>
                <w:rFonts w:ascii="宋体" w:eastAsia="宋体" w:hAnsi="宋体"/>
                <w:b/>
                <w:bCs/>
              </w:rPr>
            </w:pPr>
            <w:r>
              <w:rPr>
                <w:rFonts w:ascii="宋体" w:eastAsia="宋体" w:hAnsi="宋体"/>
                <w:b/>
                <w:bCs/>
              </w:rPr>
              <w:t>数值模式与精细化预</w:t>
            </w:r>
            <w:r>
              <w:rPr>
                <w:rFonts w:ascii="宋体" w:eastAsia="宋体" w:hAnsi="宋体" w:cs="宋体" w:hint="eastAsia"/>
                <w:b/>
                <w:bCs/>
              </w:rPr>
              <w:t>报</w:t>
            </w:r>
          </w:p>
        </w:tc>
        <w:tc>
          <w:tcPr>
            <w:tcW w:w="2940" w:type="pct"/>
            <w:vAlign w:val="center"/>
          </w:tcPr>
          <w:p>
            <w:pPr>
              <w:snapToGrid w:val="0"/>
              <w:spacing w:line="360" w:lineRule="auto"/>
              <w:jc w:val="left"/>
              <w:rPr>
                <w:rFonts w:ascii="宋体" w:eastAsia="宋体" w:hAnsi="宋体"/>
              </w:rPr>
            </w:pPr>
            <w:r>
              <w:rPr>
                <w:rFonts w:ascii="宋体" w:eastAsia="宋体" w:hAnsi="宋体"/>
              </w:rPr>
              <w:t>建设高分辨率数值模式和</w:t>
            </w:r>
            <w:r>
              <w:rPr>
                <w:rFonts w:ascii="宋体" w:eastAsia="宋体" w:hAnsi="宋体" w:hint="eastAsia"/>
              </w:rPr>
              <w:t>百米级分钟级</w:t>
            </w:r>
            <w:r>
              <w:rPr>
                <w:rFonts w:ascii="宋体" w:eastAsia="宋体" w:hAnsi="宋体"/>
              </w:rPr>
              <w:t>精细化预报产品应用能力，支持降水、降水相态、模拟组合反射率、阵风及近低空温、风、湿等多要素、多高度层、多时效产品展示和本地化订正应用</w:t>
            </w:r>
            <w:r>
              <w:rPr>
                <w:rFonts w:ascii="宋体" w:eastAsia="宋体" w:hAnsi="宋体" w:cs="宋体" w:hint="eastAsia"/>
              </w:rPr>
              <w:t>。</w:t>
            </w:r>
          </w:p>
        </w:tc>
      </w:tr>
      <w:tr>
        <w:tblPrEx>
          <w:tblW w:w="5000" w:type="pct"/>
          <w:jc w:val="center"/>
          <w:tblCellMar>
            <w:top w:w="0" w:type="dxa"/>
            <w:left w:w="108" w:type="dxa"/>
            <w:bottom w:w="0" w:type="dxa"/>
            <w:right w:w="108" w:type="dxa"/>
          </w:tblCellMar>
        </w:tblPrEx>
        <w:trPr>
          <w:jc w:val="center"/>
        </w:trPr>
        <w:tc>
          <w:tcPr>
            <w:tcW w:w="253" w:type="pct"/>
            <w:vAlign w:val="center"/>
          </w:tcPr>
          <w:p>
            <w:pPr>
              <w:snapToGrid w:val="0"/>
              <w:spacing w:line="360" w:lineRule="auto"/>
              <w:jc w:val="center"/>
              <w:rPr>
                <w:rFonts w:ascii="宋体" w:eastAsia="宋体" w:hAnsi="宋体"/>
              </w:rPr>
            </w:pPr>
            <w:r>
              <w:rPr>
                <w:rFonts w:ascii="宋体" w:eastAsia="宋体" w:hAnsi="宋体" w:hint="eastAsia"/>
              </w:rPr>
              <w:t>4</w:t>
            </w:r>
          </w:p>
        </w:tc>
        <w:tc>
          <w:tcPr>
            <w:tcW w:w="892" w:type="pct"/>
            <w:vMerge/>
            <w:vAlign w:val="center"/>
          </w:tcPr>
          <w:p>
            <w:pPr>
              <w:snapToGrid w:val="0"/>
              <w:spacing w:line="360" w:lineRule="auto"/>
              <w:jc w:val="center"/>
              <w:rPr>
                <w:rFonts w:ascii="宋体" w:eastAsia="宋体" w:hAnsi="宋体"/>
                <w:b/>
                <w:bCs/>
              </w:rPr>
            </w:pPr>
          </w:p>
        </w:tc>
        <w:tc>
          <w:tcPr>
            <w:tcW w:w="915" w:type="pct"/>
            <w:vAlign w:val="center"/>
          </w:tcPr>
          <w:p>
            <w:pPr>
              <w:snapToGrid w:val="0"/>
              <w:spacing w:line="360" w:lineRule="auto"/>
              <w:jc w:val="center"/>
              <w:rPr>
                <w:rFonts w:ascii="宋体" w:eastAsia="宋体" w:hAnsi="宋体"/>
                <w:b/>
                <w:bCs/>
              </w:rPr>
            </w:pPr>
            <w:r>
              <w:rPr>
                <w:rFonts w:ascii="宋体" w:eastAsia="宋体" w:hAnsi="宋体"/>
                <w:b/>
                <w:bCs/>
              </w:rPr>
              <w:t>AI短临与预警辅</w:t>
            </w:r>
            <w:r>
              <w:rPr>
                <w:rFonts w:ascii="宋体" w:eastAsia="宋体" w:hAnsi="宋体" w:cs="宋体" w:hint="eastAsia"/>
                <w:b/>
                <w:bCs/>
              </w:rPr>
              <w:t>助</w:t>
            </w:r>
          </w:p>
        </w:tc>
        <w:tc>
          <w:tcPr>
            <w:tcW w:w="2940" w:type="pct"/>
            <w:vAlign w:val="center"/>
          </w:tcPr>
          <w:p>
            <w:pPr>
              <w:snapToGrid w:val="0"/>
              <w:spacing w:line="360" w:lineRule="auto"/>
              <w:jc w:val="left"/>
              <w:rPr>
                <w:rFonts w:ascii="宋体" w:eastAsia="宋体" w:hAnsi="宋体"/>
              </w:rPr>
            </w:pPr>
            <w:r>
              <w:rPr>
                <w:rFonts w:ascii="宋体" w:eastAsia="宋体" w:hAnsi="宋体"/>
              </w:rPr>
              <w:t>建设智能临近预报、强对流概率预报和主观临近预报预警辅助能力；支持风险落区圈选、风险要素选择、AI辅助生成预警文稿、人工订正确认、区县签收反馈和历史预警追溯</w:t>
            </w:r>
            <w:r>
              <w:rPr>
                <w:rFonts w:ascii="宋体" w:eastAsia="宋体" w:hAnsi="宋体" w:cs="宋体" w:hint="eastAsia"/>
              </w:rPr>
              <w:t>。</w:t>
            </w:r>
          </w:p>
        </w:tc>
      </w:tr>
      <w:tr>
        <w:tblPrEx>
          <w:tblW w:w="5000" w:type="pct"/>
          <w:jc w:val="center"/>
          <w:tblCellMar>
            <w:top w:w="0" w:type="dxa"/>
            <w:left w:w="108" w:type="dxa"/>
            <w:bottom w:w="0" w:type="dxa"/>
            <w:right w:w="108" w:type="dxa"/>
          </w:tblCellMar>
        </w:tblPrEx>
        <w:trPr>
          <w:jc w:val="center"/>
        </w:trPr>
        <w:tc>
          <w:tcPr>
            <w:tcW w:w="253" w:type="pct"/>
            <w:vAlign w:val="center"/>
          </w:tcPr>
          <w:p>
            <w:pPr>
              <w:snapToGrid w:val="0"/>
              <w:spacing w:line="360" w:lineRule="auto"/>
              <w:jc w:val="center"/>
              <w:rPr>
                <w:rFonts w:ascii="宋体" w:eastAsia="宋体" w:hAnsi="宋体"/>
              </w:rPr>
            </w:pPr>
            <w:r>
              <w:rPr>
                <w:rFonts w:ascii="宋体" w:eastAsia="宋体" w:hAnsi="宋体" w:hint="eastAsia"/>
              </w:rPr>
              <w:t>5</w:t>
            </w:r>
          </w:p>
        </w:tc>
        <w:tc>
          <w:tcPr>
            <w:tcW w:w="892" w:type="pct"/>
            <w:vAlign w:val="center"/>
          </w:tcPr>
          <w:p>
            <w:pPr>
              <w:snapToGrid w:val="0"/>
              <w:spacing w:line="360" w:lineRule="auto"/>
              <w:jc w:val="center"/>
              <w:rPr>
                <w:rFonts w:ascii="宋体" w:eastAsia="宋体" w:hAnsi="宋体"/>
              </w:rPr>
            </w:pPr>
            <w:r>
              <w:rPr>
                <w:rFonts w:ascii="宋体" w:eastAsia="宋体" w:hAnsi="宋体" w:hint="eastAsia"/>
                <w:b/>
                <w:bCs/>
              </w:rPr>
              <w:t>AI数智预报员</w:t>
            </w:r>
          </w:p>
        </w:tc>
        <w:tc>
          <w:tcPr>
            <w:tcW w:w="915" w:type="pct"/>
            <w:vAlign w:val="center"/>
          </w:tcPr>
          <w:p>
            <w:pPr>
              <w:snapToGrid w:val="0"/>
              <w:spacing w:line="360" w:lineRule="auto"/>
              <w:jc w:val="center"/>
              <w:rPr>
                <w:rFonts w:ascii="宋体" w:eastAsia="宋体" w:hAnsi="宋体"/>
                <w:b/>
                <w:bCs/>
              </w:rPr>
            </w:pPr>
            <w:r>
              <w:rPr>
                <w:rFonts w:ascii="宋体" w:eastAsia="宋体" w:hAnsi="宋体"/>
                <w:b/>
                <w:bCs/>
              </w:rPr>
              <w:t>AI数智预报员应</w:t>
            </w:r>
            <w:r>
              <w:rPr>
                <w:rFonts w:ascii="宋体" w:eastAsia="宋体" w:hAnsi="宋体" w:cs="宋体" w:hint="eastAsia"/>
                <w:b/>
                <w:bCs/>
              </w:rPr>
              <w:t>用</w:t>
            </w:r>
          </w:p>
        </w:tc>
        <w:tc>
          <w:tcPr>
            <w:tcW w:w="2940" w:type="pct"/>
            <w:vAlign w:val="center"/>
          </w:tcPr>
          <w:p>
            <w:pPr>
              <w:snapToGrid w:val="0"/>
              <w:spacing w:line="360" w:lineRule="auto"/>
              <w:jc w:val="left"/>
              <w:rPr>
                <w:rFonts w:ascii="宋体" w:eastAsia="宋体" w:hAnsi="宋体"/>
              </w:rPr>
            </w:pPr>
            <w:r>
              <w:rPr>
                <w:rFonts w:ascii="宋体" w:eastAsia="宋体" w:hAnsi="宋体" w:hint="eastAsia"/>
              </w:rPr>
              <w:t>部署高影响天气自动告警、AI语音叫应、智能决策辅助和知识问询等智能体，支撑实况快报、灾害分析材料、决策服务文稿、预警配套材料和过程复盘材料辅助生成。支持历史个例与极值智能检索、多智能体统一调度和工具调用；AI生成结果应可编辑、可审核、可留痕，未经人工审核确认不得直接进入正式预警发布、政务报送或成果服务流程。</w:t>
            </w:r>
          </w:p>
        </w:tc>
      </w:tr>
      <w:tr>
        <w:tblPrEx>
          <w:tblW w:w="5000" w:type="pct"/>
          <w:jc w:val="center"/>
          <w:tblCellMar>
            <w:top w:w="0" w:type="dxa"/>
            <w:left w:w="108" w:type="dxa"/>
            <w:bottom w:w="0" w:type="dxa"/>
            <w:right w:w="108" w:type="dxa"/>
          </w:tblCellMar>
        </w:tblPrEx>
        <w:trPr>
          <w:cantSplit/>
          <w:jc w:val="center"/>
        </w:trPr>
        <w:tc>
          <w:tcPr>
            <w:tcW w:w="253" w:type="pct"/>
            <w:vAlign w:val="center"/>
          </w:tcPr>
          <w:p>
            <w:pPr>
              <w:snapToGrid w:val="0"/>
              <w:spacing w:line="360" w:lineRule="auto"/>
              <w:jc w:val="center"/>
              <w:rPr>
                <w:rFonts w:ascii="宋体" w:eastAsia="宋体" w:hAnsi="宋体"/>
              </w:rPr>
            </w:pPr>
            <w:r>
              <w:rPr>
                <w:rFonts w:ascii="宋体" w:eastAsia="宋体" w:hAnsi="宋体" w:hint="eastAsia"/>
              </w:rPr>
              <w:t>6</w:t>
            </w:r>
          </w:p>
        </w:tc>
        <w:tc>
          <w:tcPr>
            <w:tcW w:w="892" w:type="pct"/>
            <w:vMerge w:val="restart"/>
            <w:vAlign w:val="center"/>
          </w:tcPr>
          <w:p>
            <w:pPr>
              <w:snapToGrid w:val="0"/>
              <w:spacing w:line="360" w:lineRule="auto"/>
              <w:jc w:val="center"/>
              <w:rPr>
                <w:rFonts w:ascii="宋体" w:eastAsia="宋体" w:hAnsi="宋体"/>
              </w:rPr>
            </w:pPr>
            <w:r>
              <w:rPr>
                <w:rFonts w:ascii="宋体" w:eastAsia="宋体" w:hAnsi="宋体" w:hint="eastAsia"/>
                <w:b/>
                <w:bCs/>
              </w:rPr>
              <w:t>多元数据融合模型算法工场</w:t>
            </w:r>
          </w:p>
        </w:tc>
        <w:tc>
          <w:tcPr>
            <w:tcW w:w="915" w:type="pct"/>
            <w:vAlign w:val="center"/>
          </w:tcPr>
          <w:p>
            <w:pPr>
              <w:snapToGrid w:val="0"/>
              <w:spacing w:line="360" w:lineRule="auto"/>
              <w:jc w:val="center"/>
              <w:rPr>
                <w:rFonts w:ascii="宋体" w:eastAsia="宋体" w:hAnsi="宋体"/>
                <w:b/>
                <w:bCs/>
              </w:rPr>
            </w:pPr>
            <w:r>
              <w:rPr>
                <w:rFonts w:ascii="宋体" w:eastAsia="宋体" w:hAnsi="宋体"/>
                <w:b/>
                <w:bCs/>
              </w:rPr>
              <w:t>算法工场运行管</w:t>
            </w:r>
            <w:r>
              <w:rPr>
                <w:rFonts w:ascii="宋体" w:eastAsia="宋体" w:hAnsi="宋体" w:cs="宋体" w:hint="eastAsia"/>
                <w:b/>
                <w:bCs/>
              </w:rPr>
              <w:t>理</w:t>
            </w:r>
          </w:p>
        </w:tc>
        <w:tc>
          <w:tcPr>
            <w:tcW w:w="2940" w:type="pct"/>
            <w:vAlign w:val="center"/>
          </w:tcPr>
          <w:p>
            <w:pPr>
              <w:snapToGrid w:val="0"/>
              <w:spacing w:line="360" w:lineRule="auto"/>
              <w:jc w:val="left"/>
              <w:rPr>
                <w:rFonts w:ascii="宋体" w:eastAsia="宋体" w:hAnsi="宋体"/>
              </w:rPr>
            </w:pPr>
            <w:r>
              <w:rPr>
                <w:rFonts w:ascii="宋体" w:eastAsia="宋体" w:hAnsi="宋体"/>
              </w:rPr>
              <w:t>建设算法任务调度、参数配置、产品回传、版本管理、测试验证、上线审批、回退和运行监控能力，支撑雷达融合、灾害识别、数值模式、AI短临预报和卫星监测等算法的业务化运行与持续优化</w:t>
            </w:r>
            <w:r>
              <w:rPr>
                <w:rFonts w:ascii="宋体" w:eastAsia="宋体" w:hAnsi="宋体" w:cs="宋体" w:hint="eastAsia"/>
              </w:rPr>
              <w:t>。</w:t>
            </w:r>
          </w:p>
        </w:tc>
      </w:tr>
      <w:tr>
        <w:tblPrEx>
          <w:tblW w:w="5000" w:type="pct"/>
          <w:jc w:val="center"/>
          <w:tblCellMar>
            <w:top w:w="0" w:type="dxa"/>
            <w:left w:w="108" w:type="dxa"/>
            <w:bottom w:w="0" w:type="dxa"/>
            <w:right w:w="108" w:type="dxa"/>
          </w:tblCellMar>
        </w:tblPrEx>
        <w:trPr>
          <w:jc w:val="center"/>
        </w:trPr>
        <w:tc>
          <w:tcPr>
            <w:tcW w:w="253" w:type="pct"/>
            <w:vAlign w:val="center"/>
          </w:tcPr>
          <w:p>
            <w:pPr>
              <w:snapToGrid w:val="0"/>
              <w:spacing w:line="360" w:lineRule="auto"/>
              <w:jc w:val="center"/>
              <w:rPr>
                <w:rFonts w:ascii="宋体" w:eastAsia="宋体" w:hAnsi="宋体"/>
              </w:rPr>
            </w:pPr>
            <w:r>
              <w:rPr>
                <w:rFonts w:ascii="宋体" w:eastAsia="宋体" w:hAnsi="宋体" w:hint="eastAsia"/>
              </w:rPr>
              <w:t>7</w:t>
            </w:r>
          </w:p>
        </w:tc>
        <w:tc>
          <w:tcPr>
            <w:tcW w:w="892" w:type="pct"/>
            <w:vMerge/>
            <w:vAlign w:val="center"/>
          </w:tcPr>
          <w:p>
            <w:pPr>
              <w:snapToGrid w:val="0"/>
              <w:spacing w:line="360" w:lineRule="auto"/>
              <w:jc w:val="center"/>
              <w:rPr>
                <w:rFonts w:ascii="宋体" w:eastAsia="宋体" w:hAnsi="宋体"/>
                <w:b/>
                <w:bCs/>
              </w:rPr>
            </w:pPr>
          </w:p>
        </w:tc>
        <w:tc>
          <w:tcPr>
            <w:tcW w:w="915" w:type="pct"/>
            <w:vAlign w:val="center"/>
          </w:tcPr>
          <w:p>
            <w:pPr>
              <w:snapToGrid w:val="0"/>
              <w:spacing w:line="360" w:lineRule="auto"/>
              <w:jc w:val="center"/>
              <w:rPr>
                <w:rFonts w:ascii="宋体" w:eastAsia="宋体" w:hAnsi="宋体"/>
                <w:b/>
                <w:bCs/>
              </w:rPr>
            </w:pPr>
            <w:r>
              <w:rPr>
                <w:rFonts w:ascii="宋体" w:eastAsia="宋体" w:hAnsi="宋体"/>
                <w:b/>
                <w:bCs/>
              </w:rPr>
              <w:t>观测试验与本地验</w:t>
            </w:r>
            <w:r>
              <w:rPr>
                <w:rFonts w:ascii="宋体" w:eastAsia="宋体" w:hAnsi="宋体" w:cs="宋体" w:hint="eastAsia"/>
                <w:b/>
                <w:bCs/>
              </w:rPr>
              <w:t>证</w:t>
            </w:r>
          </w:p>
        </w:tc>
        <w:tc>
          <w:tcPr>
            <w:tcW w:w="2940" w:type="pct"/>
            <w:vAlign w:val="center"/>
          </w:tcPr>
          <w:p>
            <w:pPr>
              <w:snapToGrid w:val="0"/>
              <w:spacing w:line="360" w:lineRule="auto"/>
              <w:jc w:val="left"/>
              <w:rPr>
                <w:rFonts w:ascii="宋体" w:eastAsia="宋体" w:hAnsi="宋体"/>
              </w:rPr>
            </w:pPr>
            <w:r>
              <w:rPr>
                <w:rFonts w:ascii="宋体" w:eastAsia="宋体" w:hAnsi="宋体"/>
              </w:rPr>
              <w:t>提出并实施强对流观测试验、试验资料组织、本地化数据集建设、典型过程复盘和算法验证优化安排，形成适应盐城及周边区域强对流天气特点的算法本地化适配能力</w:t>
            </w:r>
            <w:r>
              <w:rPr>
                <w:rFonts w:ascii="宋体" w:eastAsia="宋体" w:hAnsi="宋体" w:cs="宋体" w:hint="eastAsia"/>
              </w:rPr>
              <w:t>。</w:t>
            </w:r>
          </w:p>
        </w:tc>
      </w:tr>
      <w:tr>
        <w:tblPrEx>
          <w:tblW w:w="5000" w:type="pct"/>
          <w:jc w:val="center"/>
          <w:tblCellMar>
            <w:top w:w="0" w:type="dxa"/>
            <w:left w:w="108" w:type="dxa"/>
            <w:bottom w:w="0" w:type="dxa"/>
            <w:right w:w="108" w:type="dxa"/>
          </w:tblCellMar>
        </w:tblPrEx>
        <w:trPr>
          <w:jc w:val="center"/>
        </w:trPr>
        <w:tc>
          <w:tcPr>
            <w:tcW w:w="253" w:type="pct"/>
            <w:vAlign w:val="center"/>
          </w:tcPr>
          <w:p>
            <w:pPr>
              <w:snapToGrid w:val="0"/>
              <w:spacing w:line="360" w:lineRule="auto"/>
              <w:jc w:val="center"/>
              <w:rPr>
                <w:rFonts w:ascii="宋体" w:eastAsia="宋体" w:hAnsi="宋体"/>
              </w:rPr>
            </w:pPr>
            <w:r>
              <w:rPr>
                <w:rFonts w:ascii="宋体" w:eastAsia="宋体" w:hAnsi="宋体" w:hint="eastAsia"/>
              </w:rPr>
              <w:t>8</w:t>
            </w:r>
          </w:p>
        </w:tc>
        <w:tc>
          <w:tcPr>
            <w:tcW w:w="892" w:type="pct"/>
            <w:vAlign w:val="center"/>
          </w:tcPr>
          <w:p>
            <w:pPr>
              <w:snapToGrid w:val="0"/>
              <w:spacing w:line="360" w:lineRule="auto"/>
              <w:jc w:val="center"/>
              <w:rPr>
                <w:rFonts w:ascii="宋体" w:eastAsia="宋体" w:hAnsi="宋体"/>
              </w:rPr>
            </w:pPr>
            <w:bookmarkStart w:id="63" w:name="OLE_LINK14"/>
            <w:r>
              <w:rPr>
                <w:rFonts w:ascii="宋体" w:eastAsia="宋体" w:hAnsi="宋体" w:hint="eastAsia"/>
                <w:b/>
                <w:bCs/>
              </w:rPr>
              <w:t>AI气象数据支撑功能模块</w:t>
            </w:r>
            <w:bookmarkEnd w:id="63"/>
          </w:p>
        </w:tc>
        <w:tc>
          <w:tcPr>
            <w:tcW w:w="915" w:type="pct"/>
            <w:vAlign w:val="center"/>
          </w:tcPr>
          <w:p>
            <w:pPr>
              <w:snapToGrid w:val="0"/>
              <w:spacing w:line="360" w:lineRule="auto"/>
              <w:jc w:val="center"/>
              <w:rPr>
                <w:rFonts w:ascii="宋体" w:eastAsia="宋体" w:hAnsi="宋体"/>
                <w:b/>
                <w:bCs/>
              </w:rPr>
            </w:pPr>
            <w:r>
              <w:rPr>
                <w:rFonts w:ascii="宋体" w:eastAsia="宋体" w:hAnsi="宋体"/>
                <w:b/>
                <w:bCs/>
              </w:rPr>
              <w:t>AI气象数据支撑</w:t>
            </w:r>
          </w:p>
        </w:tc>
        <w:tc>
          <w:tcPr>
            <w:tcW w:w="2940" w:type="pct"/>
            <w:vAlign w:val="center"/>
          </w:tcPr>
          <w:p>
            <w:pPr>
              <w:snapToGrid w:val="0"/>
              <w:spacing w:line="360" w:lineRule="auto"/>
              <w:jc w:val="left"/>
              <w:rPr>
                <w:rFonts w:ascii="宋体" w:eastAsia="宋体" w:hAnsi="宋体"/>
              </w:rPr>
            </w:pPr>
            <w:r>
              <w:rPr>
                <w:rFonts w:ascii="宋体" w:eastAsia="宋体" w:hAnsi="宋体" w:hint="eastAsia"/>
              </w:rPr>
              <w:t>实现多源异构气象数据统一汇聚、实时流式处理、接入校验、必要的辅助质控、融合分析、专题统计、产品缓存和目录管理。构建高影响天气预警、决策辅助、语音叫应、知识问询等专属AI语料库和灾害个例主题数据集，为智能体推理、材料生成、历史个例复用和过程复盘提供可追溯的数据支撑。</w:t>
            </w:r>
          </w:p>
        </w:tc>
      </w:tr>
    </w:tbl>
    <w:p>
      <w:pPr>
        <w:snapToGrid w:val="0"/>
        <w:spacing w:line="360" w:lineRule="auto"/>
        <w:ind w:firstLine="508" w:firstLineChars="242"/>
        <w:jc w:val="left"/>
        <w:rPr>
          <w:rFonts w:ascii="宋体" w:hAnsi="宋体"/>
        </w:rPr>
      </w:pPr>
    </w:p>
    <w:bookmarkEnd w:id="62"/>
    <w:p>
      <w:pPr>
        <w:snapToGrid w:val="0"/>
        <w:spacing w:line="360" w:lineRule="auto"/>
        <w:ind w:firstLine="420" w:firstLineChars="200"/>
        <w:jc w:val="left"/>
        <w:rPr>
          <w:rFonts w:ascii="宋体" w:hAnsi="宋体"/>
          <w:b/>
          <w:bCs/>
          <w:szCs w:val="21"/>
        </w:rPr>
      </w:pPr>
      <w:r>
        <w:rPr>
          <w:rFonts w:ascii="宋体" w:hAnsi="宋体" w:hint="eastAsia"/>
          <w:b/>
          <w:bCs/>
          <w:szCs w:val="21"/>
        </w:rPr>
        <w:t>四、</w:t>
      </w:r>
      <w:bookmarkStart w:id="64" w:name="OLE_LINK8"/>
      <w:r>
        <w:rPr>
          <w:rFonts w:ascii="宋体" w:hAnsi="宋体" w:hint="eastAsia"/>
          <w:b/>
          <w:bCs/>
          <w:szCs w:val="21"/>
        </w:rPr>
        <w:t>标识说明：</w:t>
      </w:r>
    </w:p>
    <w:p>
      <w:pPr>
        <w:snapToGrid w:val="0"/>
        <w:spacing w:line="360" w:lineRule="auto"/>
        <w:ind w:firstLine="420" w:firstLineChars="200"/>
        <w:jc w:val="left"/>
        <w:rPr>
          <w:rFonts w:ascii="宋体" w:hAnsi="宋体"/>
          <w:bCs/>
          <w:szCs w:val="21"/>
        </w:rPr>
      </w:pPr>
      <w:r>
        <w:rPr>
          <w:rFonts w:ascii="宋体" w:hAnsi="宋体" w:hint="eastAsia"/>
          <w:bCs/>
          <w:szCs w:val="21"/>
        </w:rPr>
        <w:t>▲ 重点验收要求（投标人须在响应文件对应部分中说明实现方式、产品能力或实施安排；项目实施、试运行和验收时作为重点核查内容）。</w:t>
      </w:r>
    </w:p>
    <w:p>
      <w:pPr>
        <w:snapToGrid w:val="0"/>
        <w:spacing w:line="360" w:lineRule="auto"/>
        <w:ind w:firstLine="420" w:firstLineChars="200"/>
        <w:jc w:val="left"/>
        <w:rPr>
          <w:rFonts w:ascii="宋体" w:hAnsi="宋体"/>
          <w:bCs/>
          <w:szCs w:val="21"/>
        </w:rPr>
      </w:pPr>
      <w:r>
        <w:rPr>
          <w:rFonts w:ascii="宋体" w:hAnsi="宋体" w:hint="eastAsia"/>
          <w:bCs/>
          <w:szCs w:val="21"/>
        </w:rPr>
        <w:t>未标识项为一般指标（投标人应响应并在项目实施中满足，可结合自身技术方案说明具体实现方式）。</w:t>
      </w:r>
    </w:p>
    <w:p>
      <w:pPr>
        <w:snapToGrid w:val="0"/>
        <w:spacing w:line="360" w:lineRule="auto"/>
        <w:ind w:firstLine="420" w:firstLineChars="200"/>
        <w:jc w:val="left"/>
        <w:rPr>
          <w:rFonts w:ascii="宋体" w:hAnsi="宋体"/>
          <w:bCs/>
          <w:szCs w:val="21"/>
        </w:rPr>
      </w:pPr>
      <w:r>
        <w:rPr>
          <w:rFonts w:ascii="宋体" w:hAnsi="宋体" w:hint="eastAsia"/>
          <w:bCs/>
          <w:szCs w:val="21"/>
        </w:rPr>
        <w:t>本节各项要求不单独设置技术响应得分。投标人技术响应及相关承诺，经采购人确认后作为合同履约和验收依据。</w:t>
      </w:r>
    </w:p>
    <w:p>
      <w:pPr>
        <w:snapToGrid w:val="0"/>
        <w:spacing w:line="360" w:lineRule="auto"/>
        <w:ind w:firstLine="420" w:firstLineChars="200"/>
        <w:jc w:val="left"/>
        <w:rPr>
          <w:rFonts w:ascii="宋体" w:hAnsi="宋体"/>
          <w:b/>
          <w:bCs/>
          <w:szCs w:val="21"/>
        </w:rPr>
      </w:pPr>
      <w:r>
        <w:rPr>
          <w:rFonts w:ascii="宋体" w:hAnsi="宋体" w:hint="eastAsia"/>
          <w:b/>
          <w:bCs/>
          <w:szCs w:val="21"/>
        </w:rPr>
        <w:t>五、盐城市强对流灾害防御监测站网建设-盐城市强对流监测预报预警一体化系统</w:t>
      </w:r>
      <w:r>
        <w:rPr>
          <w:rFonts w:ascii="宋体" w:hAnsi="宋体" w:cs="宋体" w:hint="eastAsia"/>
          <w:b/>
          <w:bCs/>
          <w:color w:val="000000"/>
          <w:szCs w:val="21"/>
          <w:lang w:bidi="ar"/>
        </w:rPr>
        <w:t>建设</w:t>
      </w:r>
      <w:bookmarkEnd w:id="64"/>
      <w:r>
        <w:rPr>
          <w:rFonts w:ascii="宋体" w:hAnsi="宋体" w:cs="宋体" w:hint="eastAsia"/>
          <w:b/>
          <w:bCs/>
          <w:color w:val="000000"/>
          <w:szCs w:val="21"/>
          <w:lang w:bidi="ar"/>
        </w:rPr>
        <w:t>原则、部署与数据接口要求</w:t>
      </w:r>
    </w:p>
    <w:p>
      <w:pPr>
        <w:snapToGrid w:val="0"/>
        <w:spacing w:line="360" w:lineRule="auto"/>
        <w:ind w:firstLine="508" w:firstLineChars="242"/>
        <w:jc w:val="left"/>
        <w:rPr>
          <w:rFonts w:ascii="宋体" w:hAnsi="宋体"/>
        </w:rPr>
      </w:pPr>
      <w:r>
        <w:rPr>
          <w:rFonts w:ascii="宋体" w:hAnsi="宋体" w:hint="eastAsia"/>
        </w:rPr>
        <w:t>1. 本项目遵循“统一平台、集约建设、数据共享、市县一体、智能赋能、安全可靠”的总体思路，采用“省级集中资料加工、盐城市本地业务应用、市局集中部署、市县共用”的建设方式。</w:t>
      </w:r>
    </w:p>
    <w:p>
      <w:pPr>
        <w:snapToGrid w:val="0"/>
        <w:spacing w:line="360" w:lineRule="auto"/>
        <w:ind w:firstLine="508" w:firstLineChars="242"/>
        <w:jc w:val="left"/>
        <w:rPr>
          <w:rFonts w:ascii="宋体" w:hAnsi="宋体"/>
        </w:rPr>
      </w:pPr>
      <w:r>
        <w:rPr>
          <w:rFonts w:ascii="宋体" w:hAnsi="宋体" w:hint="eastAsia"/>
          <w:b/>
        </w:rPr>
        <w:t xml:space="preserve">▲2. </w:t>
      </w:r>
      <w:r>
        <w:rPr>
          <w:rFonts w:ascii="宋体" w:hAnsi="宋体" w:hint="eastAsia"/>
        </w:rPr>
        <w:t>系统应与省天擎平台、江苏预报业务一体化平台、江苏强对流天气监测预警平台及盐城市既有气象业务体系有效衔接，不替代省级统一预报制作、预警发布和原始资料管理能力。</w:t>
      </w:r>
    </w:p>
    <w:p>
      <w:pPr>
        <w:snapToGrid w:val="0"/>
        <w:spacing w:line="360" w:lineRule="auto"/>
        <w:ind w:firstLine="420" w:firstLineChars="200"/>
        <w:jc w:val="left"/>
        <w:rPr>
          <w:rFonts w:ascii="宋体" w:hAnsi="宋体"/>
        </w:rPr>
      </w:pPr>
      <w:r>
        <w:rPr>
          <w:rFonts w:ascii="宋体" w:hAnsi="宋体" w:hint="eastAsia"/>
        </w:rPr>
        <w:t>3. 本项目的总体部署边界、数据使用边界和安全要求如下：</w:t>
      </w:r>
    </w:p>
    <w:p>
      <w:pPr>
        <w:snapToGrid w:val="0"/>
        <w:spacing w:line="360" w:lineRule="auto"/>
        <w:ind w:firstLine="420" w:firstLineChars="200"/>
        <w:jc w:val="left"/>
        <w:rPr>
          <w:rFonts w:ascii="宋体" w:hAnsi="宋体"/>
          <w:lang w:val="zh-CN"/>
        </w:rPr>
      </w:pPr>
      <w:r>
        <w:rPr>
          <w:rFonts w:ascii="宋体" w:hAnsi="宋体" w:hint="eastAsia"/>
          <w:lang w:val="zh-CN"/>
        </w:rPr>
        <w:t>3.1 高运算量、大数据量及需依赖原始资料的处理任务，应按江苏省气象局要求部署在指定受控环境完成，包括雷达基础资料处理、卫星基础资料处理、模式产品加工及相关算法运行等。承建方应结合省局环境、数据授权和业务流程，完成算法部署、任务调度、产品服务和运行保障的具体设计与实施。</w:t>
      </w:r>
    </w:p>
    <w:p>
      <w:pPr>
        <w:snapToGrid w:val="0"/>
        <w:spacing w:line="360" w:lineRule="auto"/>
        <w:ind w:firstLine="420" w:firstLineChars="200"/>
        <w:jc w:val="left"/>
        <w:rPr>
          <w:rFonts w:ascii="宋体" w:hAnsi="宋体"/>
          <w:lang w:val="zh-CN"/>
        </w:rPr>
      </w:pPr>
      <w:r>
        <w:rPr>
          <w:rFonts w:ascii="宋体" w:hAnsi="宋体" w:hint="eastAsia"/>
          <w:lang w:val="zh-CN"/>
        </w:rPr>
        <w:t>3.2盐城市气象局本地侧复用既有业务服务器、AI推理机和气象内网环境，承担本地业务应用、授权产品缓存、自动站辅助质控与统计、业务数据库、GIS服务、三维雷达渲染、专题产品制作、典型过程归档、运行监控及AI数智预报员等业务。具体的软件架构、存储策略、服务部署和资源分配，由投标人根据现有资源条件和采购需求提出设计方案。</w:t>
      </w:r>
    </w:p>
    <w:p>
      <w:pPr>
        <w:snapToGrid w:val="0"/>
        <w:spacing w:line="360" w:lineRule="auto"/>
        <w:ind w:firstLine="420" w:firstLineChars="200"/>
        <w:jc w:val="left"/>
        <w:rPr>
          <w:rFonts w:ascii="宋体" w:hAnsi="宋体"/>
          <w:lang w:val="zh-CN"/>
        </w:rPr>
      </w:pPr>
      <w:r>
        <w:rPr>
          <w:rFonts w:ascii="宋体" w:hAnsi="宋体" w:hint="eastAsia"/>
          <w:lang w:val="zh-CN"/>
        </w:rPr>
        <w:t>3.3雷达基数据、全量卫星原始资料、全省模式原始场及其他大体量基础资料由省级侧统一管理，本地不重复汇聚和长期存储。盐城市本地侧主要接收盐城及周边区域的融合数据、区域切片和产品结果，用于展示、分析、本地化订正、专题产品制作和业务应用。</w:t>
      </w:r>
    </w:p>
    <w:p>
      <w:pPr>
        <w:snapToGrid w:val="0"/>
        <w:spacing w:line="360" w:lineRule="auto"/>
        <w:ind w:firstLine="420" w:firstLineChars="200"/>
        <w:jc w:val="left"/>
        <w:rPr>
          <w:rFonts w:ascii="宋体" w:hAnsi="宋体"/>
          <w:lang w:val="zh-CN"/>
        </w:rPr>
      </w:pPr>
      <w:r>
        <w:rPr>
          <w:rFonts w:ascii="宋体" w:hAnsi="宋体" w:hint="eastAsia"/>
          <w:lang w:val="zh-CN"/>
        </w:rPr>
        <w:t>3.3数据接入应遵循省天擎平台统一目录、统一授权和统一调用要求。系统应支持对授权资料和产品开展接入校验、必要的辅助质控、格式转换、时空匹配、专题统计、产品缓存、典型过程归档和目录管理，确保数据来源、调用权限、处理过程和产品结果可追溯。</w:t>
      </w:r>
    </w:p>
    <w:p>
      <w:pPr>
        <w:snapToGrid w:val="0"/>
        <w:spacing w:line="360" w:lineRule="auto"/>
        <w:ind w:firstLine="420" w:firstLineChars="200"/>
        <w:jc w:val="left"/>
        <w:rPr>
          <w:rFonts w:ascii="宋体" w:hAnsi="宋体"/>
          <w:lang w:val="zh-CN"/>
        </w:rPr>
      </w:pPr>
      <w:r>
        <w:rPr>
          <w:rFonts w:ascii="宋体" w:hAnsi="宋体" w:hint="eastAsia"/>
          <w:lang w:val="zh-CN"/>
        </w:rPr>
        <w:t>3.4市县两级业务人员通过现有气象内网访问盐城市本地平台，实现市局集中部署、市县共用一套平台，支撑市级统筹研判、县级属地跟踪、预警签收反馈和典型过程共享复盘。</w:t>
      </w:r>
    </w:p>
    <w:p>
      <w:pPr>
        <w:snapToGrid w:val="0"/>
        <w:spacing w:line="360" w:lineRule="auto"/>
        <w:ind w:firstLine="420" w:firstLineChars="200"/>
        <w:jc w:val="left"/>
        <w:rPr>
          <w:rFonts w:ascii="宋体" w:hAnsi="宋体"/>
          <w:lang w:val="zh-CN"/>
        </w:rPr>
      </w:pPr>
      <w:r>
        <w:rPr>
          <w:rFonts w:ascii="宋体" w:hAnsi="宋体" w:hint="eastAsia"/>
          <w:b/>
          <w:lang w:val="zh-CN"/>
        </w:rPr>
        <w:t>▲</w:t>
      </w:r>
      <w:r>
        <w:rPr>
          <w:rFonts w:ascii="宋体" w:hAnsi="宋体" w:hint="eastAsia"/>
          <w:lang w:val="zh-CN"/>
        </w:rPr>
        <w:t>3.5系统内部应建立标准化接口，支撑监测、预报预警、AI数智预报员、算法工场和数据支撑模块之间的数据与成果闭环流转。与省级业务平台、数据服务和算法环境的接口方式、调用频次、产品目录及安全控制，应符合江苏省气象局现行规定和授权要求。</w:t>
      </w:r>
    </w:p>
    <w:p>
      <w:pPr>
        <w:snapToGrid w:val="0"/>
        <w:spacing w:line="360" w:lineRule="auto"/>
        <w:ind w:firstLine="420" w:firstLineChars="200"/>
        <w:jc w:val="left"/>
        <w:rPr>
          <w:rFonts w:ascii="宋体" w:hAnsi="宋体"/>
          <w:lang w:val="zh-CN"/>
        </w:rPr>
      </w:pPr>
      <w:r>
        <w:rPr>
          <w:rFonts w:ascii="宋体" w:hAnsi="宋体" w:hint="eastAsia"/>
          <w:lang w:val="zh-CN"/>
        </w:rPr>
        <w:t>3.6对外成果服务应依托盐城市政府信息资源中心平台或既有受控交换机制开展，仅共享经人工审核、授权和必要脱敏后的预警、风险提示、专题图层及目录信息。不建设与具体部门的点对点接口，不开放气象内网原始资料、算法模型、业务数据库和后台管理权限。</w:t>
      </w:r>
    </w:p>
    <w:p>
      <w:pPr>
        <w:snapToGrid w:val="0"/>
        <w:spacing w:line="360" w:lineRule="auto"/>
        <w:ind w:firstLine="420" w:firstLineChars="200"/>
        <w:jc w:val="left"/>
        <w:rPr>
          <w:rFonts w:ascii="宋体" w:hAnsi="宋体"/>
          <w:lang w:val="zh-CN"/>
        </w:rPr>
      </w:pPr>
      <w:r>
        <w:rPr>
          <w:rFonts w:ascii="宋体" w:hAnsi="宋体" w:hint="eastAsia"/>
          <w:lang w:val="zh-CN"/>
        </w:rPr>
        <w:t>3.7投标人应在技术方案中说明系统部署架构、数据流转关系、接口实现方式、产品缓存与归档策略、运行监控和异常处置方案，并确保方案满足本章规定的建设边界、安全要求和业务目标。</w:t>
      </w:r>
    </w:p>
    <w:p>
      <w:pPr>
        <w:snapToGrid w:val="0"/>
        <w:spacing w:line="360" w:lineRule="auto"/>
        <w:ind w:firstLine="508" w:firstLineChars="242"/>
        <w:jc w:val="left"/>
        <w:rPr>
          <w:rFonts w:ascii="宋体" w:hAnsi="宋体"/>
          <w:b/>
          <w:bCs/>
          <w:szCs w:val="21"/>
        </w:rPr>
      </w:pPr>
      <w:r>
        <w:rPr>
          <w:rFonts w:ascii="宋体" w:hAnsi="宋体" w:hint="eastAsia"/>
          <w:b/>
          <w:bCs/>
          <w:szCs w:val="21"/>
        </w:rPr>
        <w:t>六、盐城市强对流灾害防御监测站网建设-盐城市强对流监测预报预警一体化系统</w:t>
      </w:r>
      <w:r>
        <w:rPr>
          <w:rFonts w:ascii="宋体" w:hAnsi="宋体" w:cs="宋体" w:hint="eastAsia"/>
          <w:b/>
          <w:bCs/>
          <w:color w:val="000000"/>
          <w:szCs w:val="21"/>
          <w:lang w:bidi="ar"/>
        </w:rPr>
        <w:t>建设</w:t>
      </w:r>
      <w:r>
        <w:rPr>
          <w:rFonts w:ascii="宋体" w:hAnsi="宋体" w:hint="eastAsia"/>
          <w:b/>
          <w:bCs/>
          <w:szCs w:val="21"/>
        </w:rPr>
        <w:t>项目要求</w:t>
      </w:r>
    </w:p>
    <w:p>
      <w:pPr>
        <w:snapToGrid w:val="0"/>
        <w:spacing w:line="360" w:lineRule="auto"/>
        <w:ind w:firstLine="508" w:firstLineChars="242"/>
        <w:rPr>
          <w:rFonts w:ascii="宋体" w:hAnsi="宋体"/>
          <w:szCs w:val="21"/>
        </w:rPr>
      </w:pPr>
      <w:r>
        <w:rPr>
          <w:rFonts w:ascii="宋体" w:hAnsi="宋体" w:hint="eastAsia"/>
          <w:szCs w:val="21"/>
        </w:rPr>
        <w:t>本节用于明确本项目应具备的技术能力、性能水平和运行要求，投标人应逐项响应，不得以“满足采购人要求”等笼统表述替代具体响应。</w:t>
      </w:r>
    </w:p>
    <w:p>
      <w:pPr>
        <w:snapToGrid w:val="0"/>
        <w:spacing w:line="360" w:lineRule="auto"/>
        <w:ind w:firstLine="508" w:firstLineChars="242"/>
        <w:rPr>
          <w:rFonts w:ascii="宋体" w:hAnsi="宋体"/>
          <w:szCs w:val="21"/>
        </w:rPr>
      </w:pPr>
      <w:r>
        <w:rPr>
          <w:rFonts w:ascii="宋体" w:hAnsi="宋体" w:hint="eastAsia"/>
          <w:szCs w:val="21"/>
        </w:rPr>
        <w:t>本项目的具体软件架构、算法实现路径、任务调度方式、缓存策略、数据库和中间件选型等，由投标人结合采购人既有资源条件和本章要求进行设计，不作统一限定。</w:t>
      </w:r>
    </w:p>
    <w:p>
      <w:pPr>
        <w:snapToGrid w:val="0"/>
        <w:spacing w:line="360" w:lineRule="auto"/>
        <w:ind w:firstLine="508" w:firstLineChars="242"/>
        <w:rPr>
          <w:rFonts w:ascii="宋体" w:hAnsi="宋体"/>
          <w:b/>
          <w:bCs/>
          <w:szCs w:val="21"/>
        </w:rPr>
      </w:pPr>
      <w:r>
        <w:rPr>
          <w:rFonts w:ascii="宋体" w:hAnsi="宋体" w:hint="eastAsia"/>
          <w:b/>
          <w:bCs/>
          <w:szCs w:val="21"/>
        </w:rPr>
        <w:t>1. 部署、数据与安全边界</w:t>
      </w:r>
    </w:p>
    <w:p>
      <w:pPr>
        <w:snapToGrid w:val="0"/>
        <w:spacing w:line="360" w:lineRule="auto"/>
        <w:ind w:firstLine="508" w:firstLineChars="242"/>
        <w:rPr>
          <w:rFonts w:ascii="宋体" w:hAnsi="宋体"/>
          <w:szCs w:val="21"/>
        </w:rPr>
      </w:pPr>
      <w:r>
        <w:rPr>
          <w:rFonts w:ascii="宋体" w:hAnsi="宋体" w:hint="eastAsia"/>
          <w:b/>
          <w:szCs w:val="21"/>
        </w:rPr>
        <w:t>▲</w:t>
      </w:r>
      <w:r>
        <w:rPr>
          <w:rFonts w:ascii="宋体" w:hAnsi="宋体" w:hint="eastAsia"/>
          <w:szCs w:val="21"/>
        </w:rPr>
        <w:t xml:space="preserve"> 1.1 系统应采用“省级集中资料加工、盐城市本地业务应用、市局集中部署、市县共用”的建设方式，主体部署于气象内网或符合气象业务安全要求的受控网络环境。</w:t>
      </w:r>
    </w:p>
    <w:p>
      <w:pPr>
        <w:snapToGrid w:val="0"/>
        <w:spacing w:line="360" w:lineRule="auto"/>
        <w:ind w:firstLine="508" w:firstLineChars="242"/>
        <w:rPr>
          <w:rFonts w:ascii="宋体" w:hAnsi="宋体"/>
          <w:szCs w:val="21"/>
        </w:rPr>
      </w:pPr>
      <w:r>
        <w:rPr>
          <w:rFonts w:ascii="宋体" w:hAnsi="宋体" w:hint="eastAsia"/>
          <w:b/>
          <w:szCs w:val="21"/>
        </w:rPr>
        <w:t>▲</w:t>
      </w:r>
      <w:r>
        <w:rPr>
          <w:rFonts w:ascii="宋体" w:hAnsi="宋体" w:hint="eastAsia"/>
          <w:szCs w:val="21"/>
        </w:rPr>
        <w:t xml:space="preserve"> 1.2 雷达基础资料处理、卫星基础资料处理、模式产品加工及其他高运算量、大数据量、需依赖原始资料的算法任务，应按江苏省气象局要求在指定受控环境部署运行。</w:t>
      </w:r>
    </w:p>
    <w:p>
      <w:pPr>
        <w:snapToGrid w:val="0"/>
        <w:spacing w:line="360" w:lineRule="auto"/>
        <w:ind w:firstLine="508" w:firstLineChars="242"/>
        <w:rPr>
          <w:rFonts w:ascii="宋体" w:hAnsi="宋体"/>
          <w:szCs w:val="21"/>
        </w:rPr>
      </w:pPr>
      <w:r>
        <w:rPr>
          <w:rFonts w:ascii="宋体" w:hAnsi="宋体" w:hint="eastAsia"/>
          <w:b/>
          <w:szCs w:val="21"/>
        </w:rPr>
        <w:t>▲</w:t>
      </w:r>
      <w:r>
        <w:rPr>
          <w:rFonts w:ascii="宋体" w:hAnsi="宋体" w:hint="eastAsia"/>
          <w:szCs w:val="21"/>
        </w:rPr>
        <w:t xml:space="preserve"> 1.3 盐城市本地侧应复用既有业务服务器、AI推理机和气象内网环境，部署本地业务应用、产品缓存、GIS服务、三维雷达渲染、专题产品制作、典型过程归档、运行监控及AI数智预报员等能力。</w:t>
      </w:r>
    </w:p>
    <w:p>
      <w:pPr>
        <w:snapToGrid w:val="0"/>
        <w:spacing w:line="360" w:lineRule="auto"/>
        <w:ind w:firstLine="508" w:firstLineChars="242"/>
        <w:rPr>
          <w:rFonts w:ascii="宋体" w:hAnsi="宋体"/>
          <w:szCs w:val="21"/>
        </w:rPr>
      </w:pPr>
      <w:r>
        <w:rPr>
          <w:rFonts w:ascii="宋体" w:hAnsi="宋体" w:hint="eastAsia"/>
          <w:b/>
          <w:szCs w:val="21"/>
        </w:rPr>
        <w:t>▲</w:t>
      </w:r>
      <w:r>
        <w:rPr>
          <w:rFonts w:ascii="宋体" w:hAnsi="宋体" w:hint="eastAsia"/>
          <w:szCs w:val="21"/>
        </w:rPr>
        <w:t>1.4 雷达基数据、全量卫星原始资料、全省模式原始场及其他大体量基础资料由省级侧统一管理，盐城市本地不重复汇聚和长期存储；不得建设绕开省天擎平台的独立原始资料接入链路。</w:t>
      </w:r>
    </w:p>
    <w:p>
      <w:pPr>
        <w:snapToGrid w:val="0"/>
        <w:spacing w:line="360" w:lineRule="auto"/>
        <w:ind w:firstLine="508" w:firstLineChars="242"/>
        <w:rPr>
          <w:rFonts w:ascii="宋体" w:hAnsi="宋体"/>
          <w:szCs w:val="21"/>
        </w:rPr>
      </w:pPr>
      <w:r>
        <w:rPr>
          <w:rFonts w:ascii="宋体" w:hAnsi="宋体" w:hint="eastAsia"/>
          <w:szCs w:val="21"/>
        </w:rPr>
        <w:t>1.5 系统应通过省天擎平台等统一数据服务体系，接入或调用自动站、雷达、卫星、风廓线、闪电定位、数值模式、短临预报、预警信息、历史个例等授权资料和产品。</w:t>
      </w:r>
    </w:p>
    <w:p>
      <w:pPr>
        <w:snapToGrid w:val="0"/>
        <w:spacing w:line="360" w:lineRule="auto"/>
        <w:ind w:firstLine="508" w:firstLineChars="242"/>
        <w:rPr>
          <w:rFonts w:ascii="宋体" w:hAnsi="宋体"/>
          <w:szCs w:val="21"/>
        </w:rPr>
      </w:pPr>
      <w:r>
        <w:rPr>
          <w:rFonts w:ascii="宋体" w:hAnsi="宋体" w:hint="eastAsia"/>
          <w:szCs w:val="21"/>
        </w:rPr>
        <w:t>1.6 系统接入或调用的市域气象监测站点数量不少于200个。</w:t>
      </w:r>
    </w:p>
    <w:p>
      <w:pPr>
        <w:snapToGrid w:val="0"/>
        <w:spacing w:line="360" w:lineRule="auto"/>
        <w:ind w:firstLine="508" w:firstLineChars="242"/>
        <w:rPr>
          <w:rFonts w:ascii="宋体" w:hAnsi="宋体"/>
          <w:szCs w:val="21"/>
        </w:rPr>
      </w:pPr>
      <w:r>
        <w:rPr>
          <w:rFonts w:ascii="宋体" w:hAnsi="宋体" w:hint="eastAsia"/>
          <w:szCs w:val="21"/>
        </w:rPr>
        <w:t>1.7 市县两级业务人员应共用一套平台，支持不少于150人同时在线使用，并预留至200人并发扩展能力。</w:t>
      </w:r>
    </w:p>
    <w:p>
      <w:pPr>
        <w:snapToGrid w:val="0"/>
        <w:spacing w:line="360" w:lineRule="auto"/>
        <w:ind w:firstLine="508" w:firstLineChars="242"/>
        <w:rPr>
          <w:rFonts w:ascii="宋体" w:hAnsi="宋体"/>
          <w:szCs w:val="21"/>
        </w:rPr>
      </w:pPr>
      <w:r>
        <w:rPr>
          <w:rFonts w:ascii="宋体" w:hAnsi="宋体" w:hint="eastAsia"/>
          <w:b/>
          <w:szCs w:val="21"/>
        </w:rPr>
        <w:t>▲</w:t>
      </w:r>
      <w:r>
        <w:rPr>
          <w:rFonts w:ascii="宋体" w:hAnsi="宋体" w:hint="eastAsia"/>
          <w:szCs w:val="21"/>
        </w:rPr>
        <w:t xml:space="preserve"> 1.8系统应落实账号权限、接口授权、访问控制、日志审计、数据备份、操作留痕和网络安全等级保护二级相关要求。</w:t>
      </w:r>
    </w:p>
    <w:p>
      <w:pPr>
        <w:snapToGrid w:val="0"/>
        <w:spacing w:line="360" w:lineRule="auto"/>
        <w:ind w:firstLine="508" w:firstLineChars="242"/>
        <w:rPr>
          <w:rFonts w:ascii="宋体" w:hAnsi="宋体"/>
          <w:b/>
          <w:bCs/>
          <w:szCs w:val="21"/>
        </w:rPr>
      </w:pPr>
      <w:r>
        <w:rPr>
          <w:rFonts w:ascii="宋体" w:hAnsi="宋体" w:hint="eastAsia"/>
          <w:b/>
          <w:bCs/>
          <w:szCs w:val="21"/>
        </w:rPr>
        <w:t>2. 强对流精密监测指标</w:t>
      </w:r>
    </w:p>
    <w:p>
      <w:pPr>
        <w:snapToGrid w:val="0"/>
        <w:spacing w:line="360" w:lineRule="auto"/>
        <w:ind w:firstLine="508" w:firstLineChars="242"/>
        <w:rPr>
          <w:rFonts w:ascii="宋体" w:hAnsi="宋体"/>
          <w:szCs w:val="21"/>
        </w:rPr>
      </w:pPr>
      <w:r>
        <w:rPr>
          <w:rFonts w:ascii="宋体" w:hAnsi="宋体" w:hint="eastAsia"/>
          <w:b/>
          <w:szCs w:val="21"/>
        </w:rPr>
        <w:t>▲</w:t>
      </w:r>
      <w:r>
        <w:rPr>
          <w:rFonts w:ascii="宋体" w:hAnsi="宋体" w:hint="eastAsia"/>
          <w:szCs w:val="21"/>
        </w:rPr>
        <w:t xml:space="preserve"> 2.1应提供盐城及周边S波段、X波段双偏振雷达融合组网产品，产品更新间隔不超过5分钟，三维产品水平分辨率（网格距）不大于1千米，垂直分层不少于20层。</w:t>
      </w:r>
    </w:p>
    <w:p>
      <w:pPr>
        <w:snapToGrid w:val="0"/>
        <w:spacing w:line="360" w:lineRule="auto"/>
        <w:ind w:firstLine="508" w:firstLineChars="242"/>
        <w:rPr>
          <w:rFonts w:ascii="宋体" w:hAnsi="宋体"/>
          <w:szCs w:val="21"/>
        </w:rPr>
      </w:pPr>
      <w:r>
        <w:rPr>
          <w:rFonts w:ascii="宋体" w:hAnsi="宋体" w:hint="eastAsia"/>
          <w:szCs w:val="21"/>
        </w:rPr>
        <w:t>2.2应支持融合雷达三维渲染、流体动态渲染、剖面分析、多层高度对比及典型过程回放等应用。</w:t>
      </w:r>
    </w:p>
    <w:p>
      <w:pPr>
        <w:snapToGrid w:val="0"/>
        <w:spacing w:line="360" w:lineRule="auto"/>
        <w:ind w:firstLine="508" w:firstLineChars="242"/>
        <w:rPr>
          <w:rFonts w:ascii="宋体" w:hAnsi="宋体"/>
          <w:szCs w:val="21"/>
        </w:rPr>
      </w:pPr>
      <w:r>
        <w:rPr>
          <w:rFonts w:ascii="宋体" w:hAnsi="宋体" w:hint="eastAsia"/>
          <w:szCs w:val="21"/>
        </w:rPr>
        <w:t>2.3自动站大风、强降水识别及短临外推单次处理时间不超过1分钟，产品更新间隔不超过5分钟，水平分辨率（网格距）不大于5千米。</w:t>
      </w:r>
    </w:p>
    <w:p>
      <w:pPr>
        <w:snapToGrid w:val="0"/>
        <w:spacing w:line="360" w:lineRule="auto"/>
        <w:ind w:firstLine="508" w:firstLineChars="242"/>
        <w:rPr>
          <w:rFonts w:ascii="宋体" w:hAnsi="宋体"/>
          <w:szCs w:val="21"/>
        </w:rPr>
      </w:pPr>
      <w:r>
        <w:rPr>
          <w:rFonts w:ascii="宋体" w:hAnsi="宋体" w:hint="eastAsia"/>
          <w:szCs w:val="21"/>
        </w:rPr>
        <w:t>2.4对上级授权提供的闪电定位资料，应支持实时接入、展示、查询和时序分析；资料到报后展示延迟不超过5分钟，</w:t>
      </w:r>
      <w:r>
        <w:rPr>
          <w:rFonts w:ascii="宋体" w:hAnsi="宋体" w:cs="宋体" w:hint="eastAsia"/>
          <w:color w:val="1A1C1F"/>
          <w:szCs w:val="21"/>
        </w:rPr>
        <w:t>精细三维闪电定位资料空间定位误差不超过500米</w:t>
      </w:r>
      <w:r>
        <w:rPr>
          <w:rFonts w:ascii="宋体" w:hAnsi="宋体" w:hint="eastAsia"/>
          <w:szCs w:val="21"/>
        </w:rPr>
        <w:t>。</w:t>
      </w:r>
    </w:p>
    <w:p>
      <w:pPr>
        <w:snapToGrid w:val="0"/>
        <w:spacing w:line="360" w:lineRule="auto"/>
        <w:ind w:firstLine="508" w:firstLineChars="242"/>
        <w:rPr>
          <w:rFonts w:ascii="宋体" w:hAnsi="宋体"/>
          <w:szCs w:val="21"/>
        </w:rPr>
      </w:pPr>
      <w:r>
        <w:rPr>
          <w:rFonts w:ascii="宋体" w:hAnsi="宋体" w:hint="eastAsia"/>
          <w:szCs w:val="21"/>
        </w:rPr>
        <w:t>▲ 2.5应支持云分类、云相态、云顶高度、粒子尺度、光学厚度等卫星云属性产品调用与展示，支持中尺度对流系统识别、追踪和未来1小时对流发生概率产品应用。</w:t>
      </w:r>
    </w:p>
    <w:p>
      <w:pPr>
        <w:snapToGrid w:val="0"/>
        <w:spacing w:line="360" w:lineRule="auto"/>
        <w:ind w:firstLine="508" w:firstLineChars="242"/>
        <w:rPr>
          <w:rFonts w:ascii="宋体" w:hAnsi="宋体"/>
          <w:szCs w:val="21"/>
        </w:rPr>
      </w:pPr>
      <w:r>
        <w:rPr>
          <w:rFonts w:ascii="宋体" w:hAnsi="宋体" w:hint="eastAsia"/>
          <w:szCs w:val="21"/>
        </w:rPr>
        <w:t>▲ 2.6应具备冰雹、龙卷、下击暴流或对流性大风等灾害识别与告警能力；单次处理时间不超过1分钟，产品更新间隔不超过6分钟，水平分辨率（网格距）不大于250米。</w:t>
      </w:r>
    </w:p>
    <w:p>
      <w:pPr>
        <w:snapToGrid w:val="0"/>
        <w:spacing w:line="360" w:lineRule="auto"/>
        <w:ind w:firstLine="508" w:firstLineChars="242"/>
        <w:rPr>
          <w:rFonts w:ascii="宋体" w:hAnsi="宋体"/>
          <w:szCs w:val="21"/>
        </w:rPr>
      </w:pPr>
      <w:r>
        <w:rPr>
          <w:rFonts w:ascii="宋体" w:hAnsi="宋体" w:hint="eastAsia"/>
          <w:szCs w:val="21"/>
        </w:rPr>
        <w:t>▲ 2.7应具备大雾识别、雾与低云区分及道路结冰风险识别能力；道路结冰产品应支持路段级表达，并支持桥梁、隧道、临水路段等典型易结冰路段识别与预警辅助。</w:t>
      </w:r>
    </w:p>
    <w:p>
      <w:pPr>
        <w:snapToGrid w:val="0"/>
        <w:spacing w:line="360" w:lineRule="auto"/>
        <w:ind w:firstLine="508" w:firstLineChars="242"/>
        <w:rPr>
          <w:rFonts w:ascii="宋体" w:hAnsi="宋体"/>
          <w:szCs w:val="21"/>
        </w:rPr>
      </w:pPr>
      <w:r>
        <w:rPr>
          <w:rFonts w:ascii="宋体" w:hAnsi="宋体" w:hint="eastAsia"/>
          <w:szCs w:val="21"/>
        </w:rPr>
        <w:t>2.8应支持责任区、警戒区、监视区管理，支撑市级统筹研判、县级属地跟踪和典型过程共享复盘。</w:t>
      </w:r>
    </w:p>
    <w:p>
      <w:pPr>
        <w:snapToGrid w:val="0"/>
        <w:spacing w:line="360" w:lineRule="auto"/>
        <w:ind w:firstLine="508" w:firstLineChars="242"/>
        <w:rPr>
          <w:rFonts w:ascii="宋体" w:hAnsi="宋体"/>
          <w:b/>
          <w:bCs/>
          <w:szCs w:val="21"/>
        </w:rPr>
      </w:pPr>
      <w:r>
        <w:rPr>
          <w:rFonts w:ascii="宋体" w:hAnsi="宋体" w:hint="eastAsia"/>
          <w:b/>
          <w:bCs/>
          <w:szCs w:val="21"/>
        </w:rPr>
        <w:t>3. 精准预报预警指标</w:t>
      </w:r>
    </w:p>
    <w:p>
      <w:pPr>
        <w:snapToGrid w:val="0"/>
        <w:spacing w:line="360" w:lineRule="auto"/>
        <w:ind w:firstLine="508" w:firstLineChars="242"/>
        <w:rPr>
          <w:rFonts w:ascii="宋体" w:hAnsi="宋体"/>
          <w:szCs w:val="21"/>
        </w:rPr>
      </w:pPr>
      <w:r>
        <w:rPr>
          <w:rFonts w:ascii="宋体" w:hAnsi="宋体" w:hint="eastAsia"/>
          <w:b/>
          <w:szCs w:val="21"/>
        </w:rPr>
        <w:t>▲</w:t>
      </w:r>
      <w:r>
        <w:rPr>
          <w:rFonts w:ascii="宋体" w:hAnsi="宋体" w:hint="eastAsia"/>
          <w:szCs w:val="21"/>
        </w:rPr>
        <w:t xml:space="preserve"> 3.1 应提供未来0-2小时雷达回波、降水及相关短临预报产品，产品时间间隔不大于6分钟，空间分辨率达到公里级。</w:t>
      </w:r>
    </w:p>
    <w:p>
      <w:pPr>
        <w:snapToGrid w:val="0"/>
        <w:spacing w:line="360" w:lineRule="auto"/>
        <w:ind w:firstLine="508" w:firstLineChars="242"/>
        <w:rPr>
          <w:rFonts w:ascii="宋体" w:hAnsi="宋体"/>
          <w:szCs w:val="21"/>
        </w:rPr>
      </w:pPr>
      <w:r>
        <w:rPr>
          <w:rFonts w:ascii="宋体" w:hAnsi="宋体" w:hint="eastAsia"/>
          <w:b/>
          <w:szCs w:val="21"/>
        </w:rPr>
        <w:t>▲</w:t>
      </w:r>
      <w:r>
        <w:rPr>
          <w:rFonts w:ascii="宋体" w:hAnsi="宋体" w:hint="eastAsia"/>
          <w:szCs w:val="21"/>
        </w:rPr>
        <w:t xml:space="preserve"> 3.2应提供未来0-12小时逐小时降水预报产品，水平分辨率（网格距）不大于0.01度乘0.01度，滚动更新间隔不超过3小时。</w:t>
      </w:r>
    </w:p>
    <w:p>
      <w:pPr>
        <w:snapToGrid w:val="0"/>
        <w:spacing w:line="360" w:lineRule="auto"/>
        <w:ind w:firstLine="508" w:firstLineChars="242"/>
        <w:rPr>
          <w:rFonts w:ascii="宋体" w:hAnsi="宋体"/>
          <w:szCs w:val="21"/>
        </w:rPr>
      </w:pPr>
      <w:r>
        <w:rPr>
          <w:rFonts w:ascii="宋体" w:hAnsi="宋体" w:hint="eastAsia"/>
          <w:szCs w:val="21"/>
        </w:rPr>
        <w:t>▲ 3.3 应提供未来0-2小时分级大风临近外推产品，产品时间间隔不大于6分钟，水平分辨率（网格距）不大于0.01度乘0.01度。</w:t>
      </w:r>
    </w:p>
    <w:p>
      <w:pPr>
        <w:snapToGrid w:val="0"/>
        <w:spacing w:line="360" w:lineRule="auto"/>
        <w:ind w:firstLine="508" w:firstLineChars="242"/>
        <w:rPr>
          <w:rFonts w:ascii="宋体" w:hAnsi="宋体"/>
          <w:szCs w:val="21"/>
        </w:rPr>
      </w:pPr>
      <w:r>
        <w:rPr>
          <w:rFonts w:ascii="宋体" w:hAnsi="宋体" w:hint="eastAsia"/>
          <w:szCs w:val="21"/>
        </w:rPr>
        <w:t>▲3.4应支持多源资料同化、高分辨率模式运行及精细化预报产品应用；需在省局指定环境运行的模式和算法任务，由投标人提出具体部署、调度和产品服务方案。</w:t>
      </w:r>
    </w:p>
    <w:p>
      <w:pPr>
        <w:snapToGrid w:val="0"/>
        <w:spacing w:line="360" w:lineRule="auto"/>
        <w:ind w:firstLine="508" w:firstLineChars="242"/>
        <w:rPr>
          <w:rFonts w:ascii="宋体" w:hAnsi="宋体"/>
          <w:szCs w:val="21"/>
        </w:rPr>
      </w:pPr>
      <w:r>
        <w:rPr>
          <w:rFonts w:ascii="宋体" w:hAnsi="宋体" w:hint="eastAsia"/>
          <w:szCs w:val="21"/>
        </w:rPr>
        <w:t>▲ 3.5 应提供风、温、湿、降水、阵风等精细化预报产品；水平分辨率（网格距）不大于500米，0-3天产品时间间隔不大于30分钟，3-7天产品时间间隔不大于3小时。</w:t>
      </w:r>
    </w:p>
    <w:p>
      <w:pPr>
        <w:snapToGrid w:val="0"/>
        <w:spacing w:line="360" w:lineRule="auto"/>
        <w:ind w:firstLine="508" w:firstLineChars="242"/>
        <w:rPr>
          <w:rFonts w:ascii="宋体" w:hAnsi="宋体"/>
          <w:szCs w:val="21"/>
        </w:rPr>
      </w:pPr>
      <w:r>
        <w:rPr>
          <w:rFonts w:ascii="宋体" w:hAnsi="宋体" w:hint="eastAsia"/>
          <w:szCs w:val="21"/>
        </w:rPr>
        <w:t>3.6应支持短时强降水、雷暴大风、常规大风、龙卷和分类强对流综合概率等产品的接入、展示、分级筛选、分层展示和本地化应用。</w:t>
      </w:r>
    </w:p>
    <w:p>
      <w:pPr>
        <w:snapToGrid w:val="0"/>
        <w:spacing w:line="360" w:lineRule="auto"/>
        <w:ind w:firstLine="508" w:firstLineChars="242"/>
        <w:rPr>
          <w:rFonts w:ascii="宋体" w:hAnsi="宋体"/>
          <w:szCs w:val="21"/>
        </w:rPr>
      </w:pPr>
      <w:r>
        <w:rPr>
          <w:rFonts w:ascii="宋体" w:hAnsi="宋体" w:hint="eastAsia"/>
          <w:szCs w:val="21"/>
        </w:rPr>
        <w:t>3.7应支持盐城本地重点区域、服务点位、责任区和风险落区的标注、分区展示及专题产品制作。</w:t>
      </w:r>
    </w:p>
    <w:p>
      <w:pPr>
        <w:snapToGrid w:val="0"/>
        <w:spacing w:line="360" w:lineRule="auto"/>
        <w:ind w:firstLine="508" w:firstLineChars="242"/>
        <w:rPr>
          <w:rFonts w:ascii="宋体" w:hAnsi="宋体"/>
          <w:szCs w:val="21"/>
        </w:rPr>
      </w:pPr>
      <w:r>
        <w:rPr>
          <w:rFonts w:ascii="宋体" w:hAnsi="宋体" w:hint="eastAsia"/>
          <w:b/>
          <w:szCs w:val="21"/>
        </w:rPr>
        <w:t>▲</w:t>
      </w:r>
      <w:r>
        <w:rPr>
          <w:rFonts w:ascii="宋体" w:hAnsi="宋体" w:hint="eastAsia"/>
          <w:szCs w:val="21"/>
        </w:rPr>
        <w:t xml:space="preserve"> 3.8应支持风险落区圈选、AI辅助生成预警文稿、人工订正确认、区县签收反馈和历史预警追溯；未经人工审核确认，不得自动进入正式预警发布流程。</w:t>
      </w:r>
    </w:p>
    <w:p>
      <w:pPr>
        <w:snapToGrid w:val="0"/>
        <w:spacing w:line="360" w:lineRule="auto"/>
        <w:ind w:firstLine="508" w:firstLineChars="242"/>
        <w:rPr>
          <w:rFonts w:ascii="宋体" w:hAnsi="宋体"/>
          <w:b/>
          <w:bCs/>
          <w:szCs w:val="21"/>
        </w:rPr>
      </w:pPr>
      <w:r>
        <w:rPr>
          <w:rFonts w:ascii="宋体" w:hAnsi="宋体" w:hint="eastAsia"/>
          <w:b/>
          <w:bCs/>
          <w:szCs w:val="21"/>
        </w:rPr>
        <w:t>4.算法、AI与数据支撑指标</w:t>
      </w:r>
    </w:p>
    <w:p>
      <w:pPr>
        <w:snapToGrid w:val="0"/>
        <w:spacing w:line="360" w:lineRule="auto"/>
        <w:ind w:firstLine="508" w:firstLineChars="242"/>
        <w:rPr>
          <w:rFonts w:ascii="宋体" w:hAnsi="宋体"/>
          <w:szCs w:val="21"/>
        </w:rPr>
      </w:pPr>
      <w:r>
        <w:rPr>
          <w:rFonts w:ascii="宋体" w:hAnsi="宋体" w:hint="eastAsia"/>
          <w:szCs w:val="21"/>
        </w:rPr>
        <w:t>▲ 4.1 应建设算法工场，支持S+X波段雷达融合、灾害性天气识别、高分辨率模式与精细化预报、AI短临预报、卫星监测识别与预报反演等算法的任务调度、参数配置、产品回传、版本管理、测试验证、上线审批和回退。</w:t>
      </w:r>
    </w:p>
    <w:p>
      <w:pPr>
        <w:snapToGrid w:val="0"/>
        <w:spacing w:line="360" w:lineRule="auto"/>
        <w:ind w:firstLine="508" w:firstLineChars="242"/>
        <w:rPr>
          <w:rFonts w:ascii="宋体" w:hAnsi="宋体"/>
          <w:szCs w:val="21"/>
        </w:rPr>
      </w:pPr>
      <w:r>
        <w:rPr>
          <w:rFonts w:ascii="宋体" w:hAnsi="宋体" w:hint="eastAsia"/>
          <w:szCs w:val="21"/>
        </w:rPr>
        <w:t>▲ 4.2应建设AI数智预报员，支持监测告警、知识问询、语音叫应、智能决策辅助、材料辅助生成和过程复盘等业务。</w:t>
      </w:r>
    </w:p>
    <w:p>
      <w:pPr>
        <w:snapToGrid w:val="0"/>
        <w:spacing w:line="360" w:lineRule="auto"/>
        <w:ind w:firstLine="508" w:firstLineChars="242"/>
        <w:rPr>
          <w:rFonts w:ascii="宋体" w:hAnsi="宋体"/>
          <w:szCs w:val="21"/>
        </w:rPr>
      </w:pPr>
      <w:r>
        <w:rPr>
          <w:rFonts w:ascii="宋体" w:hAnsi="宋体" w:hint="eastAsia"/>
          <w:b/>
          <w:szCs w:val="21"/>
        </w:rPr>
        <w:t xml:space="preserve">▲ </w:t>
      </w:r>
      <w:r>
        <w:rPr>
          <w:rFonts w:ascii="宋体" w:hAnsi="宋体" w:hint="eastAsia"/>
          <w:szCs w:val="21"/>
        </w:rPr>
        <w:t>4.3 AI生成结果应明确标识，支持人工编辑、审核确认和全过程留痕；不得将内部业务资料发送至未经批准的公网模型服务。</w:t>
      </w:r>
    </w:p>
    <w:p>
      <w:pPr>
        <w:snapToGrid w:val="0"/>
        <w:spacing w:line="360" w:lineRule="auto"/>
        <w:ind w:firstLine="508" w:firstLineChars="242"/>
        <w:rPr>
          <w:rFonts w:ascii="宋体" w:hAnsi="宋体"/>
          <w:szCs w:val="21"/>
        </w:rPr>
      </w:pPr>
      <w:r>
        <w:rPr>
          <w:rFonts w:ascii="宋体" w:hAnsi="宋体" w:hint="eastAsia"/>
          <w:szCs w:val="21"/>
        </w:rPr>
        <w:t>▲ 4.4应支持授权数据和产品的统一汇聚、接入校验、必要的辅助质控、时空匹配、专题统计、缓存、个例归档和目录管理。</w:t>
      </w:r>
    </w:p>
    <w:p>
      <w:pPr>
        <w:snapToGrid w:val="0"/>
        <w:spacing w:line="360" w:lineRule="auto"/>
        <w:ind w:firstLine="508" w:firstLineChars="242"/>
        <w:rPr>
          <w:rFonts w:ascii="宋体" w:hAnsi="宋体"/>
          <w:szCs w:val="21"/>
        </w:rPr>
      </w:pPr>
      <w:r>
        <w:rPr>
          <w:rFonts w:ascii="宋体" w:hAnsi="宋体" w:hint="eastAsia"/>
          <w:szCs w:val="21"/>
        </w:rPr>
        <w:t>4.5应建设高影响天气预警、决策辅助、语音叫应、知识问询等主题数据集和语料库，支撑历史个例复用、过程复盘和AI业务应用。</w:t>
      </w:r>
    </w:p>
    <w:p>
      <w:pPr>
        <w:snapToGrid w:val="0"/>
        <w:spacing w:line="360" w:lineRule="auto"/>
        <w:ind w:firstLine="508" w:firstLineChars="242"/>
        <w:rPr>
          <w:rFonts w:ascii="宋体" w:hAnsi="宋体"/>
          <w:szCs w:val="21"/>
        </w:rPr>
      </w:pPr>
      <w:r>
        <w:rPr>
          <w:rFonts w:ascii="宋体" w:hAnsi="宋体" w:hint="eastAsia"/>
          <w:szCs w:val="21"/>
        </w:rPr>
        <w:t>4.6应支持算法、知识库、提示词、工具调用链和业务规则的配置、测试、上线、变更、回退和留痕管理。</w:t>
      </w:r>
    </w:p>
    <w:p>
      <w:pPr>
        <w:snapToGrid w:val="0"/>
        <w:spacing w:line="360" w:lineRule="auto"/>
        <w:ind w:firstLine="508" w:firstLineChars="242"/>
        <w:rPr>
          <w:rFonts w:ascii="宋体" w:hAnsi="宋体"/>
          <w:b/>
          <w:bCs/>
          <w:szCs w:val="21"/>
        </w:rPr>
      </w:pPr>
      <w:r>
        <w:rPr>
          <w:rFonts w:ascii="宋体" w:hAnsi="宋体" w:hint="eastAsia"/>
          <w:b/>
          <w:bCs/>
          <w:szCs w:val="21"/>
        </w:rPr>
        <w:t>5.运行与业务效果指标</w:t>
      </w:r>
    </w:p>
    <w:p>
      <w:pPr>
        <w:snapToGrid w:val="0"/>
        <w:spacing w:line="360" w:lineRule="auto"/>
        <w:ind w:firstLine="508" w:firstLineChars="242"/>
        <w:rPr>
          <w:rFonts w:ascii="宋体" w:hAnsi="宋体"/>
          <w:szCs w:val="21"/>
        </w:rPr>
      </w:pPr>
      <w:r>
        <w:rPr>
          <w:rFonts w:ascii="宋体" w:hAnsi="宋体" w:hint="eastAsia"/>
          <w:szCs w:val="21"/>
        </w:rPr>
        <w:t>5.1应具备系统任务、接口、算法、产品生成和服务状态监控能力，支持异常告警、失败重试、备份校验、恢复和版本升级。</w:t>
      </w:r>
    </w:p>
    <w:p>
      <w:pPr>
        <w:snapToGrid w:val="0"/>
        <w:spacing w:line="360" w:lineRule="auto"/>
        <w:ind w:firstLine="508" w:firstLineChars="242"/>
        <w:rPr>
          <w:rFonts w:ascii="宋体" w:hAnsi="宋体"/>
          <w:szCs w:val="21"/>
        </w:rPr>
      </w:pPr>
      <w:r>
        <w:rPr>
          <w:rFonts w:ascii="宋体" w:hAnsi="宋体" w:hint="eastAsia"/>
          <w:szCs w:val="21"/>
        </w:rPr>
        <w:t>5.2应具备本地业务产品缓存、典型过程资料归档、日志留存和检索能力。</w:t>
      </w:r>
    </w:p>
    <w:p>
      <w:pPr>
        <w:snapToGrid w:val="0"/>
        <w:spacing w:line="360" w:lineRule="auto"/>
        <w:ind w:firstLine="508" w:firstLineChars="242"/>
        <w:rPr>
          <w:rFonts w:ascii="宋体" w:hAnsi="宋体"/>
          <w:szCs w:val="21"/>
        </w:rPr>
      </w:pPr>
      <w:r>
        <w:rPr>
          <w:rFonts w:ascii="宋体" w:hAnsi="宋体" w:hint="eastAsia"/>
          <w:szCs w:val="21"/>
        </w:rPr>
        <w:t>5.3响应时限不超过1小时；可远程解决的一般故障修复时限不超过1小时；应具备数据中断、算法任务异常、产品生成失败等场景的告警提示、异常处置和人工备用能力。</w:t>
      </w:r>
    </w:p>
    <w:p>
      <w:pPr>
        <w:snapToGrid w:val="0"/>
        <w:spacing w:line="360" w:lineRule="auto"/>
        <w:ind w:firstLine="508" w:firstLineChars="242"/>
        <w:rPr>
          <w:rFonts w:ascii="宋体" w:hAnsi="宋体"/>
          <w:szCs w:val="21"/>
        </w:rPr>
      </w:pPr>
      <w:r>
        <w:rPr>
          <w:rFonts w:ascii="宋体" w:hAnsi="宋体" w:hint="eastAsia"/>
          <w:szCs w:val="21"/>
        </w:rPr>
        <w:t>5.4</w:t>
      </w:r>
      <w:r>
        <w:rPr>
          <w:rFonts w:ascii="Calibri" w:hAnsi="Calibri" w:hint="eastAsia"/>
        </w:rPr>
        <w:t>中标人应按照投标文件中承诺的强对流观测试验与业务验证方案，配合采购人组织开展强对流观测试验和业务验证，完成试验资料组织、本地化数据集建设及算法验证优化，并提交试验验证报告。投标文件中的相关承诺经采购人确认后，作为合同履行和验收依据</w:t>
      </w:r>
      <w:r>
        <w:rPr>
          <w:rFonts w:ascii="宋体" w:hAnsi="宋体" w:cs="宋体" w:hint="eastAsia"/>
        </w:rPr>
        <w:t>。</w:t>
      </w:r>
    </w:p>
    <w:p>
      <w:pPr>
        <w:snapToGrid w:val="0"/>
        <w:spacing w:line="360" w:lineRule="auto"/>
        <w:ind w:firstLine="508" w:firstLineChars="242"/>
        <w:jc w:val="left"/>
        <w:rPr>
          <w:rFonts w:ascii="宋体" w:hAnsi="宋体"/>
          <w:b/>
          <w:bCs/>
          <w:szCs w:val="21"/>
        </w:rPr>
      </w:pPr>
      <w:r>
        <w:rPr>
          <w:rFonts w:ascii="宋体" w:hAnsi="宋体" w:hint="eastAsia"/>
          <w:b/>
          <w:bCs/>
          <w:szCs w:val="21"/>
        </w:rPr>
        <w:t>七、盐城市强对流灾害防御监测站网建设-盐城市强对流监测预报预警一体化系统</w:t>
      </w:r>
      <w:r>
        <w:rPr>
          <w:rFonts w:ascii="宋体" w:hAnsi="宋体" w:cs="宋体" w:hint="eastAsia"/>
          <w:b/>
          <w:bCs/>
          <w:color w:val="000000"/>
          <w:szCs w:val="21"/>
          <w:lang w:bidi="ar"/>
        </w:rPr>
        <w:t>建设技术交付验收指标</w:t>
      </w:r>
    </w:p>
    <w:p>
      <w:pPr>
        <w:spacing w:line="560" w:lineRule="exact"/>
        <w:ind w:firstLine="480" w:firstLineChars="200"/>
        <w:jc w:val="center"/>
        <w:rPr>
          <w:rFonts w:ascii="宋体" w:hAnsi="宋体" w:cs="宋体"/>
          <w:b/>
          <w:bCs/>
        </w:rPr>
      </w:pPr>
      <w:r>
        <w:rPr>
          <w:rFonts w:ascii="宋体" w:hAnsi="宋体" w:cs="宋体" w:hint="eastAsia"/>
          <w:b/>
          <w:bCs/>
          <w:sz w:val="24"/>
          <w:szCs w:val="24"/>
        </w:rPr>
        <w:t>技术交付验收指标表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053"/>
        <w:gridCol w:w="2707"/>
        <w:gridCol w:w="3020"/>
        <w:gridCol w:w="1742"/>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80"/>
          <w:tblHeader/>
        </w:trPr>
        <w:tc>
          <w:tcPr>
            <w:tcW w:w="1146" w:type="dxa"/>
            <w:vAlign w:val="center"/>
          </w:tcPr>
          <w:p>
            <w:pPr>
              <w:jc w:val="center"/>
              <w:rPr>
                <w:rFonts w:ascii="宋体" w:hAnsi="宋体" w:cs="宋体"/>
                <w:b/>
                <w:bCs/>
                <w:color w:val="1A1C1F"/>
                <w:szCs w:val="21"/>
              </w:rPr>
            </w:pPr>
            <w:r>
              <w:rPr>
                <w:rFonts w:ascii="宋体" w:hAnsi="宋体" w:cs="宋体" w:hint="eastAsia"/>
                <w:b/>
                <w:bCs/>
                <w:color w:val="1A1C1F"/>
                <w:szCs w:val="21"/>
              </w:rPr>
              <w:t>类别</w:t>
            </w:r>
          </w:p>
        </w:tc>
        <w:tc>
          <w:tcPr>
            <w:tcW w:w="3015" w:type="dxa"/>
            <w:vAlign w:val="center"/>
          </w:tcPr>
          <w:p>
            <w:pPr>
              <w:jc w:val="center"/>
              <w:rPr>
                <w:rFonts w:ascii="宋体" w:hAnsi="宋体" w:cs="宋体"/>
                <w:b/>
                <w:bCs/>
                <w:color w:val="1A1C1F"/>
                <w:szCs w:val="21"/>
              </w:rPr>
            </w:pPr>
            <w:r>
              <w:rPr>
                <w:rFonts w:ascii="宋体" w:hAnsi="宋体" w:cs="宋体" w:hint="eastAsia"/>
                <w:b/>
                <w:bCs/>
                <w:color w:val="1A1C1F"/>
                <w:szCs w:val="21"/>
              </w:rPr>
              <w:t>指标名称</w:t>
            </w:r>
          </w:p>
        </w:tc>
        <w:tc>
          <w:tcPr>
            <w:tcW w:w="3375" w:type="dxa"/>
            <w:vAlign w:val="center"/>
          </w:tcPr>
          <w:p>
            <w:pPr>
              <w:jc w:val="center"/>
              <w:rPr>
                <w:rFonts w:ascii="宋体" w:hAnsi="宋体" w:cs="宋体"/>
                <w:b/>
                <w:bCs/>
                <w:color w:val="1A1C1F"/>
                <w:szCs w:val="21"/>
              </w:rPr>
            </w:pPr>
            <w:r>
              <w:rPr>
                <w:rFonts w:ascii="宋体" w:hAnsi="宋体" w:cs="宋体" w:hint="eastAsia"/>
                <w:b/>
                <w:bCs/>
                <w:color w:val="1A1C1F"/>
                <w:szCs w:val="21"/>
              </w:rPr>
              <w:t>指标解释</w:t>
            </w:r>
          </w:p>
        </w:tc>
        <w:tc>
          <w:tcPr>
            <w:tcW w:w="1750" w:type="dxa"/>
            <w:vAlign w:val="center"/>
          </w:tcPr>
          <w:p>
            <w:pPr>
              <w:jc w:val="center"/>
              <w:rPr>
                <w:rFonts w:ascii="宋体" w:hAnsi="宋体" w:cs="宋体"/>
                <w:b/>
                <w:bCs/>
                <w:color w:val="1A1C1F"/>
                <w:szCs w:val="21"/>
              </w:rPr>
            </w:pPr>
            <w:r>
              <w:rPr>
                <w:rFonts w:ascii="宋体" w:hAnsi="宋体" w:cs="宋体" w:hint="eastAsia"/>
                <w:b/>
                <w:bCs/>
                <w:color w:val="1A1C1F"/>
                <w:szCs w:val="21"/>
              </w:rPr>
              <w:t>指标值</w:t>
            </w:r>
          </w:p>
        </w:tc>
      </w:tr>
      <w:tr>
        <w:tblPrEx>
          <w:tblW w:w="0" w:type="auto"/>
          <w:tblInd w:w="0" w:type="dxa"/>
          <w:tblCellMar>
            <w:top w:w="0" w:type="dxa"/>
            <w:left w:w="108" w:type="dxa"/>
            <w:bottom w:w="0" w:type="dxa"/>
            <w:right w:w="108" w:type="dxa"/>
          </w:tblCellMar>
        </w:tblPrEx>
        <w:trPr>
          <w:trHeight w:val="152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实况监测</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S+X波段雷达组网更新频率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盐城及周边S波段、X波段双偏振雷达融合组网产品更新频率</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≤5分钟</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实况监测</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S+X波段雷达组网水平分辨率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融合组网三维产品水平分辨率（网格距）</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≤1km</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实况监测</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S+X波段雷达组网垂直层数</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三维雷达组网产品垂直分层能力</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≥20层</w:t>
            </w:r>
          </w:p>
        </w:tc>
      </w:tr>
      <w:tr>
        <w:tblPrEx>
          <w:tblW w:w="0" w:type="auto"/>
          <w:tblInd w:w="0" w:type="dxa"/>
          <w:tblCellMar>
            <w:top w:w="0" w:type="dxa"/>
            <w:left w:w="108" w:type="dxa"/>
            <w:bottom w:w="0" w:type="dxa"/>
            <w:right w:w="108" w:type="dxa"/>
          </w:tblCellMar>
        </w:tblPrEx>
        <w:trPr>
          <w:trHeight w:val="152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实况监测</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自动站大风、强降水识别处理时间</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自动站大风和强降水识别及短临外推单次处理时间</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≤1分钟</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实况监测</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自动站识别产品时间分辨率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自动站大风、强降水识别和外推产品更新间隔</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5分钟</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实况监测</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自动站识别产品空间分辨率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自动站识别和外推产品空间分辨率（网格距）</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5km</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实况监测</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闪电定位误差</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精细三维闪电定位资料空间定位误差</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≤500m</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实况监测</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闪电资料展示延迟</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闪电定位资料到报后展示延迟</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≤5分钟</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实况监测</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闪电临近预报时效</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基于闪电资料的临近预报时效和频次</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0-2小时，逐6分钟</w:t>
            </w:r>
          </w:p>
        </w:tc>
      </w:tr>
      <w:tr>
        <w:tblPrEx>
          <w:tblW w:w="0" w:type="auto"/>
          <w:tblInd w:w="0" w:type="dxa"/>
          <w:tblCellMar>
            <w:top w:w="0" w:type="dxa"/>
            <w:left w:w="108" w:type="dxa"/>
            <w:bottom w:w="0" w:type="dxa"/>
            <w:right w:w="108" w:type="dxa"/>
          </w:tblCellMar>
        </w:tblPrEx>
        <w:trPr>
          <w:trHeight w:val="152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卫星监测</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卫星云属性反演时效</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云分类、云相态、云顶高度、粒子尺度、光学厚度等产品生成时效</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近实时</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卫星监测</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卫星云属性产品分辨率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云属性产品时空分辨率</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与卫星观测一致</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卫星监测</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MCS监测时间分辨率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中尺度对流系统自动识别产品时间分辨率</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10-15分钟</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卫星监测</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MCS监测空间尺度</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MCS识别产品空间表达尺度</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逐云团尺度</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卫星预报</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卫星对流发生概率预报时效</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未来对流发生区域和概率预报时效</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未来1小时</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卫星预报</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卫星对流概率预报时间分辨率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对流发生概率产品输出频次</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逐小时</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高精度预报</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0-2小时雷达回波和降水预报</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未来短时降水、雷达回波和偏振参量预报</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未来2小时，逐6分钟，公里级</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高精度预报</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0-12小时降水预报时效</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未来逐小时降水强度预报场预报时效</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0-12小时</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高精度预报</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0-12小时降水预报时间分辨率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降水预报产品时间间隔</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1小时</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高精度预报</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0-12小时降水预报空间分辨率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降水预报产品网格分辨率（网格距）</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0.01°×0.01°</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高精度预报</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0-12小时降水预报更新频次</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降水预报滚动更新频次</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每3小时滚动一次</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高精度预报</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分级大风临近外推时效</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对流阵风定量临近预报时效</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0-2小时</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高精度预报</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分级大风临近外推时间分辨率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阵风预报产品输出间隔</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6分钟</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高精度预报</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分级大风临近外推空间分辨率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阵风预报空间分辨率（网格距）</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0.01°×0.01°</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数值模式</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多元资料同化处理时间</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单次同化分析完成时间</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≤15分钟</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数值模式</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多元资料同化对象</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支持S波段、X波段雷达及多源资料同化</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支持同步同化</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数值模式</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同化分析场水平分辨率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分析场水平分辨率（网格距）</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≤3km</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数值模式</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高精度模式预报起报滞后时间</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从模式起报时刻（整点）到模式实际开始运行的时间差</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≤60分钟</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数值模式</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高精度模式预报完成时间</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单次24小时预报完成时间</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≤60分钟</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数值模式</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高精度模式更新时间间隔</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模式预报业务更新时间间隔</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≤3小时</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数值模式</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高精度模式水平分辨率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高精度天气模式水平分辨率（网格距）</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≤3km</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百米产品</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百米级分钟级产品空间分辨率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风、温、湿、降水、阵风等产品空间分辨率（网格距）</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≤500m</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百米产品</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百米级分钟级产品时间分辨率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精细化预报产品输出间隔</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≤30分钟</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百米产品</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百米级分钟级产品推送频次</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起报产品每日推送次数</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不少于2次/日</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灾害识别</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冰雹识别预警处理时间</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基于双偏振雷达的冰雹识别单次计算时间</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≤1分钟</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灾害识别</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冰雹识别更新时间分辨率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冰雹识别产品更新间隔</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约6分钟</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灾害识别</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冰雹识别空间分辨率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冰雹识别产品空间分辨率（网格距）</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250m</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灾害识别</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龙卷识别预警处理时间</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基于双偏振雷达的龙卷识别单次计算时间</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≤1分钟</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灾害识别</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龙卷识别更新时间分辨率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龙卷识别产品更新间隔</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约6分钟</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灾害识别</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龙卷识别空间分辨率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龙卷识别产品空间分辨率（网格距）</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250m</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灾害识别</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对流性大风识别处理时间</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下击暴流/对流性大风识别单次计算时间</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≤1分钟</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灾害识别</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对流性大风识别更新时间分辨率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对流性大风识别产品更新间隔</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约6分钟</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灾害识别</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对流性大风识别空间分辨率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对流性大风识别产品空间分辨率（网格距）</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250m</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大雾识别</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大雾识别时间分辨率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大雾识别产品输出时间间隔</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≤30分钟</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大雾识别</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大雾识别生成时限</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数据到报后识别产品生成时限</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≤10分钟</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大雾识别</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雾与低云区分能力</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大雾识别算法对雾和低云的区分能力</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具备</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道路结冰</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路面结冰空间分辨率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路面结冰风险识别产品空间表达能力</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路段级</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道路结冰</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路面结冰时间分辨率</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路面结冰风险产品输出时间间隔</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≤1小时</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道路结冰</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易结冰路段识别能力</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桥梁、隧道、临水路段等典型易结冰路段识别</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具备针对性识别和预警能力</w:t>
            </w:r>
          </w:p>
        </w:tc>
      </w:tr>
      <w:tr>
        <w:tblPrEx>
          <w:tblW w:w="0" w:type="auto"/>
          <w:tblInd w:w="0" w:type="dxa"/>
          <w:tblCellMar>
            <w:top w:w="0" w:type="dxa"/>
            <w:left w:w="108" w:type="dxa"/>
            <w:bottom w:w="0" w:type="dxa"/>
            <w:right w:w="108" w:type="dxa"/>
          </w:tblCellMar>
        </w:tblPrEx>
        <w:trPr>
          <w:trHeight w:val="114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系统性能</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并发支撑能力</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市县两级业务人员同时在线使用能力</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不少于150人，预留至200人</w:t>
            </w:r>
          </w:p>
        </w:tc>
      </w:tr>
      <w:tr>
        <w:tblPrEx>
          <w:tblW w:w="0" w:type="auto"/>
          <w:tblInd w:w="0" w:type="dxa"/>
          <w:tblCellMar>
            <w:top w:w="0" w:type="dxa"/>
            <w:left w:w="108" w:type="dxa"/>
            <w:bottom w:w="0" w:type="dxa"/>
            <w:right w:w="108" w:type="dxa"/>
          </w:tblCellMar>
        </w:tblPrEx>
        <w:trPr>
          <w:trHeight w:val="152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系统性能</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强天气过程峰值调用能力</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强天气过程期间业务产品调阅、图层切换和功能调用能力</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支撑峰值日调用12000-20000次以上</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系统安全</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数据接入授权</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气象资料通过统一授权体系调用</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通过省天擎平台等统一数据服务体系</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系统安全</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网络部署环境</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系统主体部署网络环境</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气象内网或受控业务网络</w:t>
            </w:r>
          </w:p>
        </w:tc>
      </w:tr>
      <w:tr>
        <w:tblPrEx>
          <w:tblW w:w="0" w:type="auto"/>
          <w:tblInd w:w="0" w:type="dxa"/>
          <w:tblCellMar>
            <w:top w:w="0" w:type="dxa"/>
            <w:left w:w="108" w:type="dxa"/>
            <w:bottom w:w="0" w:type="dxa"/>
            <w:right w:w="108" w:type="dxa"/>
          </w:tblCellMar>
        </w:tblPrEx>
        <w:trPr>
          <w:trHeight w:val="152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系统安全</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操作留痕</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关键业务操作、接口调用、AI生成和人工确认留痕</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具备</w:t>
            </w:r>
          </w:p>
        </w:tc>
      </w:tr>
      <w:tr>
        <w:tblPrEx>
          <w:tblW w:w="0" w:type="auto"/>
          <w:tblInd w:w="0" w:type="dxa"/>
          <w:tblCellMar>
            <w:top w:w="0" w:type="dxa"/>
            <w:left w:w="108" w:type="dxa"/>
            <w:bottom w:w="0" w:type="dxa"/>
            <w:right w:w="108" w:type="dxa"/>
          </w:tblCellMar>
        </w:tblPrEx>
        <w:trPr>
          <w:trHeight w:val="152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运维保障</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运行监控</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系统任务、接口、算法、产品生成和服务状态监控</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具备</w:t>
            </w:r>
          </w:p>
        </w:tc>
      </w:tr>
      <w:tr>
        <w:tblPrEx>
          <w:tblW w:w="0" w:type="auto"/>
          <w:tblInd w:w="0" w:type="dxa"/>
          <w:tblCellMar>
            <w:top w:w="0" w:type="dxa"/>
            <w:left w:w="108" w:type="dxa"/>
            <w:bottom w:w="0" w:type="dxa"/>
            <w:right w:w="108" w:type="dxa"/>
          </w:tblCellMar>
        </w:tblPrEx>
        <w:trPr>
          <w:trHeight w:val="76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运维保障</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故障响应</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一般故障响应和修复时限</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≤1小时</w:t>
            </w:r>
          </w:p>
        </w:tc>
      </w:tr>
      <w:tr>
        <w:tblPrEx>
          <w:tblW w:w="0" w:type="auto"/>
          <w:tblInd w:w="0" w:type="dxa"/>
          <w:tblCellMar>
            <w:top w:w="0" w:type="dxa"/>
            <w:left w:w="108" w:type="dxa"/>
            <w:bottom w:w="0" w:type="dxa"/>
            <w:right w:w="108" w:type="dxa"/>
          </w:tblCellMar>
        </w:tblPrEx>
        <w:trPr>
          <w:trHeight w:val="1520"/>
        </w:trPr>
        <w:tc>
          <w:tcPr>
            <w:tcW w:w="1146" w:type="dxa"/>
            <w:vAlign w:val="center"/>
          </w:tcPr>
          <w:p>
            <w:pPr>
              <w:jc w:val="center"/>
              <w:rPr>
                <w:rFonts w:ascii="宋体" w:hAnsi="宋体" w:cs="宋体"/>
                <w:color w:val="1A1C1F"/>
                <w:szCs w:val="21"/>
              </w:rPr>
            </w:pPr>
            <w:r>
              <w:rPr>
                <w:rFonts w:ascii="宋体" w:hAnsi="宋体" w:cs="宋体" w:hint="eastAsia"/>
                <w:color w:val="1A1C1F"/>
                <w:szCs w:val="21"/>
              </w:rPr>
              <w:t>运维保障</w:t>
            </w:r>
          </w:p>
        </w:tc>
        <w:tc>
          <w:tcPr>
            <w:tcW w:w="3015" w:type="dxa"/>
            <w:vAlign w:val="center"/>
          </w:tcPr>
          <w:p>
            <w:pPr>
              <w:jc w:val="center"/>
              <w:rPr>
                <w:rFonts w:ascii="宋体" w:hAnsi="宋体" w:cs="宋体"/>
                <w:color w:val="1A1C1F"/>
                <w:szCs w:val="21"/>
              </w:rPr>
            </w:pPr>
            <w:r>
              <w:rPr>
                <w:rFonts w:ascii="宋体" w:hAnsi="宋体" w:cs="宋体" w:hint="eastAsia"/>
                <w:color w:val="1A1C1F"/>
                <w:szCs w:val="21"/>
              </w:rPr>
              <w:t>数据缓存和个例归档</w:t>
            </w:r>
          </w:p>
        </w:tc>
        <w:tc>
          <w:tcPr>
            <w:tcW w:w="3375" w:type="dxa"/>
            <w:vAlign w:val="center"/>
          </w:tcPr>
          <w:p>
            <w:pPr>
              <w:jc w:val="center"/>
              <w:rPr>
                <w:rFonts w:ascii="宋体" w:hAnsi="宋体" w:cs="宋体"/>
                <w:color w:val="1A1C1F"/>
                <w:szCs w:val="21"/>
              </w:rPr>
            </w:pPr>
            <w:r>
              <w:rPr>
                <w:rFonts w:ascii="宋体" w:hAnsi="宋体" w:cs="宋体" w:hint="eastAsia"/>
                <w:color w:val="1A1C1F"/>
                <w:szCs w:val="21"/>
              </w:rPr>
              <w:t>本地业务产品缓存、日志留痕、典型过程资料归档</w:t>
            </w:r>
          </w:p>
        </w:tc>
        <w:tc>
          <w:tcPr>
            <w:tcW w:w="1750" w:type="dxa"/>
            <w:vAlign w:val="center"/>
          </w:tcPr>
          <w:p>
            <w:pPr>
              <w:jc w:val="center"/>
              <w:rPr>
                <w:rFonts w:ascii="宋体" w:hAnsi="宋体" w:cs="宋体"/>
                <w:color w:val="1A1C1F"/>
                <w:szCs w:val="21"/>
              </w:rPr>
            </w:pPr>
            <w:r>
              <w:rPr>
                <w:rFonts w:ascii="宋体" w:hAnsi="宋体" w:cs="宋体" w:hint="eastAsia"/>
                <w:color w:val="1A1C1F"/>
                <w:szCs w:val="21"/>
              </w:rPr>
              <w:t>具备</w:t>
            </w:r>
          </w:p>
        </w:tc>
      </w:tr>
    </w:tbl>
    <w:p>
      <w:pPr>
        <w:spacing w:line="560" w:lineRule="exact"/>
        <w:ind w:firstLine="420" w:firstLineChars="200"/>
        <w:jc w:val="center"/>
        <w:rPr>
          <w:rFonts w:ascii="宋体" w:hAnsi="宋体" w:cs="宋体"/>
          <w:b/>
          <w:bCs/>
          <w:color w:val="000000"/>
          <w:lang w:bidi="ar"/>
        </w:rPr>
      </w:pPr>
    </w:p>
    <w:p>
      <w:pPr>
        <w:snapToGrid w:val="0"/>
        <w:spacing w:line="360" w:lineRule="auto"/>
        <w:jc w:val="left"/>
        <w:rPr>
          <w:rFonts w:ascii="宋体" w:hAnsi="宋体"/>
          <w:szCs w:val="21"/>
          <w:highlight w:val="yellow"/>
        </w:rPr>
      </w:pPr>
    </w:p>
    <w:bookmarkEnd w:id="61"/>
    <w:p>
      <w:pPr>
        <w:snapToGrid w:val="0"/>
        <w:spacing w:line="360" w:lineRule="auto"/>
        <w:ind w:firstLine="420" w:firstLineChars="200"/>
        <w:jc w:val="left"/>
        <w:rPr>
          <w:rFonts w:ascii="宋体" w:hAnsi="宋体"/>
          <w:b/>
          <w:bCs/>
          <w:szCs w:val="21"/>
        </w:rPr>
      </w:pPr>
      <w:r>
        <w:rPr>
          <w:rFonts w:ascii="宋体" w:hAnsi="宋体" w:hint="eastAsia"/>
          <w:b/>
          <w:bCs/>
          <w:szCs w:val="21"/>
        </w:rPr>
        <w:t>八、</w:t>
      </w:r>
      <w:bookmarkStart w:id="65" w:name="_Hlk239154685"/>
      <w:r>
        <w:rPr>
          <w:rFonts w:ascii="宋体" w:hAnsi="宋体" w:hint="eastAsia"/>
          <w:b/>
          <w:bCs/>
          <w:szCs w:val="21"/>
        </w:rPr>
        <w:t>盐城市强对流灾害防御监测站网建设-盐城市强对流监测预报预警一体化系统建设</w:t>
      </w:r>
      <w:bookmarkEnd w:id="65"/>
      <w:r>
        <w:rPr>
          <w:rFonts w:ascii="宋体" w:hAnsi="宋体" w:hint="eastAsia"/>
          <w:b/>
          <w:bCs/>
          <w:szCs w:val="21"/>
        </w:rPr>
        <w:t>需执行的国家相关标准、行业标准、地方标准或者其他标准、规范</w:t>
      </w:r>
    </w:p>
    <w:p>
      <w:pPr>
        <w:snapToGrid w:val="0"/>
        <w:spacing w:line="360" w:lineRule="auto"/>
        <w:ind w:firstLine="420" w:firstLineChars="200"/>
        <w:jc w:val="left"/>
        <w:rPr>
          <w:rFonts w:ascii="宋体" w:hAnsi="宋体"/>
          <w:szCs w:val="21"/>
        </w:rPr>
      </w:pPr>
      <w:r>
        <w:rPr>
          <w:rFonts w:ascii="宋体" w:hAnsi="宋体" w:hint="eastAsia"/>
          <w:szCs w:val="21"/>
        </w:rPr>
        <w:t>本项目属于政务信息化+气象专业业务系统，建设全过程严格遵从国家电子政务、网络安全、大数据、地理信息、气象行业、遥感雷达等现行国家及行业标准，分为国家电子政务与信息化标准、国家网络安全标准、气象行业标准、地理信息标准、人工智能与大数据标准五大类。</w:t>
      </w:r>
    </w:p>
    <w:p>
      <w:pPr>
        <w:snapToGrid w:val="0"/>
        <w:spacing w:line="360" w:lineRule="auto"/>
        <w:ind w:firstLine="420" w:firstLineChars="200"/>
        <w:jc w:val="left"/>
        <w:rPr>
          <w:rFonts w:ascii="宋体" w:hAnsi="宋体"/>
          <w:szCs w:val="21"/>
        </w:rPr>
      </w:pPr>
      <w:r>
        <w:rPr>
          <w:rFonts w:ascii="宋体" w:hAnsi="宋体" w:hint="eastAsia"/>
          <w:szCs w:val="21"/>
        </w:rPr>
        <w:t>1.国家电子政务相关标准规范</w:t>
      </w:r>
    </w:p>
    <w:p>
      <w:pPr>
        <w:snapToGrid w:val="0"/>
        <w:spacing w:line="360" w:lineRule="auto"/>
        <w:ind w:firstLine="420" w:firstLineChars="200"/>
        <w:jc w:val="left"/>
        <w:rPr>
          <w:rFonts w:ascii="宋体" w:hAnsi="宋体"/>
          <w:szCs w:val="21"/>
        </w:rPr>
      </w:pPr>
      <w:r>
        <w:rPr>
          <w:rFonts w:ascii="宋体" w:hAnsi="宋体" w:hint="eastAsia"/>
          <w:szCs w:val="21"/>
        </w:rPr>
        <w:t>《国家电子政务标准体系框架》：作为项目总体建设框架依据，规范电子政务系统架构、数据体系、应用支撑、安全运维要求。</w:t>
      </w:r>
    </w:p>
    <w:p>
      <w:pPr>
        <w:snapToGrid w:val="0"/>
        <w:spacing w:line="360" w:lineRule="auto"/>
        <w:ind w:firstLine="420" w:firstLineChars="200"/>
        <w:jc w:val="left"/>
        <w:rPr>
          <w:rFonts w:ascii="宋体" w:hAnsi="宋体"/>
          <w:szCs w:val="21"/>
        </w:rPr>
      </w:pPr>
      <w:r>
        <w:rPr>
          <w:rFonts w:ascii="宋体" w:hAnsi="宋体" w:hint="eastAsia"/>
          <w:szCs w:val="21"/>
        </w:rPr>
        <w:t>GB/T39477电子政务数据共享交换规范：规范跨部门、跨平台数据共享、接口调用、数据同步规则，适配与市政府信息资源中心平台对接场景。</w:t>
      </w:r>
    </w:p>
    <w:p>
      <w:pPr>
        <w:snapToGrid w:val="0"/>
        <w:spacing w:line="360" w:lineRule="auto"/>
        <w:ind w:firstLine="420" w:firstLineChars="200"/>
        <w:jc w:val="left"/>
        <w:rPr>
          <w:rFonts w:ascii="宋体" w:hAnsi="宋体"/>
          <w:szCs w:val="21"/>
        </w:rPr>
      </w:pPr>
      <w:r>
        <w:rPr>
          <w:rFonts w:ascii="宋体" w:hAnsi="宋体" w:hint="eastAsia"/>
          <w:szCs w:val="21"/>
        </w:rPr>
        <w:t>GB/T28181公共安全视频监控联网系统信息传输、交换、控制技术要求：适用于雷达、卫星时序影像、可视化画面传输。</w:t>
      </w:r>
    </w:p>
    <w:p>
      <w:pPr>
        <w:snapToGrid w:val="0"/>
        <w:spacing w:line="360" w:lineRule="auto"/>
        <w:ind w:firstLine="420" w:firstLineChars="200"/>
        <w:jc w:val="left"/>
        <w:rPr>
          <w:rFonts w:ascii="宋体" w:hAnsi="宋体"/>
          <w:szCs w:val="21"/>
        </w:rPr>
      </w:pPr>
      <w:r>
        <w:rPr>
          <w:rFonts w:ascii="宋体" w:hAnsi="宋体" w:hint="eastAsia"/>
          <w:szCs w:val="21"/>
        </w:rPr>
        <w:t>GB/T36642电子政务政务信息资源目录编制指南：指导本系统数据资源共享目录、元数据编制。</w:t>
      </w:r>
    </w:p>
    <w:p>
      <w:pPr>
        <w:snapToGrid w:val="0"/>
        <w:spacing w:line="360" w:lineRule="auto"/>
        <w:ind w:firstLine="420" w:firstLineChars="200"/>
        <w:jc w:val="left"/>
        <w:rPr>
          <w:rFonts w:ascii="宋体" w:hAnsi="宋体"/>
          <w:szCs w:val="21"/>
        </w:rPr>
      </w:pPr>
      <w:r>
        <w:rPr>
          <w:rFonts w:ascii="宋体" w:hAnsi="宋体" w:hint="eastAsia"/>
          <w:szCs w:val="21"/>
        </w:rPr>
        <w:t>GB/T38664电子政务系统总体技术要求：规范系统架构、应用支撑、部署、集成要求。</w:t>
      </w:r>
    </w:p>
    <w:p>
      <w:pPr>
        <w:snapToGrid w:val="0"/>
        <w:spacing w:line="360" w:lineRule="auto"/>
        <w:ind w:firstLine="420" w:firstLineChars="200"/>
        <w:jc w:val="left"/>
        <w:rPr>
          <w:rFonts w:ascii="宋体" w:hAnsi="宋体"/>
          <w:szCs w:val="21"/>
        </w:rPr>
      </w:pPr>
      <w:r>
        <w:rPr>
          <w:rFonts w:ascii="宋体" w:hAnsi="宋体" w:hint="eastAsia"/>
          <w:szCs w:val="21"/>
        </w:rPr>
        <w:t>政务信息系统整合共享相关国家标准：落实政务数据归口、统一归集、一数一源要求。</w:t>
      </w:r>
    </w:p>
    <w:p>
      <w:pPr>
        <w:snapToGrid w:val="0"/>
        <w:spacing w:line="360" w:lineRule="auto"/>
        <w:ind w:firstLine="420" w:firstLineChars="200"/>
        <w:jc w:val="left"/>
        <w:rPr>
          <w:rFonts w:ascii="宋体" w:hAnsi="宋体"/>
          <w:szCs w:val="21"/>
        </w:rPr>
      </w:pPr>
      <w:r>
        <w:rPr>
          <w:rFonts w:ascii="宋体" w:hAnsi="宋体" w:hint="eastAsia"/>
          <w:szCs w:val="21"/>
        </w:rPr>
        <w:t>2.国家网络安全与数据安全标准</w:t>
      </w:r>
    </w:p>
    <w:p>
      <w:pPr>
        <w:snapToGrid w:val="0"/>
        <w:spacing w:line="360" w:lineRule="auto"/>
        <w:ind w:firstLine="420" w:firstLineChars="200"/>
        <w:jc w:val="left"/>
        <w:rPr>
          <w:rFonts w:ascii="宋体" w:hAnsi="宋体"/>
          <w:szCs w:val="21"/>
        </w:rPr>
      </w:pPr>
      <w:r>
        <w:rPr>
          <w:rFonts w:ascii="宋体" w:hAnsi="宋体" w:hint="eastAsia"/>
          <w:szCs w:val="21"/>
        </w:rPr>
        <w:t>GB/T22239信息安全技术网络安全等级保护基本要求：按照等保要求开展系统设计、部署、防护、审计，落实安全分区、访问控制、日志审计。</w:t>
      </w:r>
    </w:p>
    <w:p>
      <w:pPr>
        <w:snapToGrid w:val="0"/>
        <w:spacing w:line="360" w:lineRule="auto"/>
        <w:ind w:firstLine="420" w:firstLineChars="200"/>
        <w:jc w:val="left"/>
        <w:rPr>
          <w:rFonts w:ascii="宋体" w:hAnsi="宋体"/>
          <w:szCs w:val="21"/>
        </w:rPr>
      </w:pPr>
      <w:r>
        <w:rPr>
          <w:rFonts w:ascii="宋体" w:hAnsi="宋体" w:hint="eastAsia"/>
          <w:szCs w:val="21"/>
        </w:rPr>
        <w:t>GB/T37973信息安全技术大数据安全管理指南：规范海量气象时序数据、雷达数据、AI数据集的安全管理、访问权限、脱敏处理。</w:t>
      </w:r>
    </w:p>
    <w:p>
      <w:pPr>
        <w:snapToGrid w:val="0"/>
        <w:spacing w:line="360" w:lineRule="auto"/>
        <w:ind w:firstLine="420" w:firstLineChars="200"/>
        <w:jc w:val="left"/>
        <w:rPr>
          <w:rFonts w:ascii="宋体" w:hAnsi="宋体"/>
          <w:szCs w:val="21"/>
        </w:rPr>
      </w:pPr>
      <w:r>
        <w:rPr>
          <w:rFonts w:ascii="宋体" w:hAnsi="宋体" w:hint="eastAsia"/>
          <w:szCs w:val="21"/>
        </w:rPr>
        <w:t>GB/T41479信息安全技术数据出境安全评估指南：规范跨部门数据对外交换安全要求。</w:t>
      </w:r>
    </w:p>
    <w:p>
      <w:pPr>
        <w:snapToGrid w:val="0"/>
        <w:spacing w:line="360" w:lineRule="auto"/>
        <w:ind w:firstLine="420" w:firstLineChars="200"/>
        <w:jc w:val="left"/>
        <w:rPr>
          <w:rFonts w:ascii="宋体" w:hAnsi="宋体"/>
          <w:szCs w:val="21"/>
        </w:rPr>
      </w:pPr>
      <w:r>
        <w:rPr>
          <w:rFonts w:ascii="宋体" w:hAnsi="宋体" w:hint="eastAsia"/>
          <w:szCs w:val="21"/>
        </w:rPr>
        <w:t>《中华人民共和国数据安全法》《中华人民共和国个人信息保护法》：落实气象敏感点位、涉密数据、地理信息数据安全管控。</w:t>
      </w:r>
    </w:p>
    <w:p>
      <w:pPr>
        <w:snapToGrid w:val="0"/>
        <w:spacing w:line="360" w:lineRule="auto"/>
        <w:ind w:firstLine="420" w:firstLineChars="200"/>
        <w:jc w:val="left"/>
        <w:rPr>
          <w:rFonts w:ascii="宋体" w:hAnsi="宋体"/>
          <w:szCs w:val="21"/>
        </w:rPr>
      </w:pPr>
      <w:r>
        <w:rPr>
          <w:rFonts w:ascii="宋体" w:hAnsi="宋体" w:hint="eastAsia"/>
          <w:szCs w:val="21"/>
        </w:rPr>
        <w:t>国家保密标准：针对涉密气象观测数据、内部研判资料执行保密管理要求。</w:t>
      </w:r>
    </w:p>
    <w:p>
      <w:pPr>
        <w:snapToGrid w:val="0"/>
        <w:spacing w:line="360" w:lineRule="auto"/>
        <w:ind w:firstLine="420" w:firstLineChars="200"/>
        <w:jc w:val="left"/>
        <w:rPr>
          <w:rFonts w:ascii="宋体" w:hAnsi="宋体"/>
          <w:szCs w:val="21"/>
        </w:rPr>
      </w:pPr>
      <w:r>
        <w:rPr>
          <w:rFonts w:ascii="宋体" w:hAnsi="宋体" w:hint="eastAsia"/>
          <w:szCs w:val="21"/>
        </w:rPr>
        <w:t>3.气象行业标准规范</w:t>
      </w:r>
    </w:p>
    <w:p>
      <w:pPr>
        <w:snapToGrid w:val="0"/>
        <w:spacing w:line="360" w:lineRule="auto"/>
        <w:ind w:firstLine="420" w:firstLineChars="200"/>
        <w:jc w:val="left"/>
        <w:rPr>
          <w:rFonts w:ascii="宋体" w:hAnsi="宋体"/>
          <w:szCs w:val="21"/>
        </w:rPr>
      </w:pPr>
      <w:r>
        <w:rPr>
          <w:rFonts w:ascii="宋体" w:hAnsi="宋体" w:hint="eastAsia"/>
          <w:szCs w:val="21"/>
        </w:rPr>
        <w:t>QX/T52地面气象观测规范：统一降雨、大风、气温、能见度、湿度、气压等观测要素定义、统计方法、单位。</w:t>
      </w:r>
    </w:p>
    <w:p>
      <w:pPr>
        <w:snapToGrid w:val="0"/>
        <w:spacing w:line="360" w:lineRule="auto"/>
        <w:ind w:firstLine="420" w:firstLineChars="200"/>
        <w:jc w:val="left"/>
        <w:rPr>
          <w:rFonts w:ascii="宋体" w:hAnsi="宋体"/>
          <w:szCs w:val="21"/>
        </w:rPr>
      </w:pPr>
      <w:r>
        <w:rPr>
          <w:rFonts w:ascii="宋体" w:hAnsi="宋体" w:hint="eastAsia"/>
          <w:szCs w:val="21"/>
        </w:rPr>
        <w:t>QX/T133气象数据归档格式地面观测：规范地面观测数据存储、归档格式。</w:t>
      </w:r>
    </w:p>
    <w:p>
      <w:pPr>
        <w:snapToGrid w:val="0"/>
        <w:spacing w:line="360" w:lineRule="auto"/>
        <w:ind w:firstLine="420" w:firstLineChars="200"/>
        <w:jc w:val="left"/>
        <w:rPr>
          <w:rFonts w:ascii="宋体" w:hAnsi="宋体"/>
          <w:szCs w:val="21"/>
        </w:rPr>
      </w:pPr>
      <w:r>
        <w:rPr>
          <w:rFonts w:ascii="宋体" w:hAnsi="宋体" w:hint="eastAsia"/>
          <w:szCs w:val="21"/>
        </w:rPr>
        <w:t>QX/T198新一代天气雷达数据格式：遵从S/X波段雷达原始基数据、产品数据格式要求。</w:t>
      </w:r>
    </w:p>
    <w:p>
      <w:pPr>
        <w:snapToGrid w:val="0"/>
        <w:spacing w:line="360" w:lineRule="auto"/>
        <w:ind w:firstLine="420" w:firstLineChars="200"/>
        <w:jc w:val="left"/>
        <w:rPr>
          <w:rFonts w:ascii="宋体" w:hAnsi="宋体"/>
          <w:szCs w:val="21"/>
        </w:rPr>
      </w:pPr>
      <w:r>
        <w:rPr>
          <w:rFonts w:ascii="宋体" w:hAnsi="宋体" w:hint="eastAsia"/>
          <w:szCs w:val="21"/>
        </w:rPr>
        <w:t>QX/T416天气雷达组网技术规范：指导S+X波段雷达协同组网、数据融合、拼图产品制作。</w:t>
      </w:r>
    </w:p>
    <w:p>
      <w:pPr>
        <w:snapToGrid w:val="0"/>
        <w:spacing w:line="360" w:lineRule="auto"/>
        <w:ind w:firstLine="420" w:firstLineChars="200"/>
        <w:jc w:val="left"/>
        <w:rPr>
          <w:rFonts w:ascii="宋体" w:hAnsi="宋体"/>
          <w:szCs w:val="21"/>
        </w:rPr>
      </w:pPr>
      <w:r>
        <w:rPr>
          <w:rFonts w:ascii="宋体" w:hAnsi="宋体" w:hint="eastAsia"/>
          <w:szCs w:val="21"/>
        </w:rPr>
        <w:t>QX/T242天气雷达数据质量控制规范：执行雷达观测数据质控、衰减订正、退模糊等标准。</w:t>
      </w:r>
    </w:p>
    <w:p>
      <w:pPr>
        <w:snapToGrid w:val="0"/>
        <w:spacing w:line="360" w:lineRule="auto"/>
        <w:ind w:firstLine="420" w:firstLineChars="200"/>
        <w:jc w:val="left"/>
        <w:rPr>
          <w:rFonts w:ascii="宋体" w:hAnsi="宋体"/>
          <w:szCs w:val="21"/>
        </w:rPr>
      </w:pPr>
      <w:r>
        <w:rPr>
          <w:rFonts w:ascii="宋体" w:hAnsi="宋体" w:hint="eastAsia"/>
          <w:szCs w:val="21"/>
        </w:rPr>
        <w:t>气象雷达三维产品、剖面产品相关行业技术规范：约束三维雷达可视化、剖面分析产品制作。</w:t>
      </w:r>
    </w:p>
    <w:p>
      <w:pPr>
        <w:snapToGrid w:val="0"/>
        <w:spacing w:line="360" w:lineRule="auto"/>
        <w:ind w:firstLine="420" w:firstLineChars="200"/>
        <w:jc w:val="left"/>
        <w:rPr>
          <w:rFonts w:ascii="宋体" w:hAnsi="宋体"/>
          <w:szCs w:val="21"/>
        </w:rPr>
      </w:pPr>
      <w:r>
        <w:rPr>
          <w:rFonts w:ascii="宋体" w:hAnsi="宋体" w:hint="eastAsia"/>
          <w:szCs w:val="21"/>
        </w:rPr>
        <w:t>QX/T78风廓线雷达观测规范：规范风廓线雷达观测、数据输出、统计指标。</w:t>
      </w:r>
    </w:p>
    <w:p>
      <w:pPr>
        <w:snapToGrid w:val="0"/>
        <w:spacing w:line="360" w:lineRule="auto"/>
        <w:ind w:firstLine="420" w:firstLineChars="200"/>
        <w:jc w:val="left"/>
        <w:rPr>
          <w:rFonts w:ascii="宋体" w:hAnsi="宋体"/>
          <w:szCs w:val="21"/>
        </w:rPr>
      </w:pPr>
      <w:r>
        <w:rPr>
          <w:rFonts w:ascii="宋体" w:hAnsi="宋体" w:hint="eastAsia"/>
          <w:szCs w:val="21"/>
        </w:rPr>
        <w:t>QX/T118闪电定位观测规范：统一闪电定位数据采集、处理、统计标准。</w:t>
      </w:r>
    </w:p>
    <w:p>
      <w:pPr>
        <w:snapToGrid w:val="0"/>
        <w:spacing w:line="360" w:lineRule="auto"/>
        <w:ind w:firstLine="420" w:firstLineChars="200"/>
        <w:jc w:val="left"/>
        <w:rPr>
          <w:rFonts w:ascii="宋体" w:hAnsi="宋体"/>
          <w:szCs w:val="21"/>
        </w:rPr>
      </w:pPr>
      <w:r>
        <w:rPr>
          <w:rFonts w:ascii="宋体" w:hAnsi="宋体" w:hint="eastAsia"/>
          <w:szCs w:val="21"/>
        </w:rPr>
        <w:t>QX/T291气象卫星产品格式：规范卫星云分类、MCS追踪、对流反演产品格式。</w:t>
      </w:r>
    </w:p>
    <w:p>
      <w:pPr>
        <w:snapToGrid w:val="0"/>
        <w:spacing w:line="360" w:lineRule="auto"/>
        <w:ind w:firstLine="420" w:firstLineChars="200"/>
        <w:jc w:val="left"/>
        <w:rPr>
          <w:rFonts w:ascii="宋体" w:hAnsi="宋体"/>
          <w:szCs w:val="21"/>
        </w:rPr>
      </w:pPr>
      <w:r>
        <w:rPr>
          <w:rFonts w:ascii="宋体" w:hAnsi="宋体" w:hint="eastAsia"/>
          <w:szCs w:val="21"/>
        </w:rPr>
        <w:t>QX/T227短时临近天气预报规范：规范0-2小时、0-12小时短临预报制作、发布要求。</w:t>
      </w:r>
    </w:p>
    <w:p>
      <w:pPr>
        <w:snapToGrid w:val="0"/>
        <w:spacing w:line="360" w:lineRule="auto"/>
        <w:ind w:firstLine="420" w:firstLineChars="200"/>
        <w:jc w:val="left"/>
        <w:rPr>
          <w:rFonts w:ascii="宋体" w:hAnsi="宋体"/>
          <w:szCs w:val="21"/>
        </w:rPr>
      </w:pPr>
      <w:r>
        <w:rPr>
          <w:rFonts w:ascii="宋体" w:hAnsi="宋体" w:hint="eastAsia"/>
          <w:szCs w:val="21"/>
        </w:rPr>
        <w:t>QX/T302气象灾害预警信号发布规范：统一预警信号分类、等级、文本格式、发布流程。</w:t>
      </w:r>
    </w:p>
    <w:p>
      <w:pPr>
        <w:snapToGrid w:val="0"/>
        <w:spacing w:line="360" w:lineRule="auto"/>
        <w:ind w:firstLine="420" w:firstLineChars="200"/>
        <w:jc w:val="left"/>
        <w:rPr>
          <w:rFonts w:ascii="宋体" w:hAnsi="宋体"/>
          <w:szCs w:val="21"/>
        </w:rPr>
      </w:pPr>
      <w:r>
        <w:rPr>
          <w:rFonts w:ascii="宋体" w:hAnsi="宋体" w:hint="eastAsia"/>
          <w:szCs w:val="21"/>
        </w:rPr>
        <w:t>QX/T396气象灾害档案管理规范：指导灾害过程个例库、历史灾害资料整编、归档。</w:t>
      </w:r>
    </w:p>
    <w:p>
      <w:pPr>
        <w:snapToGrid w:val="0"/>
        <w:spacing w:line="360" w:lineRule="auto"/>
        <w:ind w:firstLine="420" w:firstLineChars="200"/>
        <w:jc w:val="left"/>
        <w:rPr>
          <w:rFonts w:ascii="宋体" w:hAnsi="宋体"/>
          <w:szCs w:val="21"/>
        </w:rPr>
      </w:pPr>
      <w:r>
        <w:rPr>
          <w:rFonts w:ascii="宋体" w:hAnsi="宋体" w:hint="eastAsia"/>
          <w:szCs w:val="21"/>
        </w:rPr>
        <w:t>QX/T487强对流天气监测预警技术规范：对标冰雹、龙卷、雷暴大风等强对流识别、预警技术要求。</w:t>
      </w:r>
    </w:p>
    <w:p>
      <w:pPr>
        <w:snapToGrid w:val="0"/>
        <w:spacing w:line="360" w:lineRule="auto"/>
        <w:ind w:firstLine="420" w:firstLineChars="200"/>
        <w:jc w:val="left"/>
        <w:rPr>
          <w:rFonts w:ascii="宋体" w:hAnsi="宋体"/>
          <w:szCs w:val="21"/>
        </w:rPr>
      </w:pPr>
      <w:r>
        <w:rPr>
          <w:rFonts w:ascii="宋体" w:hAnsi="宋体" w:hint="eastAsia"/>
          <w:szCs w:val="21"/>
        </w:rPr>
        <w:t>气象高分辨率格点预报产品格式规范：统一百米级、公里级格点预报数据组织、精度要求。</w:t>
      </w:r>
    </w:p>
    <w:p>
      <w:pPr>
        <w:snapToGrid w:val="0"/>
        <w:spacing w:line="360" w:lineRule="auto"/>
        <w:ind w:firstLine="420" w:firstLineChars="200"/>
        <w:jc w:val="left"/>
        <w:rPr>
          <w:rFonts w:ascii="宋体" w:hAnsi="宋体"/>
          <w:szCs w:val="21"/>
        </w:rPr>
      </w:pPr>
      <w:r>
        <w:rPr>
          <w:rFonts w:ascii="宋体" w:hAnsi="宋体" w:hint="eastAsia"/>
          <w:szCs w:val="21"/>
        </w:rPr>
        <w:t>气象资料同化技术行业规范：指导多元资料同化算法建设。</w:t>
      </w:r>
    </w:p>
    <w:p>
      <w:pPr>
        <w:snapToGrid w:val="0"/>
        <w:spacing w:line="360" w:lineRule="auto"/>
        <w:ind w:firstLine="420" w:firstLineChars="200"/>
        <w:jc w:val="left"/>
        <w:rPr>
          <w:rFonts w:ascii="宋体" w:hAnsi="宋体"/>
          <w:szCs w:val="21"/>
        </w:rPr>
      </w:pPr>
      <w:r>
        <w:rPr>
          <w:rFonts w:ascii="宋体" w:hAnsi="宋体" w:hint="eastAsia"/>
          <w:szCs w:val="21"/>
        </w:rPr>
        <w:t>4.地理信息（GIS）相关国家标准</w:t>
      </w:r>
    </w:p>
    <w:p>
      <w:pPr>
        <w:snapToGrid w:val="0"/>
        <w:spacing w:line="360" w:lineRule="auto"/>
        <w:ind w:firstLine="420" w:firstLineChars="200"/>
        <w:jc w:val="left"/>
        <w:rPr>
          <w:rFonts w:ascii="宋体" w:hAnsi="宋体"/>
          <w:szCs w:val="21"/>
        </w:rPr>
      </w:pPr>
      <w:r>
        <w:rPr>
          <w:rFonts w:ascii="宋体" w:hAnsi="宋体" w:hint="eastAsia"/>
          <w:szCs w:val="21"/>
        </w:rPr>
        <w:t>GB/T2260中华人民共和国行政区划代码：统一区域、区县编码。</w:t>
      </w:r>
    </w:p>
    <w:p>
      <w:pPr>
        <w:snapToGrid w:val="0"/>
        <w:spacing w:line="360" w:lineRule="auto"/>
        <w:ind w:firstLine="420" w:firstLineChars="200"/>
        <w:jc w:val="left"/>
        <w:rPr>
          <w:rFonts w:ascii="宋体" w:hAnsi="宋体"/>
          <w:szCs w:val="21"/>
        </w:rPr>
      </w:pPr>
      <w:r>
        <w:rPr>
          <w:rFonts w:ascii="宋体" w:hAnsi="宋体" w:hint="eastAsia"/>
          <w:szCs w:val="21"/>
        </w:rPr>
        <w:t>GB/T18316数字测绘成果质量检查与验收：规范GIS矢量、栅格数据质量。</w:t>
      </w:r>
    </w:p>
    <w:p>
      <w:pPr>
        <w:snapToGrid w:val="0"/>
        <w:spacing w:line="360" w:lineRule="auto"/>
        <w:ind w:firstLine="420" w:firstLineChars="200"/>
        <w:jc w:val="left"/>
        <w:rPr>
          <w:rFonts w:ascii="宋体" w:hAnsi="宋体"/>
          <w:szCs w:val="21"/>
        </w:rPr>
      </w:pPr>
      <w:r>
        <w:rPr>
          <w:rFonts w:ascii="宋体" w:hAnsi="宋体" w:hint="eastAsia"/>
          <w:szCs w:val="21"/>
        </w:rPr>
        <w:t>GB/T20258基础地理信息数据模型：统一电子地图、边界、路网、地形数据模型。</w:t>
      </w:r>
    </w:p>
    <w:p>
      <w:pPr>
        <w:snapToGrid w:val="0"/>
        <w:spacing w:line="360" w:lineRule="auto"/>
        <w:ind w:firstLine="420" w:firstLineChars="200"/>
        <w:jc w:val="left"/>
        <w:rPr>
          <w:rFonts w:ascii="宋体" w:hAnsi="宋体"/>
          <w:szCs w:val="21"/>
        </w:rPr>
      </w:pPr>
      <w:r>
        <w:rPr>
          <w:rFonts w:ascii="宋体" w:hAnsi="宋体" w:hint="eastAsia"/>
          <w:szCs w:val="21"/>
        </w:rPr>
        <w:t>GB/T21139基础地理信息标准数据基本规定：约束三区边界、道路图层、地理底图建设标准。</w:t>
      </w:r>
    </w:p>
    <w:p>
      <w:pPr>
        <w:snapToGrid w:val="0"/>
        <w:spacing w:line="360" w:lineRule="auto"/>
        <w:ind w:firstLine="420" w:firstLineChars="200"/>
        <w:jc w:val="left"/>
        <w:rPr>
          <w:rFonts w:ascii="宋体" w:hAnsi="宋体"/>
          <w:szCs w:val="21"/>
        </w:rPr>
      </w:pPr>
      <w:r>
        <w:rPr>
          <w:rFonts w:ascii="宋体" w:hAnsi="宋体" w:hint="eastAsia"/>
          <w:szCs w:val="21"/>
        </w:rPr>
        <w:t>5.人工智能、大数据与时序数据标准</w:t>
      </w:r>
    </w:p>
    <w:p>
      <w:pPr>
        <w:snapToGrid w:val="0"/>
        <w:spacing w:line="360" w:lineRule="auto"/>
        <w:ind w:firstLine="420" w:firstLineChars="200"/>
        <w:jc w:val="left"/>
        <w:rPr>
          <w:rFonts w:ascii="宋体" w:hAnsi="宋体"/>
          <w:szCs w:val="21"/>
        </w:rPr>
      </w:pPr>
      <w:r>
        <w:rPr>
          <w:rFonts w:ascii="宋体" w:hAnsi="宋体" w:hint="eastAsia"/>
          <w:szCs w:val="21"/>
        </w:rPr>
        <w:t>GB/T42083人工智能术语：统一AI智能体、大模型、算法相关术语定义。</w:t>
      </w:r>
    </w:p>
    <w:p>
      <w:pPr>
        <w:snapToGrid w:val="0"/>
        <w:spacing w:line="360" w:lineRule="auto"/>
        <w:ind w:firstLine="420" w:firstLineChars="200"/>
        <w:jc w:val="left"/>
        <w:rPr>
          <w:rFonts w:ascii="宋体" w:hAnsi="宋体"/>
          <w:szCs w:val="21"/>
        </w:rPr>
      </w:pPr>
      <w:r>
        <w:rPr>
          <w:rFonts w:ascii="宋体" w:hAnsi="宋体" w:hint="eastAsia"/>
          <w:szCs w:val="21"/>
        </w:rPr>
        <w:t>GB/T39198人工智能机器学习模型安全规范：规范AI短临预报、灾害识别模型安全、版本管理。</w:t>
      </w:r>
    </w:p>
    <w:p>
      <w:pPr>
        <w:snapToGrid w:val="0"/>
        <w:spacing w:line="360" w:lineRule="auto"/>
        <w:ind w:firstLine="420" w:firstLineChars="200"/>
        <w:jc w:val="left"/>
        <w:rPr>
          <w:rFonts w:ascii="宋体" w:hAnsi="宋体"/>
          <w:szCs w:val="21"/>
        </w:rPr>
      </w:pPr>
      <w:r>
        <w:rPr>
          <w:rFonts w:ascii="宋体" w:hAnsi="宋体" w:hint="eastAsia"/>
          <w:szCs w:val="21"/>
        </w:rPr>
        <w:t>GB/T38243大数据术语：指导多源异构数据、数据底座、数据集建设。</w:t>
      </w:r>
    </w:p>
    <w:p>
      <w:pPr>
        <w:widowControl/>
        <w:spacing w:line="360" w:lineRule="auto"/>
        <w:ind w:firstLine="420" w:firstLineChars="200"/>
        <w:jc w:val="left"/>
        <w:rPr>
          <w:rFonts w:ascii="宋体" w:hAnsi="宋体" w:cs="宋体"/>
          <w:kern w:val="0"/>
        </w:rPr>
      </w:pPr>
      <w:r>
        <w:rPr>
          <w:rFonts w:ascii="宋体" w:hAnsi="宋体" w:hint="eastAsia"/>
          <w:szCs w:val="21"/>
        </w:rPr>
        <w:t>时序数据库技术规范：适配分钟级、秒级气象时序数据存储、查询、同步。</w:t>
      </w:r>
      <w:r>
        <w:rPr>
          <w:rFonts w:ascii="宋体" w:hAnsi="宋体" w:cs="宋体" w:hint="eastAsia"/>
          <w:kern w:val="0"/>
          <w:sz w:val="24"/>
          <w:szCs w:val="24"/>
        </w:rPr>
        <w:t xml:space="preserve"> </w:t>
      </w:r>
    </w:p>
    <w:p>
      <w:pPr>
        <w:widowControl/>
        <w:spacing w:line="360" w:lineRule="auto"/>
        <w:ind w:firstLine="420" w:firstLineChars="200"/>
        <w:jc w:val="left"/>
        <w:rPr>
          <w:rFonts w:ascii="宋体" w:hAnsi="宋体" w:cs="宋体"/>
          <w:b/>
          <w:bCs/>
          <w:kern w:val="0"/>
          <w:szCs w:val="21"/>
        </w:rPr>
      </w:pPr>
      <w:r>
        <w:rPr>
          <w:rFonts w:ascii="宋体" w:hAnsi="宋体" w:cs="宋体" w:hint="eastAsia"/>
          <w:b/>
          <w:bCs/>
          <w:kern w:val="0"/>
          <w:szCs w:val="21"/>
        </w:rPr>
        <w:t>九、其他需求</w:t>
      </w:r>
    </w:p>
    <w:p>
      <w:pPr>
        <w:widowControl/>
        <w:spacing w:line="360" w:lineRule="auto"/>
        <w:ind w:firstLine="420" w:firstLineChars="200"/>
        <w:jc w:val="left"/>
        <w:rPr>
          <w:rFonts w:ascii="宋体" w:hAnsi="宋体" w:cs="宋体"/>
          <w:kern w:val="0"/>
          <w:szCs w:val="21"/>
        </w:rPr>
      </w:pPr>
      <w:r>
        <w:rPr>
          <w:rFonts w:ascii="宋体" w:hAnsi="宋体" w:cs="宋体" w:hint="eastAsia"/>
          <w:kern w:val="0"/>
          <w:szCs w:val="21"/>
        </w:rPr>
        <w:t xml:space="preserve">1. </w:t>
      </w:r>
      <w:r>
        <w:rPr>
          <w:rFonts w:ascii="宋体" w:hAnsi="宋体" w:cs="宋体"/>
          <w:kern w:val="0"/>
          <w:szCs w:val="21"/>
        </w:rPr>
        <w:t>中标人在签订合同后需组成不少于</w:t>
      </w:r>
      <w:r>
        <w:rPr>
          <w:rFonts w:ascii="宋体" w:hAnsi="宋体" w:cs="宋体" w:hint="eastAsia"/>
          <w:kern w:val="0"/>
          <w:szCs w:val="21"/>
          <w:lang w:val="en-US" w:eastAsia="zh-CN"/>
        </w:rPr>
        <w:t>9</w:t>
      </w:r>
      <w:r>
        <w:rPr>
          <w:rFonts w:ascii="宋体" w:hAnsi="宋体" w:cs="宋体"/>
          <w:kern w:val="0"/>
          <w:szCs w:val="21"/>
        </w:rPr>
        <w:t>人的服务团队。团队人员清单需提交给采购人</w:t>
      </w:r>
      <w:r>
        <w:rPr>
          <w:rFonts w:ascii="宋体" w:hAnsi="宋体" w:cs="宋体"/>
          <w:kern w:val="0"/>
          <w:szCs w:val="21"/>
        </w:rPr>
        <w:t>备案。软件研发与部署期内，中标人须安排不少于</w:t>
      </w:r>
      <w:r>
        <w:rPr>
          <w:rFonts w:ascii="宋体" w:hAnsi="宋体" w:cs="宋体" w:hint="eastAsia"/>
          <w:kern w:val="0"/>
          <w:szCs w:val="21"/>
          <w:lang w:val="en-US" w:eastAsia="zh-CN"/>
        </w:rPr>
        <w:t>3</w:t>
      </w:r>
      <w:r>
        <w:rPr>
          <w:rFonts w:ascii="宋体" w:hAnsi="宋体" w:cs="宋体"/>
          <w:kern w:val="0"/>
          <w:szCs w:val="21"/>
        </w:rPr>
        <w:t>名团队成员驻场；试运行及竣工验收期内，中标人须安排不少于1名团队成员驻场。质量保证期三年，质保期内每年派驻不少于2人开展驻场服务，每人每年驻场时间累计不少于1月。驻场人员须熟悉项目要求，其专业水平及资质等条件须与项目需求匹配，如不满足项目需求，采购人有权要求更换驻场人员。</w:t>
      </w:r>
    </w:p>
    <w:p>
      <w:pPr>
        <w:widowControl/>
        <w:spacing w:line="360" w:lineRule="auto"/>
        <w:ind w:firstLine="420" w:firstLineChars="200"/>
        <w:jc w:val="left"/>
        <w:rPr>
          <w:rFonts w:ascii="宋体" w:hAnsi="宋体" w:cs="宋体"/>
          <w:kern w:val="0"/>
          <w:szCs w:val="21"/>
        </w:rPr>
      </w:pPr>
      <w:r>
        <w:rPr>
          <w:rFonts w:ascii="宋体" w:hAnsi="宋体" w:cs="宋体" w:hint="eastAsia"/>
          <w:kern w:val="0"/>
          <w:szCs w:val="21"/>
        </w:rPr>
        <w:t>2. 质量保证期内</w:t>
      </w:r>
      <w:r>
        <w:rPr>
          <w:rFonts w:ascii="宋体" w:hAnsi="宋体" w:cs="宋体"/>
          <w:kern w:val="0"/>
          <w:szCs w:val="21"/>
        </w:rPr>
        <w:t>每个服务年度为采购人选派的不少于2名人员提供集中提升培训，每名人员培训时间不少于10个工作日、累计不少于60学时，每学时不少于45分钟。培训可在中标人所在地或其指定培训场所开展，内容包括系统综合应用、高级配置、运行维护、数据与接口管理、算法及AI功能应用等。培训场地、师资、教材、食宿等费用由中标人承担并包含在投标报价中。</w:t>
      </w:r>
    </w:p>
    <w:p>
      <w:pPr>
        <w:widowControl/>
        <w:spacing w:line="360" w:lineRule="auto"/>
        <w:ind w:firstLine="420" w:firstLineChars="200"/>
        <w:jc w:val="left"/>
        <w:rPr>
          <w:rFonts w:ascii="宋体" w:hAnsi="宋体" w:cs="宋体"/>
          <w:kern w:val="0"/>
          <w:szCs w:val="21"/>
        </w:rPr>
      </w:pPr>
      <w:r>
        <w:rPr>
          <w:rFonts w:ascii="宋体" w:hAnsi="宋体" w:cs="宋体" w:hint="eastAsia"/>
          <w:kern w:val="0"/>
          <w:szCs w:val="21"/>
        </w:rPr>
        <w:t>3. 本项目报总价，投标人须同时按各模块进行分项报价，总价作为定标和价格分计算的依据。投标总价不得超过本项目最高限价，否则投标无效。</w:t>
      </w:r>
      <w:r>
        <w:rPr>
          <w:rFonts w:ascii="宋体" w:hAnsi="宋体" w:cs="宋体" w:hint="eastAsia"/>
          <w:b/>
          <w:bCs/>
          <w:kern w:val="0"/>
          <w:szCs w:val="21"/>
        </w:rPr>
        <w:t>报价包括完成本项目所需的全部费用，中标后采购人不再另行支付其他任何费用。</w:t>
      </w:r>
      <w:r>
        <w:rPr>
          <w:rFonts w:ascii="宋体" w:hAnsi="宋体" w:cs="宋体" w:hint="eastAsia"/>
          <w:kern w:val="0"/>
          <w:szCs w:val="21"/>
        </w:rPr>
        <w:t>包括但不限于技术服务费、维保费、第三方系统接口费、人工费、税费等为完成本项目内容而产生的所有费用，投标人须自行考虑投标风险，在充分了解本项目的基础上合理报价。</w:t>
      </w:r>
    </w:p>
    <w:p>
      <w:pPr>
        <w:widowControl/>
        <w:spacing w:line="360" w:lineRule="auto"/>
        <w:ind w:firstLine="420" w:firstLineChars="200"/>
        <w:jc w:val="left"/>
        <w:rPr>
          <w:rFonts w:ascii="宋体" w:hAnsi="宋体" w:cs="宋体"/>
          <w:kern w:val="0"/>
          <w:szCs w:val="21"/>
        </w:rPr>
      </w:pPr>
      <w:r>
        <w:rPr>
          <w:rFonts w:ascii="宋体" w:hAnsi="宋体" w:cs="宋体" w:hint="eastAsia"/>
          <w:b/>
          <w:kern w:val="0"/>
          <w:szCs w:val="21"/>
        </w:rPr>
        <w:t>▲</w:t>
      </w:r>
      <w:r>
        <w:rPr>
          <w:rFonts w:ascii="宋体" w:hAnsi="宋体" w:cs="宋体" w:hint="eastAsia"/>
          <w:kern w:val="0"/>
          <w:szCs w:val="21"/>
        </w:rPr>
        <w:t>4. 本系统部署于江苏省气象业务内网，严格落实网络安全同步规划、同步建设、同步运行要求。本系统所依托部署环境的网络安全建设投入占比超过项目建设总投资的</w:t>
      </w:r>
      <w:r>
        <w:rPr>
          <w:rFonts w:ascii="宋体" w:hAnsi="宋体" w:cs="宋体"/>
          <w:kern w:val="0"/>
          <w:szCs w:val="21"/>
        </w:rPr>
        <w:t>5%</w:t>
      </w:r>
      <w:r>
        <w:rPr>
          <w:rFonts w:ascii="宋体" w:hAnsi="宋体" w:cs="宋体" w:hint="eastAsia"/>
          <w:kern w:val="0"/>
          <w:szCs w:val="21"/>
        </w:rPr>
        <w:t>。系统建设需满足《信息安全技术</w:t>
      </w:r>
      <w:r>
        <w:rPr>
          <w:rFonts w:ascii="宋体" w:hAnsi="宋体" w:cs="宋体"/>
          <w:kern w:val="0"/>
          <w:szCs w:val="21"/>
        </w:rPr>
        <w:t xml:space="preserve"> </w:t>
      </w:r>
      <w:r>
        <w:rPr>
          <w:rFonts w:ascii="宋体" w:hAnsi="宋体" w:cs="宋体" w:hint="eastAsia"/>
          <w:kern w:val="0"/>
          <w:szCs w:val="21"/>
        </w:rPr>
        <w:t>网络安全等级保护基本要求》（</w:t>
      </w:r>
      <w:r>
        <w:rPr>
          <w:rFonts w:ascii="宋体" w:hAnsi="宋体" w:cs="宋体"/>
          <w:kern w:val="0"/>
          <w:szCs w:val="21"/>
        </w:rPr>
        <w:t>GB/T 22239</w:t>
      </w:r>
      <w:r>
        <w:rPr>
          <w:rFonts w:ascii="MS Gothic" w:eastAsia="MS Gothic" w:hAnsi="MS Gothic" w:cs="MS Gothic" w:hint="eastAsia"/>
          <w:kern w:val="0"/>
          <w:szCs w:val="21"/>
        </w:rPr>
        <w:t>‑</w:t>
      </w:r>
      <w:r>
        <w:rPr>
          <w:rFonts w:ascii="宋体" w:hAnsi="宋体" w:cs="宋体"/>
          <w:kern w:val="0"/>
          <w:szCs w:val="21"/>
        </w:rPr>
        <w:t>2019</w:t>
      </w:r>
      <w:r>
        <w:rPr>
          <w:rFonts w:ascii="宋体" w:hAnsi="宋体" w:cs="宋体" w:hint="eastAsia"/>
          <w:kern w:val="0"/>
          <w:szCs w:val="21"/>
        </w:rPr>
        <w:t>）等级保护二级全部技术与管理要求，投标人负责完成本系统的安全加固及适配整改工作，项目竣工验收前配合第三方测评机构开展等级保护测评，完成等保二级备案并取得合格测评报告，上述全部工作均包含在本次招标范围内。</w:t>
      </w:r>
    </w:p>
    <w:p w:rsidR="00A77B3E"/>
    <w:p>
      <w:pPr>
        <w:spacing w:before="156" w:beforeLines="50" w:line="360" w:lineRule="auto"/>
        <w:jc w:val="center"/>
        <w:outlineLvl w:val="1"/>
        <w:rPr>
          <w:rFonts w:ascii="宋体" w:hAnsi="宋体"/>
          <w:b/>
          <w:sz w:val="30"/>
          <w:szCs w:val="30"/>
        </w:rPr>
        <w:sectPr>
          <w:footerReference w:type="default" r:id="rId6"/>
          <w:pgSz w:w="11906" w:h="16838"/>
          <w:pgMar w:top="1418" w:right="1418" w:bottom="1418" w:left="1701" w:header="851" w:footer="851" w:gutter="0"/>
          <w:cols w:space="708"/>
          <w:docGrid w:type="linesAndChars" w:linePitch="312"/>
        </w:sectPr>
      </w:pPr>
      <w:bookmarkEnd w:id="60"/>
    </w:p>
    <w:p w:rsidR="00FB00EF">
      <w:pPr>
        <w:spacing w:before="156" w:beforeLines="50" w:line="360" w:lineRule="auto"/>
        <w:jc w:val="center"/>
        <w:outlineLvl w:val="1"/>
        <w:rPr>
          <w:rFonts w:ascii="宋体" w:hAnsi="宋体"/>
          <w:b/>
          <w:sz w:val="30"/>
          <w:szCs w:val="30"/>
        </w:rPr>
      </w:pPr>
      <w:bookmarkStart w:id="66" w:name="投标被拒绝条款专用部分_JJTK"/>
      <w:r>
        <w:rPr>
          <w:rFonts w:ascii="宋体" w:hAnsi="宋体" w:hint="eastAsia"/>
          <w:b/>
          <w:sz w:val="30"/>
          <w:szCs w:val="30"/>
        </w:rPr>
        <w:t>第八章  投标被拒绝条款专用部分</w:t>
      </w:r>
    </w:p>
    <w:p w:rsidR="00FB00EF">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4"/>
        <w:gridCol w:w="898"/>
        <w:gridCol w:w="7347"/>
      </w:tblGrid>
      <w:tr w:rsidTr="00874B70">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746"/>
        </w:trPr>
        <w:tc>
          <w:tcPr>
            <w:tcW w:w="544" w:type="dxa"/>
            <w:vAlign w:val="center"/>
          </w:tcPr>
          <w:p w:rsidR="00F666F0" w:rsidRPr="00646E7D" w:rsidP="00874B70">
            <w:pPr>
              <w:rPr>
                <w:sz w:val="18"/>
                <w:szCs w:val="18"/>
              </w:rPr>
            </w:pPr>
            <w:r w:rsidRPr="00646E7D">
              <w:rPr>
                <w:rFonts w:hint="eastAsia"/>
                <w:sz w:val="18"/>
                <w:szCs w:val="18"/>
              </w:rPr>
              <w:t>序号</w:t>
            </w:r>
          </w:p>
        </w:tc>
        <w:tc>
          <w:tcPr>
            <w:tcW w:w="898" w:type="dxa"/>
            <w:vAlign w:val="center"/>
          </w:tcPr>
          <w:p w:rsidR="00F666F0" w:rsidRPr="00646E7D" w:rsidP="00874B70">
            <w:pPr>
              <w:jc w:val="center"/>
              <w:rPr>
                <w:sz w:val="18"/>
                <w:szCs w:val="18"/>
              </w:rPr>
            </w:pPr>
            <w:r w:rsidRPr="00646E7D">
              <w:rPr>
                <w:rFonts w:hint="eastAsia"/>
                <w:sz w:val="18"/>
                <w:szCs w:val="18"/>
              </w:rPr>
              <w:t>对应</w:t>
            </w:r>
          </w:p>
          <w:p w:rsidR="00F666F0" w:rsidRPr="00646E7D" w:rsidP="00874B70">
            <w:pPr>
              <w:jc w:val="center"/>
              <w:rPr>
                <w:sz w:val="18"/>
                <w:szCs w:val="18"/>
              </w:rPr>
            </w:pPr>
            <w:r w:rsidRPr="00646E7D">
              <w:rPr>
                <w:rFonts w:hint="eastAsia"/>
                <w:sz w:val="18"/>
                <w:szCs w:val="18"/>
              </w:rPr>
              <w:t>条款号</w:t>
            </w:r>
          </w:p>
        </w:tc>
        <w:tc>
          <w:tcPr>
            <w:tcW w:w="7347" w:type="dxa"/>
            <w:vAlign w:val="center"/>
          </w:tcPr>
          <w:p w:rsidR="00F666F0" w:rsidRPr="00646E7D" w:rsidP="00874B70">
            <w:pPr>
              <w:jc w:val="center"/>
              <w:rPr>
                <w:sz w:val="18"/>
                <w:szCs w:val="18"/>
              </w:rPr>
            </w:pPr>
            <w:r w:rsidRPr="00646E7D">
              <w:rPr>
                <w:rFonts w:hint="eastAsia"/>
                <w:sz w:val="18"/>
                <w:szCs w:val="18"/>
              </w:rPr>
              <w:t>内</w:t>
            </w:r>
            <w:r w:rsidRPr="00646E7D">
              <w:rPr>
                <w:rFonts w:hint="eastAsia"/>
                <w:sz w:val="18"/>
                <w:szCs w:val="18"/>
              </w:rPr>
              <w:t xml:space="preserve"> </w:t>
            </w:r>
            <w:r w:rsidRPr="00646E7D">
              <w:rPr>
                <w:rFonts w:hint="eastAsia"/>
                <w:sz w:val="18"/>
                <w:szCs w:val="18"/>
              </w:rPr>
              <w:t>容</w:t>
            </w:r>
          </w:p>
        </w:tc>
      </w:tr>
      <w:tr w:rsidTr="00874B70">
        <w:tblPrEx>
          <w:tblW w:w="8789" w:type="dxa"/>
          <w:tblLayout w:type="fixed"/>
          <w:tblLook w:val="0000"/>
        </w:tblPrEx>
        <w:trPr>
          <w:cantSplit/>
        </w:trPr>
        <w:tc>
          <w:tcPr>
            <w:tcW w:w="8789" w:type="dxa"/>
            <w:gridSpan w:val="3"/>
            <w:vAlign w:val="center"/>
          </w:tcPr>
          <w:p w:rsidR="00F666F0" w:rsidRPr="00646E7D" w:rsidP="00874B70">
            <w:pPr>
              <w:jc w:val="center"/>
              <w:rPr>
                <w:b/>
                <w:sz w:val="18"/>
                <w:szCs w:val="18"/>
              </w:rPr>
            </w:pPr>
            <w:r w:rsidRPr="00646E7D">
              <w:rPr>
                <w:rFonts w:hint="eastAsia"/>
                <w:b/>
                <w:sz w:val="18"/>
                <w:szCs w:val="18"/>
              </w:rPr>
              <w:t>第</w:t>
            </w:r>
            <w:r w:rsidR="00937D7E">
              <w:rPr>
                <w:rFonts w:hint="eastAsia"/>
                <w:b/>
                <w:sz w:val="18"/>
                <w:szCs w:val="18"/>
              </w:rPr>
              <w:t>五</w:t>
            </w:r>
            <w:r w:rsidRPr="00646E7D">
              <w:rPr>
                <w:rFonts w:hint="eastAsia"/>
                <w:b/>
                <w:sz w:val="18"/>
                <w:szCs w:val="18"/>
              </w:rPr>
              <w:t>章</w:t>
            </w:r>
            <w:r w:rsidRPr="00646E7D">
              <w:rPr>
                <w:rFonts w:hint="eastAsia"/>
                <w:b/>
                <w:sz w:val="18"/>
                <w:szCs w:val="18"/>
              </w:rPr>
              <w:t xml:space="preserve"> </w:t>
            </w:r>
            <w:r w:rsidRPr="00646E7D">
              <w:rPr>
                <w:rFonts w:hint="eastAsia"/>
                <w:b/>
                <w:sz w:val="18"/>
                <w:szCs w:val="18"/>
              </w:rPr>
              <w:t>投标人须知专用部分</w:t>
            </w:r>
          </w:p>
        </w:tc>
      </w:tr>
      <w:tr w:rsidTr="00874B70">
        <w:tblPrEx>
          <w:tblW w:w="8789" w:type="dxa"/>
          <w:tblLayout w:type="fixed"/>
          <w:tblLook w:val="0000"/>
        </w:tblPrEx>
        <w:trPr>
          <w:cantSplit/>
        </w:trPr>
        <w:tc>
          <w:tcPr>
            <w:tcW w:w="544" w:type="dxa"/>
            <w:vAlign w:val="center"/>
          </w:tcPr>
          <w:p w:rsidR="00F666F0" w:rsidRPr="00646E7D" w:rsidP="00F666F0">
            <w:pPr>
              <w:numPr>
                <w:ilvl w:val="0"/>
                <w:numId w:val="46"/>
              </w:numPr>
              <w:ind w:left="420"/>
              <w:rPr>
                <w:rFonts w:ascii="宋体" w:hAnsi="宋体"/>
                <w:sz w:val="18"/>
                <w:szCs w:val="18"/>
              </w:rPr>
            </w:pPr>
          </w:p>
        </w:tc>
        <w:tc>
          <w:tcPr>
            <w:tcW w:w="898" w:type="dxa"/>
            <w:vAlign w:val="center"/>
          </w:tcPr>
          <w:p w:rsidR="00F666F0" w:rsidRPr="00646E7D" w:rsidP="00874B70">
            <w:pPr>
              <w:jc w:val="center"/>
              <w:rPr>
                <w:rFonts w:ascii="宋体" w:hAnsi="宋体"/>
                <w:sz w:val="18"/>
                <w:szCs w:val="18"/>
              </w:rPr>
            </w:pPr>
          </w:p>
        </w:tc>
        <w:tc>
          <w:tcPr>
            <w:tcW w:w="7347" w:type="dxa"/>
          </w:tcPr>
          <w:p w:rsidR="00F666F0" w:rsidRPr="00646E7D" w:rsidP="007C5427">
            <w:pPr>
              <w:tabs>
                <w:tab w:val="left" w:pos="709"/>
              </w:tabs>
              <w:spacing w:line="360" w:lineRule="auto"/>
              <w:jc w:val="left"/>
              <w:rPr>
                <w:rFonts w:ascii="宋体" w:hAnsi="宋体"/>
                <w:sz w:val="18"/>
                <w:szCs w:val="18"/>
              </w:rPr>
            </w:pPr>
            <w:r>
              <w:rPr>
                <w:rFonts w:ascii="宋体" w:hAnsi="宋体" w:hint="eastAsia"/>
                <w:sz w:val="18"/>
                <w:szCs w:val="18"/>
              </w:rPr>
              <w:t>无</w:t>
            </w:r>
          </w:p>
        </w:tc>
      </w:tr>
      <w:tr w:rsidTr="00874B70">
        <w:tblPrEx>
          <w:tblW w:w="8789" w:type="dxa"/>
          <w:tblLayout w:type="fixed"/>
          <w:tblLook w:val="0000"/>
        </w:tblPrEx>
        <w:trPr>
          <w:cantSplit/>
        </w:trPr>
        <w:tc>
          <w:tcPr>
            <w:tcW w:w="8789" w:type="dxa"/>
            <w:gridSpan w:val="3"/>
            <w:vAlign w:val="center"/>
          </w:tcPr>
          <w:p w:rsidR="00F666F0" w:rsidRPr="00646E7D" w:rsidP="00874B70">
            <w:pPr>
              <w:jc w:val="center"/>
              <w:rPr>
                <w:sz w:val="18"/>
                <w:szCs w:val="18"/>
              </w:rPr>
            </w:pPr>
            <w:r w:rsidRPr="00646E7D">
              <w:rPr>
                <w:rFonts w:hint="eastAsia"/>
                <w:b/>
                <w:sz w:val="18"/>
                <w:szCs w:val="18"/>
              </w:rPr>
              <w:t>第</w:t>
            </w:r>
            <w:r w:rsidR="00937D7E">
              <w:rPr>
                <w:rFonts w:hint="eastAsia"/>
                <w:b/>
                <w:sz w:val="18"/>
                <w:szCs w:val="18"/>
              </w:rPr>
              <w:t>七</w:t>
            </w:r>
            <w:r w:rsidRPr="00646E7D">
              <w:rPr>
                <w:rFonts w:hint="eastAsia"/>
                <w:b/>
                <w:sz w:val="18"/>
                <w:szCs w:val="18"/>
              </w:rPr>
              <w:t>章</w:t>
            </w:r>
            <w:r w:rsidRPr="00646E7D">
              <w:rPr>
                <w:rFonts w:hint="eastAsia"/>
                <w:b/>
                <w:sz w:val="18"/>
                <w:szCs w:val="18"/>
              </w:rPr>
              <w:t xml:space="preserve">  </w:t>
            </w:r>
            <w:r w:rsidRPr="00646E7D">
              <w:rPr>
                <w:rFonts w:hint="eastAsia"/>
                <w:b/>
                <w:sz w:val="18"/>
                <w:szCs w:val="18"/>
              </w:rPr>
              <w:t>采购需求</w:t>
            </w:r>
          </w:p>
        </w:tc>
      </w:tr>
      <w:tr w:rsidTr="00874B70">
        <w:tblPrEx>
          <w:tblW w:w="8789" w:type="dxa"/>
          <w:tblLayout w:type="fixed"/>
          <w:tblLook w:val="0000"/>
        </w:tblPrEx>
        <w:trPr>
          <w:cantSplit/>
        </w:trPr>
        <w:tc>
          <w:tcPr>
            <w:tcW w:w="544" w:type="dxa"/>
            <w:vAlign w:val="center"/>
          </w:tcPr>
          <w:p w:rsidR="00F666F0" w:rsidRPr="00646E7D" w:rsidP="00F666F0">
            <w:pPr>
              <w:numPr>
                <w:ilvl w:val="0"/>
                <w:numId w:val="46"/>
              </w:numPr>
              <w:ind w:left="420"/>
              <w:rPr>
                <w:rFonts w:ascii="宋体" w:hAnsi="宋体"/>
                <w:sz w:val="18"/>
                <w:szCs w:val="18"/>
              </w:rPr>
            </w:pPr>
          </w:p>
        </w:tc>
        <w:tc>
          <w:tcPr>
            <w:tcW w:w="898" w:type="dxa"/>
            <w:vAlign w:val="center"/>
          </w:tcPr>
          <w:p w:rsidR="00F666F0" w:rsidRPr="00646E7D" w:rsidP="00874B70">
            <w:pPr>
              <w:jc w:val="center"/>
              <w:rPr>
                <w:rFonts w:ascii="宋体" w:hAnsi="宋体"/>
                <w:sz w:val="18"/>
                <w:szCs w:val="18"/>
              </w:rPr>
            </w:pPr>
          </w:p>
        </w:tc>
        <w:tc>
          <w:tcPr>
            <w:tcW w:w="7347" w:type="dxa"/>
            <w:vAlign w:val="center"/>
          </w:tcPr>
          <w:p w:rsidR="00F666F0" w:rsidRPr="00B57DAD" w:rsidP="007C5427">
            <w:pPr>
              <w:tabs>
                <w:tab w:val="left" w:pos="709"/>
              </w:tabs>
              <w:spacing w:line="360" w:lineRule="auto"/>
              <w:jc w:val="left"/>
              <w:rPr>
                <w:rFonts w:ascii="宋体" w:hAnsi="宋体"/>
                <w:sz w:val="18"/>
                <w:szCs w:val="18"/>
              </w:rPr>
            </w:pPr>
            <w:r w:rsidRPr="007C5427">
              <w:rPr>
                <w:rFonts w:ascii="宋体" w:hAnsi="宋体" w:hint="eastAsia"/>
                <w:sz w:val="18"/>
                <w:szCs w:val="18"/>
              </w:rPr>
              <w:t>无</w:t>
            </w:r>
          </w:p>
        </w:tc>
      </w:tr>
    </w:tbl>
    <w:p w:rsidR="00F666F0" w:rsidRPr="00F666F0" w:rsidP="00F666F0">
      <w:pPr>
        <w:adjustRightInd w:val="0"/>
        <w:snapToGrid w:val="0"/>
        <w:spacing w:before="156" w:beforeLines="50" w:line="360" w:lineRule="auto"/>
        <w:rPr>
          <w:rFonts w:ascii="宋体" w:hAnsi="宋体"/>
          <w:szCs w:val="21"/>
        </w:rPr>
      </w:pPr>
    </w:p>
    <w:p w:rsidR="00FB00EF">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FB00EF">
      <w:pPr>
        <w:spacing w:before="156" w:beforeLines="50" w:line="360" w:lineRule="auto"/>
        <w:ind w:firstLine="420"/>
      </w:pPr>
    </w:p>
    <w:p w:rsidR="00A77B3E"/>
    <w:p w:rsidR="00FB00EF">
      <w:pPr>
        <w:spacing w:before="156" w:beforeLines="50" w:line="360" w:lineRule="auto"/>
        <w:jc w:val="center"/>
        <w:outlineLvl w:val="1"/>
        <w:rPr>
          <w:rFonts w:ascii="宋体" w:hAnsi="宋体"/>
          <w:b/>
          <w:sz w:val="30"/>
          <w:szCs w:val="30"/>
        </w:rPr>
        <w:sectPr>
          <w:headerReference w:type="default" r:id="rId7"/>
          <w:footerReference w:type="default" r:id="rId8"/>
          <w:pgSz w:w="11906" w:h="16838"/>
          <w:pgMar w:top="1440" w:right="1800" w:bottom="1440" w:left="1800" w:header="851" w:footer="992" w:gutter="0"/>
          <w:cols w:space="708"/>
          <w:docGrid w:type="lines" w:linePitch="312"/>
        </w:sectPr>
      </w:pPr>
      <w:bookmarkEnd w:id="66"/>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0B7E02" w:rsidP="005069EB">
      <w:pPr>
        <w:numPr>
          <w:ilvl w:val="0"/>
          <w:numId w:val="4"/>
        </w:numPr>
        <w:spacing w:line="360" w:lineRule="auto"/>
        <w:ind w:firstLine="3066" w:firstLineChars="1460"/>
        <w:jc w:val="left"/>
        <w:rPr>
          <w:rFonts w:ascii="Times New Roman" w:eastAsia="宋体" w:hAnsi="Times New Roman" w:cs="Times New Roman"/>
          <w:b/>
          <w:bCs/>
          <w:szCs w:val="21"/>
        </w:rPr>
      </w:pPr>
      <w:bookmarkStart w:id="67"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0B7E02">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0B7E02">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0B7E02">
      <w:pPr>
        <w:spacing w:line="360" w:lineRule="auto"/>
        <w:ind w:right="-210" w:rightChars="-100"/>
        <w:rPr>
          <w:rFonts w:ascii="宋体" w:eastAsia="宋体" w:hAnsi="宋体" w:cs="宋体"/>
          <w:szCs w:val="21"/>
        </w:rPr>
      </w:pPr>
    </w:p>
    <w:p w:rsidR="000B7E02">
      <w:pPr>
        <w:spacing w:line="360" w:lineRule="auto"/>
        <w:ind w:right="-210" w:rightChars="-100"/>
        <w:rPr>
          <w:rFonts w:ascii="宋体" w:eastAsia="宋体" w:hAnsi="宋体" w:cs="宋体"/>
          <w:szCs w:val="21"/>
        </w:rPr>
      </w:pPr>
    </w:p>
    <w:p w:rsidR="000B7E02">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rsidR="000B7E02">
      <w:pPr>
        <w:spacing w:line="360" w:lineRule="auto"/>
        <w:jc w:val="center"/>
        <w:rPr>
          <w:rFonts w:ascii="宋体" w:eastAsia="宋体" w:hAnsi="宋体" w:cs="宋体"/>
          <w:szCs w:val="21"/>
        </w:rPr>
      </w:pPr>
    </w:p>
    <w:p w:rsidR="000B7E02">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rsidR="000B7E02">
      <w:pPr>
        <w:spacing w:line="360" w:lineRule="auto"/>
        <w:jc w:val="center"/>
        <w:rPr>
          <w:rFonts w:ascii="宋体" w:eastAsia="宋体" w:hAnsi="宋体" w:cs="宋体"/>
          <w:szCs w:val="21"/>
        </w:rPr>
      </w:pPr>
    </w:p>
    <w:p w:rsidR="000B7E02">
      <w:pPr>
        <w:spacing w:line="360" w:lineRule="auto"/>
        <w:jc w:val="center"/>
        <w:rPr>
          <w:rFonts w:ascii="宋体" w:eastAsia="宋体" w:hAnsi="宋体" w:cs="宋体"/>
          <w:szCs w:val="21"/>
        </w:rPr>
      </w:pPr>
    </w:p>
    <w:p w:rsidR="000B7E02" w:rsidP="005069EB">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rsidP="005069EB">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rsidP="005069EB">
      <w:pPr>
        <w:spacing w:line="600" w:lineRule="auto"/>
        <w:ind w:right="-15" w:firstLine="420" w:firstLineChars="200"/>
        <w:rPr>
          <w:rFonts w:ascii="宋体" w:eastAsia="宋体" w:hAnsi="宋体" w:cs="宋体"/>
          <w:b/>
          <w:bCs/>
          <w:szCs w:val="21"/>
          <w:u w:val="single"/>
        </w:rPr>
      </w:pPr>
    </w:p>
    <w:p w:rsidR="000B7E02" w:rsidP="005069EB">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rsidR="000B7E02" w:rsidP="005069EB">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rsidP="005069EB">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rsidP="005069EB">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0B7E02">
      <w:pPr>
        <w:spacing w:line="360" w:lineRule="auto"/>
        <w:ind w:firstLine="1680" w:firstLineChars="800"/>
        <w:rPr>
          <w:rFonts w:ascii="宋体" w:eastAsia="宋体" w:hAnsi="宋体" w:cs="宋体"/>
          <w:szCs w:val="21"/>
        </w:rPr>
      </w:pPr>
    </w:p>
    <w:p w:rsidR="000B7E02">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rsidR="000B7E02">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rsidR="000B7E02">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rsidR="000B7E02">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0B7E02">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0B7E02">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rsidR="000B7E02">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0B7E02">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pPr>
        <w:ind w:firstLine="420" w:firstLineChars="200"/>
        <w:jc w:val="left"/>
        <w:rPr>
          <w:rFonts w:ascii="宋体" w:hAnsi="宋体" w:cs="宋体"/>
          <w:szCs w:val="21"/>
        </w:rPr>
        <w:sectPr>
          <w:footerReference w:type="even" r:id="rId9"/>
          <w:footerReference w:type="default" r:id="rId10"/>
          <w:pgSz w:w="11906" w:h="16838"/>
          <w:pgMar w:top="1440" w:right="1800" w:bottom="1440" w:left="1800" w:header="851" w:footer="992" w:gutter="0"/>
          <w:cols w:space="720"/>
          <w:docGrid w:type="lines" w:linePitch="312"/>
        </w:sectPr>
      </w:pPr>
    </w:p>
    <w:p w:rsidR="000B7E02">
      <w:pPr>
        <w:jc w:val="center"/>
        <w:rPr>
          <w:rFonts w:ascii="黑体" w:eastAsia="黑体" w:hAnsi="黑体" w:cs="黑体"/>
          <w:sz w:val="32"/>
          <w:szCs w:val="32"/>
        </w:rPr>
      </w:pPr>
    </w:p>
    <w:p w:rsidR="000B7E02">
      <w:pPr>
        <w:jc w:val="center"/>
        <w:rPr>
          <w:rFonts w:ascii="黑体" w:eastAsia="黑体" w:hAnsi="黑体" w:cs="黑体"/>
          <w:sz w:val="32"/>
          <w:szCs w:val="32"/>
        </w:rPr>
      </w:pPr>
    </w:p>
    <w:p w:rsidR="000B7E02">
      <w:pPr>
        <w:jc w:val="center"/>
        <w:rPr>
          <w:rFonts w:ascii="黑体" w:eastAsia="黑体" w:hAnsi="黑体" w:cs="黑体"/>
          <w:sz w:val="32"/>
          <w:szCs w:val="32"/>
        </w:rPr>
      </w:pPr>
    </w:p>
    <w:p w:rsidR="000B7E02">
      <w:pPr>
        <w:jc w:val="center"/>
        <w:rPr>
          <w:rFonts w:ascii="黑体" w:eastAsia="黑体" w:hAnsi="黑体" w:cs="黑体"/>
          <w:sz w:val="32"/>
          <w:szCs w:val="32"/>
        </w:rPr>
      </w:pPr>
      <w:r>
        <w:rPr>
          <w:rFonts w:ascii="黑体" w:eastAsia="黑体" w:hAnsi="黑体" w:cs="黑体" w:hint="eastAsia"/>
          <w:sz w:val="32"/>
          <w:szCs w:val="32"/>
        </w:rPr>
        <w:t>使 用 说 明</w:t>
      </w:r>
    </w:p>
    <w:p w:rsidR="000B7E02">
      <w:pPr>
        <w:jc w:val="center"/>
        <w:rPr>
          <w:rFonts w:ascii="黑体" w:eastAsia="黑体" w:hAnsi="黑体" w:cs="黑体"/>
          <w:sz w:val="32"/>
          <w:szCs w:val="32"/>
        </w:rPr>
      </w:pPr>
    </w:p>
    <w:p w:rsidR="000B7E02">
      <w:pPr>
        <w:numPr>
          <w:ilvl w:val="0"/>
          <w:numId w:val="5"/>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w:t>
      </w:r>
      <w:r>
        <w:rPr>
          <w:rFonts w:ascii="宋体" w:eastAsia="宋体" w:hAnsi="宋体" w:cs="宋体" w:hint="eastAsia"/>
          <w:sz w:val="28"/>
          <w:szCs w:val="28"/>
        </w:rPr>
        <w:t>制开发</w:t>
      </w:r>
      <w:r>
        <w:rPr>
          <w:rFonts w:ascii="宋体" w:eastAsia="宋体" w:hAnsi="宋体" w:cs="宋体" w:hint="eastAsia"/>
          <w:sz w:val="28"/>
          <w:szCs w:val="28"/>
        </w:rPr>
        <w:t>的气象业务软件采购项目。</w:t>
      </w:r>
    </w:p>
    <w:p w:rsidR="000B7E02">
      <w:pPr>
        <w:numPr>
          <w:ilvl w:val="0"/>
          <w:numId w:val="5"/>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0B7E02">
      <w:pPr>
        <w:numPr>
          <w:ilvl w:val="0"/>
          <w:numId w:val="5"/>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0B7E02">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0B7E02">
      <w:pPr>
        <w:keepNext/>
        <w:keepLines/>
        <w:numPr>
          <w:ilvl w:val="0"/>
          <w:numId w:val="6"/>
        </w:numPr>
        <w:spacing w:before="60" w:after="60" w:line="360" w:lineRule="auto"/>
        <w:jc w:val="left"/>
        <w:outlineLvl w:val="1"/>
        <w:rPr>
          <w:rFonts w:ascii="宋体" w:eastAsia="宋体" w:hAnsi="宋体" w:cs="宋体"/>
          <w:b/>
          <w:bCs/>
          <w:szCs w:val="21"/>
        </w:rPr>
      </w:pPr>
      <w:bookmarkStart w:id="68" w:name="_Toc150439537"/>
      <w:r>
        <w:rPr>
          <w:rFonts w:ascii="宋体" w:eastAsia="宋体" w:hAnsi="宋体" w:cs="宋体" w:hint="eastAsia"/>
          <w:b/>
          <w:bCs/>
          <w:szCs w:val="21"/>
        </w:rPr>
        <w:t>项目内容及概况</w:t>
      </w:r>
      <w:bookmarkEnd w:id="68"/>
      <w:r>
        <w:rPr>
          <w:rFonts w:ascii="宋体" w:eastAsia="宋体" w:hAnsi="宋体" w:cs="宋体" w:hint="eastAsia"/>
          <w:b/>
          <w:bCs/>
          <w:szCs w:val="21"/>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707"/>
        <w:gridCol w:w="750"/>
        <w:gridCol w:w="1420"/>
        <w:gridCol w:w="1422"/>
        <w:gridCol w:w="142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0B7E02">
            <w:pPr>
              <w:jc w:val="left"/>
              <w:rPr>
                <w:rFonts w:ascii="宋体" w:eastAsia="宋体" w:hAnsi="宋体" w:cs="宋体"/>
                <w:szCs w:val="21"/>
              </w:rPr>
            </w:pPr>
            <w:r>
              <w:rPr>
                <w:rFonts w:ascii="宋体" w:eastAsia="宋体" w:hAnsi="宋体" w:cs="宋体" w:hint="eastAsia"/>
                <w:szCs w:val="21"/>
              </w:rPr>
              <w:t>名称</w:t>
            </w:r>
          </w:p>
        </w:tc>
        <w:tc>
          <w:tcPr>
            <w:tcW w:w="415" w:type="pct"/>
          </w:tcPr>
          <w:p w:rsidR="000B7E02">
            <w:pPr>
              <w:jc w:val="left"/>
              <w:rPr>
                <w:rFonts w:ascii="宋体" w:eastAsia="宋体" w:hAnsi="宋体" w:cs="宋体"/>
                <w:szCs w:val="21"/>
              </w:rPr>
            </w:pPr>
            <w:r>
              <w:rPr>
                <w:rFonts w:ascii="宋体" w:eastAsia="宋体" w:hAnsi="宋体" w:cs="宋体" w:hint="eastAsia"/>
                <w:szCs w:val="21"/>
              </w:rPr>
              <w:t>数量</w:t>
            </w:r>
          </w:p>
        </w:tc>
        <w:tc>
          <w:tcPr>
            <w:tcW w:w="440" w:type="pct"/>
          </w:tcPr>
          <w:p w:rsidR="000B7E02">
            <w:pPr>
              <w:jc w:val="left"/>
              <w:rPr>
                <w:rFonts w:ascii="宋体" w:eastAsia="宋体" w:hAnsi="宋体" w:cs="宋体"/>
                <w:szCs w:val="21"/>
              </w:rPr>
            </w:pPr>
            <w:r>
              <w:rPr>
                <w:rFonts w:ascii="宋体" w:eastAsia="宋体" w:hAnsi="宋体" w:cs="宋体" w:hint="eastAsia"/>
                <w:szCs w:val="21"/>
              </w:rPr>
              <w:t>单位</w:t>
            </w:r>
          </w:p>
        </w:tc>
        <w:tc>
          <w:tcPr>
            <w:tcW w:w="833" w:type="pct"/>
          </w:tcPr>
          <w:p w:rsidR="000B7E02">
            <w:pPr>
              <w:jc w:val="left"/>
              <w:rPr>
                <w:rFonts w:ascii="宋体" w:eastAsia="宋体" w:hAnsi="宋体" w:cs="宋体"/>
                <w:szCs w:val="21"/>
              </w:rPr>
            </w:pPr>
            <w:r>
              <w:rPr>
                <w:rFonts w:ascii="宋体" w:eastAsia="宋体" w:hAnsi="宋体" w:cs="宋体" w:hint="eastAsia"/>
                <w:szCs w:val="21"/>
              </w:rPr>
              <w:t>单价（元）</w:t>
            </w:r>
          </w:p>
        </w:tc>
        <w:tc>
          <w:tcPr>
            <w:tcW w:w="834" w:type="pct"/>
          </w:tcPr>
          <w:p w:rsidR="000B7E02">
            <w:pPr>
              <w:jc w:val="left"/>
              <w:rPr>
                <w:rFonts w:ascii="宋体" w:eastAsia="宋体" w:hAnsi="宋体" w:cs="宋体"/>
                <w:szCs w:val="21"/>
              </w:rPr>
            </w:pPr>
            <w:r>
              <w:rPr>
                <w:rFonts w:ascii="宋体" w:eastAsia="宋体" w:hAnsi="宋体" w:cs="宋体" w:hint="eastAsia"/>
                <w:szCs w:val="21"/>
              </w:rPr>
              <w:t>合计（元）</w:t>
            </w:r>
          </w:p>
        </w:tc>
        <w:tc>
          <w:tcPr>
            <w:tcW w:w="834" w:type="pct"/>
          </w:tcPr>
          <w:p w:rsidR="000B7E02">
            <w:pPr>
              <w:jc w:val="left"/>
              <w:rPr>
                <w:rFonts w:ascii="宋体" w:eastAsia="宋体" w:hAnsi="宋体" w:cs="宋体"/>
                <w:szCs w:val="21"/>
              </w:rPr>
            </w:pPr>
            <w:r>
              <w:rPr>
                <w:rFonts w:ascii="宋体" w:eastAsia="宋体" w:hAnsi="宋体" w:cs="宋体" w:hint="eastAsia"/>
                <w:szCs w:val="21"/>
              </w:rPr>
              <w:t>备注</w:t>
            </w:r>
          </w:p>
        </w:tc>
      </w:tr>
      <w:tr>
        <w:tblPrEx>
          <w:tblW w:w="5000" w:type="pct"/>
          <w:tblLook w:val="04A0"/>
        </w:tblPrEx>
        <w:tc>
          <w:tcPr>
            <w:tcW w:w="1644" w:type="pct"/>
          </w:tcPr>
          <w:p w:rsidR="000B7E02">
            <w:pPr>
              <w:jc w:val="left"/>
              <w:rPr>
                <w:rFonts w:ascii="宋体" w:eastAsia="宋体" w:hAnsi="宋体" w:cs="宋体"/>
                <w:szCs w:val="21"/>
              </w:rPr>
            </w:pPr>
          </w:p>
        </w:tc>
        <w:tc>
          <w:tcPr>
            <w:tcW w:w="415" w:type="pct"/>
          </w:tcPr>
          <w:p w:rsidR="000B7E02">
            <w:pPr>
              <w:jc w:val="left"/>
              <w:rPr>
                <w:rFonts w:ascii="宋体" w:eastAsia="宋体" w:hAnsi="宋体" w:cs="宋体"/>
                <w:szCs w:val="21"/>
              </w:rPr>
            </w:pPr>
          </w:p>
        </w:tc>
        <w:tc>
          <w:tcPr>
            <w:tcW w:w="440" w:type="pct"/>
          </w:tcPr>
          <w:p w:rsidR="000B7E02">
            <w:pPr>
              <w:jc w:val="left"/>
              <w:rPr>
                <w:rFonts w:ascii="宋体" w:eastAsia="宋体" w:hAnsi="宋体" w:cs="宋体"/>
                <w:szCs w:val="21"/>
              </w:rPr>
            </w:pPr>
          </w:p>
        </w:tc>
        <w:tc>
          <w:tcPr>
            <w:tcW w:w="833" w:type="pct"/>
          </w:tcPr>
          <w:p w:rsidR="000B7E02">
            <w:pPr>
              <w:jc w:val="left"/>
              <w:rPr>
                <w:rFonts w:ascii="宋体" w:eastAsia="宋体" w:hAnsi="宋体" w:cs="宋体"/>
                <w:szCs w:val="21"/>
              </w:rPr>
            </w:pPr>
          </w:p>
        </w:tc>
        <w:tc>
          <w:tcPr>
            <w:tcW w:w="834" w:type="pct"/>
          </w:tcPr>
          <w:p w:rsidR="000B7E02">
            <w:pPr>
              <w:jc w:val="left"/>
              <w:rPr>
                <w:rFonts w:ascii="宋体" w:eastAsia="宋体" w:hAnsi="宋体" w:cs="宋体"/>
                <w:szCs w:val="21"/>
              </w:rPr>
            </w:pPr>
          </w:p>
        </w:tc>
        <w:tc>
          <w:tcPr>
            <w:tcW w:w="834" w:type="pct"/>
          </w:tcPr>
          <w:p w:rsidR="000B7E02">
            <w:pPr>
              <w:jc w:val="left"/>
              <w:rPr>
                <w:rFonts w:ascii="宋体" w:eastAsia="宋体" w:hAnsi="宋体" w:cs="宋体"/>
                <w:szCs w:val="21"/>
              </w:rPr>
            </w:pPr>
          </w:p>
        </w:tc>
      </w:tr>
      <w:tr>
        <w:tblPrEx>
          <w:tblW w:w="5000" w:type="pct"/>
          <w:tblLook w:val="04A0"/>
        </w:tblPrEx>
        <w:tc>
          <w:tcPr>
            <w:tcW w:w="1644" w:type="pct"/>
          </w:tcPr>
          <w:p w:rsidR="000B7E02">
            <w:pPr>
              <w:jc w:val="left"/>
              <w:rPr>
                <w:rFonts w:ascii="宋体" w:eastAsia="宋体" w:hAnsi="宋体" w:cs="宋体"/>
                <w:szCs w:val="21"/>
              </w:rPr>
            </w:pPr>
          </w:p>
        </w:tc>
        <w:tc>
          <w:tcPr>
            <w:tcW w:w="415" w:type="pct"/>
          </w:tcPr>
          <w:p w:rsidR="000B7E02">
            <w:pPr>
              <w:jc w:val="left"/>
              <w:rPr>
                <w:rFonts w:ascii="宋体" w:eastAsia="宋体" w:hAnsi="宋体" w:cs="宋体"/>
                <w:szCs w:val="21"/>
              </w:rPr>
            </w:pPr>
          </w:p>
        </w:tc>
        <w:tc>
          <w:tcPr>
            <w:tcW w:w="440" w:type="pct"/>
          </w:tcPr>
          <w:p w:rsidR="000B7E02">
            <w:pPr>
              <w:jc w:val="left"/>
              <w:rPr>
                <w:rFonts w:ascii="宋体" w:eastAsia="宋体" w:hAnsi="宋体" w:cs="宋体"/>
                <w:szCs w:val="21"/>
              </w:rPr>
            </w:pPr>
          </w:p>
        </w:tc>
        <w:tc>
          <w:tcPr>
            <w:tcW w:w="833" w:type="pct"/>
          </w:tcPr>
          <w:p w:rsidR="000B7E02">
            <w:pPr>
              <w:jc w:val="left"/>
              <w:rPr>
                <w:rFonts w:ascii="宋体" w:eastAsia="宋体" w:hAnsi="宋体" w:cs="宋体"/>
                <w:szCs w:val="21"/>
              </w:rPr>
            </w:pPr>
          </w:p>
        </w:tc>
        <w:tc>
          <w:tcPr>
            <w:tcW w:w="834" w:type="pct"/>
          </w:tcPr>
          <w:p w:rsidR="000B7E02">
            <w:pPr>
              <w:jc w:val="left"/>
              <w:rPr>
                <w:rFonts w:ascii="宋体" w:eastAsia="宋体" w:hAnsi="宋体" w:cs="宋体"/>
                <w:szCs w:val="21"/>
              </w:rPr>
            </w:pPr>
          </w:p>
        </w:tc>
        <w:tc>
          <w:tcPr>
            <w:tcW w:w="834" w:type="pct"/>
          </w:tcPr>
          <w:p w:rsidR="000B7E02">
            <w:pPr>
              <w:jc w:val="left"/>
              <w:rPr>
                <w:rFonts w:ascii="宋体" w:eastAsia="宋体" w:hAnsi="宋体" w:cs="宋体"/>
                <w:szCs w:val="21"/>
              </w:rPr>
            </w:pPr>
          </w:p>
        </w:tc>
      </w:tr>
      <w:tr>
        <w:tblPrEx>
          <w:tblW w:w="5000" w:type="pct"/>
          <w:tblLook w:val="04A0"/>
        </w:tblPrEx>
        <w:tc>
          <w:tcPr>
            <w:tcW w:w="5000" w:type="pct"/>
            <w:gridSpan w:val="6"/>
          </w:tcPr>
          <w:p w:rsidR="000B7E02">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rsidR="000B7E02">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rsidR="000B7E02">
      <w:pPr>
        <w:ind w:firstLine="420" w:firstLineChars="200"/>
        <w:jc w:val="left"/>
        <w:rPr>
          <w:rFonts w:ascii="宋体" w:eastAsia="宋体" w:hAnsi="宋体" w:cs="宋体"/>
          <w:szCs w:val="21"/>
        </w:rPr>
      </w:pPr>
      <w:r>
        <w:rPr>
          <w:rFonts w:ascii="宋体" w:eastAsia="宋体" w:hAnsi="宋体" w:cs="宋体" w:hint="eastAsia"/>
          <w:szCs w:val="21"/>
        </w:rPr>
        <w:t>XXXX（技术交底部分）。</w:t>
      </w:r>
    </w:p>
    <w:p w:rsidR="000B7E02">
      <w:pPr>
        <w:ind w:firstLine="420" w:firstLineChars="200"/>
        <w:jc w:val="left"/>
        <w:rPr>
          <w:rFonts w:ascii="宋体" w:eastAsia="宋体" w:hAnsi="宋体" w:cs="宋体"/>
          <w:szCs w:val="21"/>
        </w:rPr>
      </w:pPr>
    </w:p>
    <w:p w:rsidR="000B7E02">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rsidR="000B7E02">
      <w:pPr>
        <w:ind w:firstLine="420" w:firstLineChars="200"/>
        <w:jc w:val="left"/>
        <w:rPr>
          <w:rFonts w:ascii="宋体" w:eastAsia="宋体" w:hAnsi="宋体" w:cs="宋体"/>
          <w:szCs w:val="21"/>
        </w:rPr>
      </w:pPr>
      <w:r>
        <w:rPr>
          <w:rFonts w:ascii="宋体" w:eastAsia="宋体" w:hAnsi="宋体" w:cs="宋体" w:hint="eastAsia"/>
          <w:szCs w:val="21"/>
        </w:rPr>
        <w:t xml:space="preserve"> XXXX。</w:t>
      </w:r>
    </w:p>
    <w:p w:rsidR="000B7E02">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B7E02">
      <w:pPr>
        <w:keepNext/>
        <w:keepLines/>
        <w:numPr>
          <w:ilvl w:val="0"/>
          <w:numId w:val="6"/>
        </w:numPr>
        <w:spacing w:before="60" w:after="60" w:line="360" w:lineRule="auto"/>
        <w:jc w:val="left"/>
        <w:outlineLvl w:val="1"/>
        <w:rPr>
          <w:rFonts w:ascii="宋体" w:eastAsia="宋体" w:hAnsi="宋体" w:cs="宋体"/>
          <w:b/>
          <w:bCs/>
          <w:szCs w:val="21"/>
        </w:rPr>
      </w:pPr>
      <w:bookmarkStart w:id="69" w:name="_Toc150439540"/>
      <w:r>
        <w:rPr>
          <w:rFonts w:ascii="宋体" w:eastAsia="宋体" w:hAnsi="宋体" w:cs="宋体" w:hint="eastAsia"/>
          <w:b/>
          <w:bCs/>
          <w:szCs w:val="21"/>
        </w:rPr>
        <w:t>项目相关标准</w:t>
      </w:r>
      <w:bookmarkEnd w:id="69"/>
    </w:p>
    <w:p w:rsidR="000B7E02">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rsidR="000B7E02">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rsidR="000B7E02">
      <w:pPr>
        <w:numPr>
          <w:ilvl w:val="1"/>
          <w:numId w:val="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rsidR="000B7E02">
      <w:pPr>
        <w:numPr>
          <w:ilvl w:val="1"/>
          <w:numId w:val="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0B7E02">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rsidR="000B7E02">
      <w:pPr>
        <w:numPr>
          <w:ilvl w:val="0"/>
          <w:numId w:val="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0B7E02">
      <w:pPr>
        <w:numPr>
          <w:ilvl w:val="0"/>
          <w:numId w:val="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0B7E02">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rsidR="000B7E02">
      <w:pPr>
        <w:numPr>
          <w:ilvl w:val="1"/>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0B7E02">
      <w:pPr>
        <w:numPr>
          <w:ilvl w:val="1"/>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0B7E02">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rsidR="000B7E02">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0B7E02">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0B7E02">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rsidR="000B7E02">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《中华人民共和国政府采购法》            </w:t>
      </w:r>
    </w:p>
    <w:p w:rsidR="000B7E02">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《中华人民共和国民法典》                </w:t>
      </w:r>
    </w:p>
    <w:p w:rsidR="000B7E02">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0B7E02">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rsidR="000B7E02">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《气象业务软件外包风险监管办法（试行）》（气办发〔2023〕37号） </w:t>
      </w:r>
    </w:p>
    <w:p w:rsidR="000B7E02">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0B7E02">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《关于统筹集约建设气象业务软件的指导意见》（气发〔2024〕8号） </w:t>
      </w:r>
    </w:p>
    <w:p w:rsidR="000B7E02">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w:t>
      </w:r>
      <w:r>
        <w:rPr>
          <w:rFonts w:ascii="宋体" w:eastAsia="宋体" w:hAnsi="宋体" w:cs="宋体"/>
          <w:szCs w:val="21"/>
          <w:u w:val="single"/>
        </w:rPr>
        <w:t>气预函</w:t>
      </w:r>
      <w:r>
        <w:rPr>
          <w:rFonts w:ascii="宋体" w:eastAsia="宋体" w:hAnsi="宋体" w:cs="宋体"/>
          <w:szCs w:val="21"/>
          <w:u w:val="single"/>
        </w:rPr>
        <w:t>〔2023〕76号）</w:t>
      </w:r>
    </w:p>
    <w:p w:rsidR="000B7E02">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rsidR="000B7E02">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rsidR="000B7E02">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《中国气象局网络安全管理办法（试行）》（气发〔2020〕41号）     </w:t>
      </w:r>
    </w:p>
    <w:p w:rsidR="000B7E02">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0B7E02">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rsidR="000B7E02">
      <w:pPr>
        <w:keepNext/>
        <w:keepLines/>
        <w:numPr>
          <w:ilvl w:val="0"/>
          <w:numId w:val="6"/>
        </w:numPr>
        <w:spacing w:before="60" w:after="60" w:line="360" w:lineRule="auto"/>
        <w:jc w:val="left"/>
        <w:outlineLvl w:val="1"/>
        <w:rPr>
          <w:rFonts w:ascii="宋体" w:eastAsia="宋体" w:hAnsi="宋体" w:cs="宋体"/>
          <w:b/>
          <w:bCs/>
          <w:szCs w:val="21"/>
        </w:rPr>
      </w:pPr>
      <w:bookmarkStart w:id="70" w:name="_Toc150439542"/>
      <w:r>
        <w:rPr>
          <w:rFonts w:ascii="宋体" w:eastAsia="宋体" w:hAnsi="宋体" w:cs="宋体" w:hint="eastAsia"/>
          <w:b/>
          <w:bCs/>
          <w:szCs w:val="21"/>
        </w:rPr>
        <w:t>组成本合同的文件</w:t>
      </w:r>
      <w:bookmarkEnd w:id="70"/>
    </w:p>
    <w:p w:rsidR="000B7E02">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rsidR="000B7E02">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rsidR="000B7E02">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rsidR="000B7E02">
      <w:pPr>
        <w:numPr>
          <w:ilvl w:val="0"/>
          <w:numId w:val="14"/>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rsidR="000B7E02">
      <w:pPr>
        <w:numPr>
          <w:ilvl w:val="0"/>
          <w:numId w:val="14"/>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rsidR="000B7E02">
      <w:pPr>
        <w:numPr>
          <w:ilvl w:val="0"/>
          <w:numId w:val="14"/>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rsidR="000B7E02">
      <w:pPr>
        <w:numPr>
          <w:ilvl w:val="0"/>
          <w:numId w:val="14"/>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rsidR="000B7E02">
      <w:pPr>
        <w:numPr>
          <w:ilvl w:val="0"/>
          <w:numId w:val="14"/>
        </w:numPr>
        <w:spacing w:line="360" w:lineRule="auto"/>
        <w:ind w:hanging="5"/>
        <w:jc w:val="left"/>
        <w:rPr>
          <w:rFonts w:ascii="宋体" w:eastAsia="宋体" w:hAnsi="宋体" w:cs="宋体"/>
          <w:szCs w:val="21"/>
        </w:rPr>
      </w:pPr>
      <w:r>
        <w:rPr>
          <w:rFonts w:ascii="宋体" w:eastAsia="宋体" w:hAnsi="宋体" w:cs="宋体"/>
          <w:szCs w:val="21"/>
        </w:rPr>
        <w:t>……</w:t>
      </w:r>
    </w:p>
    <w:p w:rsidR="000B7E02">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rsidR="000B7E02">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rsidR="000B7E02">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rsidR="000B7E02">
      <w:pPr>
        <w:keepNext/>
        <w:keepLines/>
        <w:numPr>
          <w:ilvl w:val="0"/>
          <w:numId w:val="6"/>
        </w:numPr>
        <w:spacing w:before="60" w:after="60" w:line="360" w:lineRule="auto"/>
        <w:jc w:val="left"/>
        <w:outlineLvl w:val="1"/>
        <w:rPr>
          <w:rFonts w:ascii="宋体" w:eastAsia="宋体" w:hAnsi="宋体" w:cs="宋体"/>
          <w:b/>
          <w:bCs/>
          <w:szCs w:val="21"/>
        </w:rPr>
      </w:pPr>
      <w:bookmarkStart w:id="71" w:name="_Toc150439545"/>
      <w:r>
        <w:rPr>
          <w:rFonts w:ascii="宋体" w:eastAsia="宋体" w:hAnsi="宋体" w:cs="宋体" w:hint="eastAsia"/>
          <w:b/>
          <w:bCs/>
          <w:szCs w:val="21"/>
        </w:rPr>
        <w:t>合同履行地点、合同服务期</w:t>
      </w:r>
      <w:bookmarkEnd w:id="71"/>
    </w:p>
    <w:p w:rsidR="000B7E02">
      <w:pPr>
        <w:numPr>
          <w:ilvl w:val="0"/>
          <w:numId w:val="1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rsidR="000B7E02">
      <w:pPr>
        <w:numPr>
          <w:ilvl w:val="0"/>
          <w:numId w:val="1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rsidR="000B7E02">
      <w:pPr>
        <w:keepNext/>
        <w:keepLines/>
        <w:numPr>
          <w:ilvl w:val="0"/>
          <w:numId w:val="6"/>
        </w:numPr>
        <w:spacing w:before="60" w:after="60" w:line="360" w:lineRule="auto"/>
        <w:outlineLvl w:val="1"/>
        <w:rPr>
          <w:rFonts w:ascii="宋体" w:eastAsia="宋体" w:hAnsi="宋体" w:cs="宋体"/>
          <w:b/>
          <w:bCs/>
          <w:szCs w:val="21"/>
        </w:rPr>
      </w:pPr>
      <w:bookmarkStart w:id="72" w:name="_Toc150439547"/>
      <w:r>
        <w:rPr>
          <w:rFonts w:ascii="宋体" w:eastAsia="宋体" w:hAnsi="宋体" w:cs="宋体" w:hint="eastAsia"/>
          <w:b/>
          <w:bCs/>
          <w:szCs w:val="21"/>
        </w:rPr>
        <w:t>服务范围及内容</w:t>
      </w:r>
      <w:bookmarkEnd w:id="72"/>
    </w:p>
    <w:p w:rsidR="000B7E02">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rsidR="000B7E02">
      <w:pPr>
        <w:numPr>
          <w:ilvl w:val="0"/>
          <w:numId w:val="16"/>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rsidR="000B7E02">
      <w:pPr>
        <w:numPr>
          <w:ilvl w:val="0"/>
          <w:numId w:val="16"/>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0B7E02">
      <w:pPr>
        <w:numPr>
          <w:ilvl w:val="0"/>
          <w:numId w:val="16"/>
        </w:numPr>
        <w:spacing w:line="360" w:lineRule="auto"/>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rsidR="000B7E02">
      <w:pPr>
        <w:numPr>
          <w:ilvl w:val="0"/>
          <w:numId w:val="16"/>
        </w:numPr>
        <w:spacing w:line="360" w:lineRule="auto"/>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0B7E02">
      <w:pPr>
        <w:numPr>
          <w:ilvl w:val="0"/>
          <w:numId w:val="16"/>
        </w:numPr>
        <w:spacing w:line="360" w:lineRule="auto"/>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0B7E02">
      <w:pPr>
        <w:numPr>
          <w:ilvl w:val="0"/>
          <w:numId w:val="16"/>
        </w:numPr>
        <w:spacing w:line="360" w:lineRule="auto"/>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0B7E02">
      <w:pPr>
        <w:numPr>
          <w:ilvl w:val="0"/>
          <w:numId w:val="16"/>
        </w:numPr>
        <w:spacing w:line="360" w:lineRule="auto"/>
        <w:rPr>
          <w:rFonts w:ascii="宋体" w:eastAsia="宋体" w:hAnsi="宋体" w:cs="宋体"/>
          <w:szCs w:val="21"/>
        </w:rPr>
      </w:pPr>
      <w:r>
        <w:rPr>
          <w:rFonts w:ascii="宋体" w:eastAsia="宋体" w:hAnsi="宋体" w:cs="宋体" w:hint="eastAsia"/>
          <w:szCs w:val="21"/>
        </w:rPr>
        <w:t>进度安排：</w:t>
      </w:r>
    </w:p>
    <w:p w:rsidR="000B7E02">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rsidR="000B7E02" w:rsidP="005069EB">
      <w:pPr>
        <w:numPr>
          <w:ilvl w:val="0"/>
          <w:numId w:val="17"/>
        </w:numPr>
        <w:spacing w:line="360" w:lineRule="auto"/>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10</w:t>
      </w:r>
      <w:r>
        <w:rPr>
          <w:rFonts w:ascii="宋体" w:eastAsia="宋体" w:hAnsi="宋体" w:cs="宋体"/>
          <w:szCs w:val="21"/>
          <w:u w:val="single"/>
        </w:rPr>
        <w:t xml:space="preserve"> </w:t>
      </w:r>
      <w:r>
        <w:rPr>
          <w:rFonts w:ascii="宋体" w:eastAsia="宋体" w:hAnsi="宋体" w:cs="宋体" w:hint="eastAsia"/>
          <w:szCs w:val="21"/>
        </w:rPr>
        <w:t>个</w:t>
      </w:r>
      <w:r>
        <w:rPr>
          <w:rFonts w:ascii="宋体" w:eastAsia="宋体" w:hAnsi="宋体" w:cs="宋体" w:hint="eastAsia"/>
          <w:szCs w:val="21"/>
        </w:rPr>
        <w:t>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r w:rsidRPr="005069EB">
        <w:rPr>
          <w:rFonts w:ascii="宋体" w:eastAsia="宋体" w:hAnsi="宋体" w:cs="宋体" w:hint="eastAsia"/>
          <w:b/>
          <w:szCs w:val="21"/>
        </w:rPr>
        <w:t>自合同签订后10个月内完成建设、试运行和验收，其中软件研发与部署6个月、试运行3个月、竣工验收1个月。</w:t>
      </w:r>
    </w:p>
    <w:p w:rsidR="000B7E02">
      <w:pPr>
        <w:numPr>
          <w:ilvl w:val="0"/>
          <w:numId w:val="1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7"/>
        <w:gridCol w:w="600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477" w:type="pct"/>
            <w:vAlign w:val="center"/>
          </w:tcPr>
          <w:p w:rsidR="000B7E02">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vAlign w:val="center"/>
          </w:tcPr>
          <w:p w:rsidR="000B7E02">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Look w:val="04A0"/>
        </w:tblPrEx>
        <w:tc>
          <w:tcPr>
            <w:tcW w:w="1477" w:type="pct"/>
            <w:vAlign w:val="center"/>
          </w:tcPr>
          <w:p w:rsidR="000B7E02">
            <w:pPr>
              <w:jc w:val="center"/>
              <w:rPr>
                <w:rFonts w:ascii="宋体" w:eastAsia="宋体" w:hAnsi="宋体" w:cs="宋体"/>
                <w:szCs w:val="21"/>
              </w:rPr>
            </w:pPr>
            <w:r>
              <w:rPr>
                <w:rFonts w:ascii="宋体" w:eastAsia="宋体" w:hAnsi="宋体" w:cs="宋体" w:hint="eastAsia"/>
                <w:szCs w:val="21"/>
              </w:rPr>
              <w:t>研究开发计划</w:t>
            </w:r>
          </w:p>
        </w:tc>
        <w:tc>
          <w:tcPr>
            <w:tcW w:w="3523" w:type="pct"/>
            <w:vAlign w:val="center"/>
          </w:tcPr>
          <w:p w:rsidR="000B7E02">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0B7E02">
            <w:pPr>
              <w:jc w:val="center"/>
              <w:rPr>
                <w:rFonts w:ascii="宋体" w:eastAsia="宋体" w:hAnsi="宋体" w:cs="宋体"/>
                <w:szCs w:val="21"/>
              </w:rPr>
            </w:pPr>
            <w:r>
              <w:rPr>
                <w:rFonts w:ascii="宋体" w:eastAsia="宋体" w:hAnsi="宋体" w:cs="宋体" w:hint="eastAsia"/>
                <w:szCs w:val="21"/>
              </w:rPr>
              <w:t xml:space="preserve"> 初设方案</w:t>
            </w:r>
          </w:p>
        </w:tc>
        <w:tc>
          <w:tcPr>
            <w:tcW w:w="3523" w:type="pct"/>
          </w:tcPr>
          <w:p w:rsidR="000B7E02">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0B7E02">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0B7E02">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0B7E02">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0B7E02">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0B7E02">
            <w:pPr>
              <w:jc w:val="center"/>
              <w:rPr>
                <w:rFonts w:ascii="宋体" w:eastAsia="宋体" w:hAnsi="宋体" w:cs="宋体"/>
                <w:szCs w:val="21"/>
              </w:rPr>
            </w:pPr>
            <w:r>
              <w:rPr>
                <w:rFonts w:ascii="宋体" w:eastAsia="宋体" w:hAnsi="宋体" w:cs="宋体" w:hint="eastAsia"/>
                <w:szCs w:val="21"/>
              </w:rPr>
              <w:t>安装、测试、培训</w:t>
            </w:r>
          </w:p>
        </w:tc>
        <w:tc>
          <w:tcPr>
            <w:tcW w:w="3523" w:type="pct"/>
          </w:tcPr>
          <w:p w:rsidR="000B7E02">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0B7E02">
            <w:pPr>
              <w:jc w:val="center"/>
              <w:rPr>
                <w:rFonts w:ascii="宋体" w:eastAsia="宋体" w:hAnsi="宋体" w:cs="宋体"/>
                <w:szCs w:val="21"/>
              </w:rPr>
            </w:pPr>
            <w:r>
              <w:rPr>
                <w:rFonts w:ascii="宋体" w:eastAsia="宋体" w:hAnsi="宋体" w:cs="宋体" w:hint="eastAsia"/>
                <w:szCs w:val="21"/>
              </w:rPr>
              <w:t>软件试运行</w:t>
            </w:r>
          </w:p>
        </w:tc>
        <w:tc>
          <w:tcPr>
            <w:tcW w:w="3523" w:type="pct"/>
          </w:tcPr>
          <w:p w:rsidR="000B7E02">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0B7E02">
            <w:pPr>
              <w:jc w:val="center"/>
              <w:rPr>
                <w:rFonts w:ascii="宋体" w:eastAsia="宋体" w:hAnsi="宋体" w:cs="宋体"/>
                <w:szCs w:val="21"/>
              </w:rPr>
            </w:pPr>
            <w:r>
              <w:rPr>
                <w:rFonts w:ascii="宋体" w:eastAsia="宋体" w:hAnsi="宋体" w:cs="宋体" w:hint="eastAsia"/>
                <w:szCs w:val="21"/>
              </w:rPr>
              <w:t>项目验收</w:t>
            </w:r>
          </w:p>
        </w:tc>
        <w:tc>
          <w:tcPr>
            <w:tcW w:w="3523" w:type="pct"/>
          </w:tcPr>
          <w:p w:rsidR="000B7E02">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rsidR="000B7E02">
      <w:pPr>
        <w:keepNext/>
        <w:keepLines/>
        <w:numPr>
          <w:ilvl w:val="0"/>
          <w:numId w:val="6"/>
        </w:numPr>
        <w:spacing w:before="60" w:after="60" w:line="360" w:lineRule="auto"/>
        <w:outlineLvl w:val="1"/>
        <w:rPr>
          <w:rFonts w:ascii="宋体" w:eastAsia="宋体" w:hAnsi="宋体" w:cs="宋体"/>
          <w:b/>
          <w:bCs/>
          <w:szCs w:val="21"/>
        </w:rPr>
      </w:pPr>
      <w:bookmarkStart w:id="73" w:name="_Toc150439549"/>
      <w:r>
        <w:rPr>
          <w:rFonts w:ascii="宋体" w:eastAsia="宋体" w:hAnsi="宋体" w:cs="宋体" w:hint="eastAsia"/>
          <w:b/>
          <w:bCs/>
          <w:szCs w:val="21"/>
        </w:rPr>
        <w:t>乙方的权利与义务</w:t>
      </w:r>
      <w:bookmarkEnd w:id="73"/>
    </w:p>
    <w:p w:rsidR="000B7E02">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rsidR="000B7E02">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rsidR="000B7E02">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开发团队中X人需驻场开发，驻场地址为           ；                       </w:t>
      </w:r>
    </w:p>
    <w:p w:rsidR="000B7E02">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投入所必需的XXX等软硬件设施资源及XXX场地；                         </w:t>
      </w:r>
    </w:p>
    <w:p w:rsidR="000B7E02">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制定针对本项目的备份恢复措施和应急预案；                             </w:t>
      </w:r>
    </w:p>
    <w:p w:rsidR="000B7E02">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具有XXX等内控、保密和管理制度。                                     </w:t>
      </w:r>
    </w:p>
    <w:p w:rsidR="000B7E02">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rsidR="000B7E02">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rsidR="000B7E02">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用于本项目的设施、系统和数据与其他项目有明确、清晰的边界；            </w:t>
      </w:r>
    </w:p>
    <w:p w:rsidR="000B7E02">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对用于本项目的乙方服务器、存储、网络设备、操作系统、数据库、中间件等软硬件设施具有最高管理权限；                                                  </w:t>
      </w:r>
    </w:p>
    <w:p w:rsidR="000B7E02">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不存在规避监管的情形。                                                </w:t>
      </w:r>
    </w:p>
    <w:p w:rsidR="000B7E02">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rsidR="000B7E02">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工作日内向甲方提交研究开发计划。研究开发计划应包括以下主要内容：</w:t>
      </w:r>
    </w:p>
    <w:p w:rsidR="000B7E02">
      <w:pPr>
        <w:numPr>
          <w:ilvl w:val="0"/>
          <w:numId w:val="21"/>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rsidR="000B7E02">
      <w:pPr>
        <w:numPr>
          <w:ilvl w:val="0"/>
          <w:numId w:val="21"/>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rsidR="000B7E02">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rsidR="000B7E02">
      <w:pPr>
        <w:numPr>
          <w:ilvl w:val="0"/>
          <w:numId w:val="22"/>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rsidR="000B7E02">
      <w:pPr>
        <w:numPr>
          <w:ilvl w:val="0"/>
          <w:numId w:val="22"/>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rsidR="000B7E02">
      <w:pPr>
        <w:numPr>
          <w:ilvl w:val="0"/>
          <w:numId w:val="22"/>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rsidR="000B7E02">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rsidR="000B7E02">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rsidR="000B7E02">
      <w:pPr>
        <w:numPr>
          <w:ilvl w:val="0"/>
          <w:numId w:val="18"/>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rsidR="000B7E02">
      <w:pPr>
        <w:numPr>
          <w:ilvl w:val="0"/>
          <w:numId w:val="18"/>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0B7E02">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rsidR="000B7E02">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w:t>
      </w:r>
      <w:r>
        <w:rPr>
          <w:rFonts w:ascii="宋体" w:eastAsia="宋体" w:hAnsi="宋体" w:cs="宋体" w:hint="eastAsia"/>
          <w:szCs w:val="21"/>
        </w:rPr>
        <w:t>原人员</w:t>
      </w:r>
      <w:r>
        <w:rPr>
          <w:rFonts w:ascii="宋体" w:eastAsia="宋体" w:hAnsi="宋体" w:cs="宋体" w:hint="eastAsia"/>
          <w:szCs w:val="21"/>
        </w:rPr>
        <w:t>相当。如甲方认为需要调整项目经理、技术负责人和软件开发人员的，应与乙方协商一致后调整。</w:t>
      </w:r>
    </w:p>
    <w:p w:rsidR="000B7E02" w:rsidP="005069EB">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4" w:name="_Toc150439565"/>
      <w:r>
        <w:rPr>
          <w:rFonts w:ascii="宋体" w:eastAsia="宋体" w:hAnsi="宋体" w:cs="宋体" w:hint="eastAsia"/>
          <w:b/>
          <w:bCs/>
          <w:szCs w:val="21"/>
        </w:rPr>
        <w:t>甲方</w:t>
      </w:r>
      <w:r>
        <w:rPr>
          <w:rFonts w:ascii="宋体" w:eastAsia="宋体" w:hAnsi="宋体" w:cs="宋体"/>
          <w:b/>
          <w:bCs/>
          <w:szCs w:val="21"/>
        </w:rPr>
        <w:t>的权利与义务</w:t>
      </w:r>
      <w:bookmarkEnd w:id="74"/>
    </w:p>
    <w:p w:rsidR="000B7E02" w:rsidP="005069EB">
      <w:pPr>
        <w:numPr>
          <w:ilvl w:val="0"/>
          <w:numId w:val="23"/>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rsidR="000B7E02">
      <w:pPr>
        <w:numPr>
          <w:ilvl w:val="0"/>
          <w:numId w:val="24"/>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0B7E02">
      <w:pPr>
        <w:numPr>
          <w:ilvl w:val="0"/>
          <w:numId w:val="24"/>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0B7E02">
      <w:pPr>
        <w:numPr>
          <w:ilvl w:val="0"/>
          <w:numId w:val="24"/>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0B7E02">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0B7E02" w:rsidP="005069EB">
      <w:pPr>
        <w:numPr>
          <w:ilvl w:val="0"/>
          <w:numId w:val="23"/>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rsidR="000B7E02" w:rsidP="005069EB">
      <w:pPr>
        <w:numPr>
          <w:ilvl w:val="0"/>
          <w:numId w:val="23"/>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0B7E02">
      <w:pPr>
        <w:numPr>
          <w:ilvl w:val="0"/>
          <w:numId w:val="23"/>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rsidR="000B7E02" w:rsidP="005069EB">
      <w:pPr>
        <w:keepNext/>
        <w:keepLines/>
        <w:numPr>
          <w:ilvl w:val="0"/>
          <w:numId w:val="6"/>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rsidR="000B7E02">
      <w:pPr>
        <w:numPr>
          <w:ilvl w:val="0"/>
          <w:numId w:val="25"/>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rsidR="000B7E02">
      <w:pPr>
        <w:numPr>
          <w:ilvl w:val="0"/>
          <w:numId w:val="25"/>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rsidR="000B7E02">
      <w:pPr>
        <w:numPr>
          <w:ilvl w:val="0"/>
          <w:numId w:val="25"/>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w:t>
      </w:r>
      <w:r>
        <w:rPr>
          <w:rFonts w:ascii="宋体" w:eastAsia="宋体" w:hAnsi="宋体" w:cs="宋体"/>
          <w:szCs w:val="21"/>
        </w:rPr>
        <w:t>目使用，如由于乙方原因发生数据丢失、泄露，由乙方承担事故责任。</w:t>
      </w:r>
    </w:p>
    <w:p w:rsidR="000B7E02">
      <w:pPr>
        <w:numPr>
          <w:ilvl w:val="0"/>
          <w:numId w:val="25"/>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rsidR="000B7E02">
      <w:pPr>
        <w:numPr>
          <w:ilvl w:val="0"/>
          <w:numId w:val="25"/>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rsidR="000B7E02" w:rsidP="005069EB">
      <w:pPr>
        <w:keepNext/>
        <w:keepLines/>
        <w:numPr>
          <w:ilvl w:val="0"/>
          <w:numId w:val="6"/>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rsidR="000B7E02">
      <w:pPr>
        <w:numPr>
          <w:ilvl w:val="0"/>
          <w:numId w:val="26"/>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rsidR="000B7E02">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rsidR="000B7E02">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rsidR="000B7E02">
      <w:pPr>
        <w:numPr>
          <w:ilvl w:val="0"/>
          <w:numId w:val="27"/>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rsidR="000B7E02">
      <w:pPr>
        <w:numPr>
          <w:ilvl w:val="0"/>
          <w:numId w:val="27"/>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 </w:t>
      </w:r>
    </w:p>
    <w:p w:rsidR="000B7E02">
      <w:pPr>
        <w:numPr>
          <w:ilvl w:val="0"/>
          <w:numId w:val="27"/>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rsidR="000B7E02">
      <w:pPr>
        <w:numPr>
          <w:ilvl w:val="0"/>
          <w:numId w:val="27"/>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rsidR="000B7E02">
      <w:pPr>
        <w:numPr>
          <w:ilvl w:val="0"/>
          <w:numId w:val="26"/>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rsidR="000B7E02">
      <w:pPr>
        <w:numPr>
          <w:ilvl w:val="0"/>
          <w:numId w:val="28"/>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rsidR="000B7E02">
      <w:pPr>
        <w:numPr>
          <w:ilvl w:val="0"/>
          <w:numId w:val="28"/>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rsidR="000B7E02">
      <w:pPr>
        <w:numPr>
          <w:ilvl w:val="0"/>
          <w:numId w:val="28"/>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rsidR="000B7E02" w:rsidP="005069EB">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5" w:name="_Toc150439567"/>
      <w:r>
        <w:rPr>
          <w:rFonts w:ascii="宋体" w:eastAsia="宋体" w:hAnsi="宋体" w:cs="宋体" w:hint="eastAsia"/>
          <w:b/>
          <w:bCs/>
          <w:szCs w:val="21"/>
        </w:rPr>
        <w:t>项目交付</w:t>
      </w:r>
      <w:bookmarkEnd w:id="75"/>
    </w:p>
    <w:p w:rsidR="000B7E02">
      <w:pPr>
        <w:numPr>
          <w:ilvl w:val="0"/>
          <w:numId w:val="29"/>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rsidR="000B7E02">
      <w:pPr>
        <w:numPr>
          <w:ilvl w:val="0"/>
          <w:numId w:val="30"/>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rsidR="000B7E02">
      <w:pPr>
        <w:ind w:firstLine="420" w:firstLineChars="200"/>
        <w:rPr>
          <w:rFonts w:ascii="宋体" w:eastAsia="宋体" w:hAnsi="宋体" w:cs="宋体"/>
          <w:szCs w:val="21"/>
          <w:u w:val="single"/>
        </w:rPr>
      </w:pPr>
      <w:r>
        <w:rPr>
          <w:rFonts w:ascii="宋体" w:eastAsia="宋体" w:hAnsi="宋体" w:cs="宋体" w:hint="eastAsia"/>
          <w:szCs w:val="21"/>
          <w:u w:val="single"/>
        </w:rPr>
        <w:t xml:space="preserve">需求分析、需求规格说明书、系统原型；    </w:t>
      </w:r>
    </w:p>
    <w:p w:rsidR="000B7E02">
      <w:pPr>
        <w:ind w:firstLine="420" w:firstLineChars="200"/>
        <w:rPr>
          <w:rFonts w:ascii="宋体" w:eastAsia="宋体" w:hAnsi="宋体" w:cs="宋体"/>
          <w:szCs w:val="21"/>
          <w:u w:val="single"/>
        </w:rPr>
      </w:pPr>
      <w:r>
        <w:rPr>
          <w:rFonts w:ascii="宋体" w:eastAsia="宋体" w:hAnsi="宋体" w:cs="宋体" w:hint="eastAsia"/>
          <w:szCs w:val="21"/>
          <w:u w:val="single"/>
        </w:rPr>
        <w:t xml:space="preserve">概要设计、详细设计方案；                </w:t>
      </w:r>
    </w:p>
    <w:p w:rsidR="000B7E02">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运行正常的系统；                        </w:t>
      </w:r>
    </w:p>
    <w:p w:rsidR="000B7E02">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rsidR="000B7E02">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软件使用手册；                          </w:t>
      </w:r>
    </w:p>
    <w:p w:rsidR="000B7E02">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软件技术说明；                          </w:t>
      </w:r>
    </w:p>
    <w:p w:rsidR="000B7E02">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软件测试大纲、测试报告；                </w:t>
      </w:r>
    </w:p>
    <w:p w:rsidR="000B7E02">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rsidR="000B7E02">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rsidR="000B7E02">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（以上文档提供电子版x套，硬拷贝x套）。</w:t>
      </w:r>
    </w:p>
    <w:p w:rsidR="000B7E02">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             在            交付。</w:t>
      </w:r>
    </w:p>
    <w:p w:rsidR="000B7E02">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rsidR="000B7E02">
      <w:pPr>
        <w:ind w:firstLine="420" w:firstLineChars="200"/>
        <w:rPr>
          <w:rFonts w:ascii="宋体" w:eastAsia="宋体" w:hAnsi="宋体" w:cs="宋体"/>
          <w:szCs w:val="21"/>
        </w:rPr>
      </w:pPr>
      <w:r>
        <w:rPr>
          <w:rFonts w:ascii="宋体" w:eastAsia="宋体" w:hAnsi="宋体" w:cs="宋体" w:hint="eastAsia"/>
          <w:szCs w:val="21"/>
        </w:rPr>
        <w:t>资料清单:______________________</w:t>
      </w:r>
    </w:p>
    <w:p w:rsidR="000B7E02">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rsidR="000B7E02">
      <w:pPr>
        <w:numPr>
          <w:ilvl w:val="0"/>
          <w:numId w:val="29"/>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rsidR="000B7E02">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rsidR="000B7E02">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rsidR="000B7E02">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rsidR="000B7E02">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rsidR="000B7E02">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rsidR="000B7E02">
      <w:pPr>
        <w:numPr>
          <w:ilvl w:val="0"/>
          <w:numId w:val="29"/>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rsidR="000B7E02">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rsidR="000B7E02">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rsidR="000B7E02">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rsidR="000B7E02" w:rsidP="005069EB">
      <w:pPr>
        <w:keepNext/>
        <w:keepLines/>
        <w:numPr>
          <w:ilvl w:val="0"/>
          <w:numId w:val="6"/>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rsidR="000B7E02">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rsidR="000B7E02" w:rsidP="006254D1">
      <w:pPr>
        <w:numPr>
          <w:ilvl w:val="0"/>
          <w:numId w:val="3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w:t>
      </w:r>
    </w:p>
    <w:p w:rsidR="000B7E02">
      <w:pPr>
        <w:numPr>
          <w:ilvl w:val="0"/>
          <w:numId w:val="3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 xml:space="preserve">研究开发经费由甲方分期支付给乙方。具体支付方式和时间如下： </w:t>
      </w:r>
    </w:p>
    <w:p w:rsidR="000B7E02">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w:t>
      </w:r>
    </w:p>
    <w:p w:rsidR="006254D1" w:rsidRPr="006254D1" w:rsidP="006254D1">
      <w:pPr>
        <w:tabs>
          <w:tab w:val="left" w:pos="720"/>
        </w:tabs>
        <w:ind w:firstLine="420" w:firstLineChars="200"/>
        <w:rPr>
          <w:rFonts w:ascii="宋体" w:eastAsia="宋体" w:hAnsi="宋体" w:cs="宋体" w:hint="eastAsia"/>
          <w:b/>
          <w:szCs w:val="21"/>
        </w:rPr>
      </w:pPr>
      <w:r w:rsidRPr="006254D1">
        <w:rPr>
          <w:rFonts w:ascii="宋体" w:eastAsia="宋体" w:hAnsi="宋体" w:cs="宋体" w:hint="eastAsia"/>
          <w:b/>
          <w:szCs w:val="21"/>
        </w:rPr>
        <w:t>（1）预付款：合同签订生效、乙方提交预付款同等金额的履约保函后，10个工作日内，甲方向乙方支付合同总价的30%作为项目预付款，乙方开具合法合</w:t>
      </w:r>
      <w:r w:rsidRPr="006254D1">
        <w:rPr>
          <w:rFonts w:ascii="宋体" w:eastAsia="宋体" w:hAnsi="宋体" w:cs="宋体" w:hint="eastAsia"/>
          <w:b/>
          <w:szCs w:val="21"/>
        </w:rPr>
        <w:t>规</w:t>
      </w:r>
      <w:r w:rsidRPr="006254D1">
        <w:rPr>
          <w:rFonts w:ascii="宋体" w:eastAsia="宋体" w:hAnsi="宋体" w:cs="宋体" w:hint="eastAsia"/>
          <w:b/>
          <w:szCs w:val="21"/>
        </w:rPr>
        <w:t>的等额发票。</w:t>
      </w:r>
    </w:p>
    <w:p w:rsidR="006254D1" w:rsidRPr="006254D1" w:rsidP="006254D1">
      <w:pPr>
        <w:tabs>
          <w:tab w:val="left" w:pos="720"/>
        </w:tabs>
        <w:ind w:firstLine="420" w:firstLineChars="200"/>
        <w:rPr>
          <w:rFonts w:ascii="宋体" w:eastAsia="宋体" w:hAnsi="宋体" w:cs="宋体" w:hint="eastAsia"/>
          <w:b/>
          <w:szCs w:val="21"/>
        </w:rPr>
      </w:pPr>
      <w:r w:rsidRPr="006254D1">
        <w:rPr>
          <w:rFonts w:ascii="宋体" w:eastAsia="宋体" w:hAnsi="宋体" w:cs="宋体" w:hint="eastAsia"/>
          <w:b/>
          <w:szCs w:val="21"/>
        </w:rPr>
        <w:t>（2）项目验收合格，资料全部归档后，10个工作日内，乙方开具合法合</w:t>
      </w:r>
      <w:r w:rsidRPr="006254D1">
        <w:rPr>
          <w:rFonts w:ascii="宋体" w:eastAsia="宋体" w:hAnsi="宋体" w:cs="宋体" w:hint="eastAsia"/>
          <w:b/>
          <w:szCs w:val="21"/>
        </w:rPr>
        <w:t>规</w:t>
      </w:r>
      <w:r w:rsidRPr="006254D1">
        <w:rPr>
          <w:rFonts w:ascii="宋体" w:eastAsia="宋体" w:hAnsi="宋体" w:cs="宋体" w:hint="eastAsia"/>
          <w:b/>
          <w:szCs w:val="21"/>
        </w:rPr>
        <w:t>的等额发票，甲方向乙方支付至合同总价的100%。</w:t>
      </w:r>
    </w:p>
    <w:p w:rsidR="000B7E02" w:rsidRPr="006254D1" w:rsidP="006254D1">
      <w:pPr>
        <w:tabs>
          <w:tab w:val="left" w:pos="720"/>
        </w:tabs>
        <w:ind w:firstLine="420" w:firstLineChars="200"/>
        <w:rPr>
          <w:rFonts w:ascii="宋体" w:eastAsia="宋体" w:hAnsi="宋体" w:cs="宋体"/>
          <w:b/>
          <w:szCs w:val="21"/>
        </w:rPr>
      </w:pPr>
      <w:r w:rsidRPr="006254D1">
        <w:rPr>
          <w:rFonts w:ascii="宋体" w:eastAsia="宋体" w:hAnsi="宋体" w:cs="宋体" w:hint="eastAsia"/>
          <w:b/>
          <w:szCs w:val="21"/>
        </w:rPr>
        <w:t>（3）因财政资金拨付流程、政策调整等非甲方原因造成付款延迟的，甲方不承担违约责任。</w:t>
      </w:r>
    </w:p>
    <w:p w:rsidR="000B7E02">
      <w:pPr>
        <w:numPr>
          <w:ilvl w:val="0"/>
          <w:numId w:val="32"/>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履约保证金</w:t>
      </w:r>
    </w:p>
    <w:p w:rsidR="006254D1" w:rsidP="006254D1">
      <w:pPr>
        <w:tabs>
          <w:tab w:val="left" w:pos="720"/>
        </w:tabs>
        <w:spacing w:line="360" w:lineRule="auto"/>
        <w:ind w:left="860"/>
        <w:rPr>
          <w:rFonts w:ascii="宋体" w:eastAsia="宋体" w:hAnsi="宋体" w:cs="宋体"/>
          <w:szCs w:val="21"/>
        </w:rPr>
      </w:pPr>
      <w:r>
        <w:rPr>
          <w:rFonts w:ascii="宋体" w:eastAsia="宋体" w:hAnsi="宋体" w:cs="宋体" w:hint="eastAsia"/>
          <w:szCs w:val="21"/>
        </w:rPr>
        <w:t>不涉及履约保证金。</w:t>
      </w:r>
    </w:p>
    <w:p w:rsidR="000B7E02">
      <w:pPr>
        <w:numPr>
          <w:ilvl w:val="0"/>
          <w:numId w:val="3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0B7E02">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tcPr>
          <w:p w:rsidR="000B7E02">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Look w:val="04A0"/>
        </w:tblPrEx>
        <w:tc>
          <w:tcPr>
            <w:tcW w:w="2500" w:type="pct"/>
          </w:tcPr>
          <w:p w:rsidR="000B7E02">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tcPr>
          <w:p w:rsidR="000B7E02">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Look w:val="04A0"/>
        </w:tblPrEx>
        <w:tc>
          <w:tcPr>
            <w:tcW w:w="2500" w:type="pct"/>
          </w:tcPr>
          <w:p w:rsidR="000B7E02">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tcPr>
          <w:p w:rsidR="000B7E02">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Look w:val="04A0"/>
        </w:tblPrEx>
        <w:tc>
          <w:tcPr>
            <w:tcW w:w="2500" w:type="pct"/>
          </w:tcPr>
          <w:p w:rsidR="000B7E02">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tcPr>
          <w:p w:rsidR="000B7E02">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rsidR="000B7E02">
      <w:pPr>
        <w:numPr>
          <w:ilvl w:val="0"/>
          <w:numId w:val="3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rsidR="000B7E02">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rsidR="000B7E02">
      <w:pPr>
        <w:numPr>
          <w:ilvl w:val="0"/>
          <w:numId w:val="33"/>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rsidR="000B7E02">
      <w:pPr>
        <w:numPr>
          <w:ilvl w:val="0"/>
          <w:numId w:val="33"/>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rsidR="000B7E02">
      <w:pPr>
        <w:numPr>
          <w:ilvl w:val="0"/>
          <w:numId w:val="33"/>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rsidR="000B7E02">
      <w:pPr>
        <w:numPr>
          <w:ilvl w:val="0"/>
          <w:numId w:val="33"/>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rsidR="000B7E02" w:rsidP="005069EB">
      <w:pPr>
        <w:keepNext/>
        <w:keepLines/>
        <w:numPr>
          <w:ilvl w:val="0"/>
          <w:numId w:val="6"/>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b/>
          <w:bCs/>
          <w:szCs w:val="21"/>
        </w:rPr>
        <w:t>税务条款</w:t>
      </w:r>
    </w:p>
    <w:p w:rsidR="000B7E02">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0B7E02" w:rsidP="005069EB">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6" w:name="_Toc150439569"/>
      <w:r>
        <w:rPr>
          <w:rFonts w:ascii="宋体" w:eastAsia="宋体" w:hAnsi="宋体" w:cs="宋体" w:hint="eastAsia"/>
          <w:b/>
          <w:bCs/>
          <w:szCs w:val="21"/>
        </w:rPr>
        <w:t>项目验收</w:t>
      </w:r>
      <w:bookmarkEnd w:id="76"/>
    </w:p>
    <w:p w:rsidR="000B7E02">
      <w:pPr>
        <w:ind w:firstLine="420" w:firstLineChars="200"/>
        <w:rPr>
          <w:rFonts w:ascii="宋体" w:eastAsia="宋体" w:hAnsi="宋体" w:cs="宋体"/>
          <w:szCs w:val="21"/>
        </w:rPr>
      </w:pPr>
      <w:r>
        <w:rPr>
          <w:rFonts w:ascii="宋体" w:eastAsia="宋体" w:hAnsi="宋体" w:cs="宋体" w:hint="eastAsia"/>
          <w:szCs w:val="21"/>
        </w:rPr>
        <w:t>1.系统测试</w:t>
      </w:r>
    </w:p>
    <w:p w:rsidR="000B7E02">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rsidR="000B7E02">
      <w:pPr>
        <w:numPr>
          <w:ilvl w:val="0"/>
          <w:numId w:val="34"/>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rsidR="000B7E02">
      <w:pPr>
        <w:numPr>
          <w:ilvl w:val="0"/>
          <w:numId w:val="34"/>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rsidR="000B7E02">
      <w:pPr>
        <w:numPr>
          <w:ilvl w:val="0"/>
          <w:numId w:val="34"/>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全部源代码（电子版）；                                                      </w:t>
      </w:r>
    </w:p>
    <w:p w:rsidR="000B7E02">
      <w:pPr>
        <w:numPr>
          <w:ilvl w:val="0"/>
          <w:numId w:val="34"/>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rsidR="000B7E02">
      <w:pPr>
        <w:ind w:firstLine="420" w:firstLineChars="200"/>
        <w:rPr>
          <w:rFonts w:ascii="宋体" w:eastAsia="宋体" w:hAnsi="宋体" w:cs="宋体"/>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0B7E02">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   】</w:t>
      </w:r>
      <w:r>
        <w:rPr>
          <w:rFonts w:ascii="宋体" w:eastAsia="宋体" w:hAnsi="宋体" w:cs="宋体" w:hint="eastAsia"/>
          <w:szCs w:val="21"/>
        </w:rPr>
        <w:t>个</w:t>
      </w:r>
      <w:r>
        <w:rPr>
          <w:rFonts w:ascii="宋体" w:eastAsia="宋体" w:hAnsi="宋体" w:cs="宋体" w:hint="eastAsia"/>
          <w:szCs w:val="21"/>
        </w:rPr>
        <w:t>工作日内组织由甲方或甲方委托的第三方主持的软件测试，乙方参加，对软件进行测试。测试时应有甲方现场确认交付的全部源代码通过编译获得可执行程序的环节。</w:t>
      </w:r>
    </w:p>
    <w:p w:rsidR="000B7E02">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rsidR="000B7E02">
      <w:pPr>
        <w:tabs>
          <w:tab w:val="left" w:pos="720"/>
        </w:tabs>
        <w:ind w:firstLine="420" w:firstLineChars="200"/>
        <w:rPr>
          <w:rFonts w:ascii="宋体" w:eastAsia="宋体" w:hAnsi="宋体" w:cs="宋体"/>
          <w:szCs w:val="21"/>
        </w:rPr>
      </w:pPr>
      <w:r>
        <w:rPr>
          <w:rFonts w:ascii="宋体" w:eastAsia="宋体" w:hAnsi="宋体" w:cs="宋体" w:hint="eastAsia"/>
          <w:szCs w:val="21"/>
        </w:rPr>
        <w:t>2.项目初验</w:t>
      </w:r>
    </w:p>
    <w:p w:rsidR="000B7E02">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rsidR="000B7E02">
      <w:pPr>
        <w:tabs>
          <w:tab w:val="left" w:pos="720"/>
        </w:tabs>
        <w:ind w:firstLine="420" w:firstLineChars="200"/>
        <w:rPr>
          <w:rFonts w:ascii="宋体" w:eastAsia="宋体" w:hAnsi="宋体" w:cs="宋体"/>
          <w:szCs w:val="21"/>
        </w:rPr>
      </w:pPr>
      <w:r>
        <w:rPr>
          <w:rFonts w:ascii="宋体" w:eastAsia="宋体" w:hAnsi="宋体" w:cs="宋体" w:hint="eastAsia"/>
          <w:szCs w:val="21"/>
        </w:rPr>
        <w:t>3.系统试运行</w:t>
      </w:r>
    </w:p>
    <w:p w:rsidR="000B7E02">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 xml:space="preserve">月的试运行权利。试运行期间，乙方应进行全程跟踪，提供全面技术支持服务，及时修改、完善、补充系统功能，确保试运行的顺利进行。   </w:t>
      </w:r>
    </w:p>
    <w:p w:rsidR="000B7E02">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w:t>
      </w:r>
      <w:r>
        <w:rPr>
          <w:rFonts w:ascii="宋体" w:eastAsia="宋体" w:hAnsi="宋体" w:cs="宋体" w:hint="eastAsia"/>
          <w:szCs w:val="21"/>
        </w:rPr>
        <w:t>除后重新计算。</w:t>
      </w:r>
    </w:p>
    <w:p w:rsidR="000B7E02">
      <w:pPr>
        <w:ind w:firstLine="420" w:firstLineChars="200"/>
        <w:rPr>
          <w:rFonts w:ascii="宋体" w:eastAsia="宋体" w:hAnsi="宋体" w:cs="宋体"/>
          <w:szCs w:val="21"/>
        </w:rPr>
      </w:pPr>
      <w:r>
        <w:rPr>
          <w:rFonts w:ascii="宋体" w:eastAsia="宋体" w:hAnsi="宋体" w:cs="宋体" w:hint="eastAsia"/>
          <w:szCs w:val="21"/>
        </w:rPr>
        <w:t>4.项目终验</w:t>
      </w:r>
    </w:p>
    <w:p w:rsidR="000B7E02">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w:t>
      </w:r>
      <w:r>
        <w:rPr>
          <w:rFonts w:ascii="宋体" w:eastAsia="宋体" w:hAnsi="宋体" w:cs="宋体" w:hint="eastAsia"/>
          <w:szCs w:val="21"/>
        </w:rPr>
        <w:t>验通过</w:t>
      </w:r>
      <w:r>
        <w:rPr>
          <w:rFonts w:ascii="宋体" w:eastAsia="宋体" w:hAnsi="宋体" w:cs="宋体" w:hint="eastAsia"/>
          <w:szCs w:val="21"/>
        </w:rPr>
        <w:t>后签署终验报告。</w:t>
      </w:r>
    </w:p>
    <w:p w:rsidR="000B7E02">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rsidR="000B7E02" w:rsidP="005069EB">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7" w:name="_Toc150439566"/>
      <w:r>
        <w:rPr>
          <w:rFonts w:ascii="宋体" w:eastAsia="宋体" w:hAnsi="宋体" w:cs="宋体" w:hint="eastAsia"/>
          <w:b/>
          <w:bCs/>
          <w:szCs w:val="21"/>
        </w:rPr>
        <w:t>质量保证</w:t>
      </w:r>
      <w:bookmarkEnd w:id="77"/>
    </w:p>
    <w:p w:rsidR="000B7E02">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rsidR="000B7E02">
      <w:pPr>
        <w:numPr>
          <w:ilvl w:val="0"/>
          <w:numId w:val="35"/>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rsidR="000B7E02">
      <w:pPr>
        <w:numPr>
          <w:ilvl w:val="0"/>
          <w:numId w:val="35"/>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rsidR="000B7E02">
      <w:pPr>
        <w:numPr>
          <w:ilvl w:val="0"/>
          <w:numId w:val="35"/>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rsidR="000B7E02">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rsidR="000B7E02">
      <w:pPr>
        <w:numPr>
          <w:ilvl w:val="0"/>
          <w:numId w:val="35"/>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0B7E02">
      <w:pPr>
        <w:numPr>
          <w:ilvl w:val="0"/>
          <w:numId w:val="35"/>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rsidR="000B7E02" w:rsidP="005069EB">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8" w:name="_Toc150439612"/>
      <w:r>
        <w:rPr>
          <w:rFonts w:ascii="宋体" w:eastAsia="宋体" w:hAnsi="宋体" w:cs="宋体" w:hint="eastAsia"/>
          <w:b/>
          <w:bCs/>
          <w:szCs w:val="21"/>
        </w:rPr>
        <w:t>保密条款（保密协议）</w:t>
      </w:r>
      <w:bookmarkEnd w:id="78"/>
    </w:p>
    <w:p w:rsidR="000B7E02">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rsidR="000B7E02">
      <w:pPr>
        <w:numPr>
          <w:ilvl w:val="0"/>
          <w:numId w:val="36"/>
        </w:numPr>
        <w:spacing w:line="360" w:lineRule="auto"/>
        <w:ind w:firstLine="420" w:firstLineChars="200"/>
        <w:rPr>
          <w:rFonts w:ascii="宋体" w:eastAsia="宋体" w:hAnsi="宋体" w:cs="宋体"/>
          <w:szCs w:val="21"/>
        </w:rPr>
      </w:pPr>
      <w:bookmarkStart w:id="79"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0B7E02">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rsidR="000B7E02">
      <w:pPr>
        <w:numPr>
          <w:ilvl w:val="0"/>
          <w:numId w:val="36"/>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rsidR="000B7E02">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79"/>
    <w:p w:rsidR="000B7E02">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rsidR="000B7E02">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rsidR="000B7E02">
      <w:pPr>
        <w:numPr>
          <w:ilvl w:val="0"/>
          <w:numId w:val="38"/>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rsidR="000B7E02">
      <w:pPr>
        <w:numPr>
          <w:ilvl w:val="0"/>
          <w:numId w:val="38"/>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rsidR="000B7E02">
      <w:pPr>
        <w:numPr>
          <w:ilvl w:val="0"/>
          <w:numId w:val="38"/>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涉及国家秘密和安全的 ，依照有关保密规定执行。                          </w:t>
      </w:r>
    </w:p>
    <w:p w:rsidR="000B7E02">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rsidR="000B7E02">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80" w:name="_Hlk150343509"/>
      <w:r>
        <w:rPr>
          <w:rFonts w:ascii="宋体" w:eastAsia="宋体" w:hAnsi="宋体" w:cs="宋体" w:hint="eastAsia"/>
          <w:szCs w:val="21"/>
          <w:u w:val="single"/>
        </w:rPr>
        <w:t xml:space="preserve">                             </w:t>
      </w:r>
      <w:bookmarkEnd w:id="80"/>
      <w:r>
        <w:rPr>
          <w:rFonts w:ascii="宋体" w:eastAsia="宋体" w:hAnsi="宋体" w:cs="宋体" w:hint="eastAsia"/>
          <w:szCs w:val="21"/>
          <w:u w:val="single"/>
        </w:rPr>
        <w:t xml:space="preserve">                                </w:t>
      </w:r>
    </w:p>
    <w:p w:rsidR="000B7E02">
      <w:pPr>
        <w:numPr>
          <w:ilvl w:val="0"/>
          <w:numId w:val="37"/>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rsidR="000B7E02">
      <w:pPr>
        <w:ind w:firstLine="420" w:firstLineChars="200"/>
        <w:rPr>
          <w:rFonts w:ascii="宋体" w:eastAsia="宋体" w:hAnsi="宋体" w:cs="宋体"/>
          <w:szCs w:val="21"/>
        </w:rPr>
      </w:pPr>
      <w:r>
        <w:rPr>
          <w:rFonts w:ascii="宋体" w:eastAsia="宋体" w:hAnsi="宋体" w:cs="宋体" w:hint="eastAsia"/>
          <w:color w:val="000000"/>
          <w:szCs w:val="21"/>
        </w:rPr>
        <w:t>本合同的解除或终止</w:t>
      </w:r>
      <w:r>
        <w:rPr>
          <w:rFonts w:ascii="宋体" w:eastAsia="宋体" w:hAnsi="宋体" w:cs="宋体" w:hint="eastAsia"/>
          <w:color w:val="000000"/>
          <w:szCs w:val="21"/>
        </w:rPr>
        <w:t>不</w:t>
      </w:r>
      <w:r>
        <w:rPr>
          <w:rFonts w:ascii="宋体" w:eastAsia="宋体" w:hAnsi="宋体" w:cs="宋体" w:hint="eastAsia"/>
          <w:color w:val="000000"/>
          <w:szCs w:val="21"/>
        </w:rPr>
        <w:t>免除甲乙双方应承担的保密义务。</w:t>
      </w:r>
    </w:p>
    <w:p w:rsidR="000B7E02" w:rsidP="005069EB">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81" w:name="_Toc150439618"/>
      <w:r>
        <w:rPr>
          <w:rFonts w:ascii="宋体" w:eastAsia="宋体" w:hAnsi="宋体" w:cs="宋体" w:hint="eastAsia"/>
          <w:b/>
          <w:bCs/>
          <w:szCs w:val="21"/>
        </w:rPr>
        <w:t>违约</w:t>
      </w:r>
      <w:r>
        <w:rPr>
          <w:rFonts w:ascii="宋体" w:eastAsia="宋体" w:hAnsi="宋体" w:cs="宋体"/>
          <w:b/>
          <w:bCs/>
          <w:szCs w:val="21"/>
        </w:rPr>
        <w:t>责任及赔偿</w:t>
      </w:r>
      <w:bookmarkEnd w:id="81"/>
    </w:p>
    <w:p w:rsidR="000B7E02">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rsidR="000B7E02">
      <w:pPr>
        <w:numPr>
          <w:ilvl w:val="0"/>
          <w:numId w:val="39"/>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rsidR="000B7E02">
      <w:pPr>
        <w:numPr>
          <w:ilvl w:val="0"/>
          <w:numId w:val="39"/>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w:t>
      </w:r>
      <w:r>
        <w:rPr>
          <w:rFonts w:ascii="宋体" w:eastAsia="宋体" w:hAnsi="宋体" w:cs="宋体" w:hint="eastAsia"/>
          <w:szCs w:val="21"/>
        </w:rPr>
        <w:t>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0B7E02">
      <w:pPr>
        <w:numPr>
          <w:ilvl w:val="0"/>
          <w:numId w:val="39"/>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0B7E02">
      <w:pPr>
        <w:numPr>
          <w:ilvl w:val="0"/>
          <w:numId w:val="39"/>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rsidR="000B7E02">
      <w:pPr>
        <w:numPr>
          <w:ilvl w:val="0"/>
          <w:numId w:val="39"/>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w:t>
      </w:r>
      <w:r>
        <w:rPr>
          <w:rFonts w:ascii="宋体" w:eastAsia="宋体" w:hAnsi="宋体" w:cs="宋体" w:hint="eastAsia"/>
          <w:szCs w:val="21"/>
        </w:rPr>
        <w:t>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0B7E02">
      <w:pPr>
        <w:numPr>
          <w:ilvl w:val="0"/>
          <w:numId w:val="39"/>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rsidR="000B7E02">
      <w:pPr>
        <w:numPr>
          <w:ilvl w:val="0"/>
          <w:numId w:val="39"/>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rsidR="000B7E02" w:rsidP="005069EB">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82" w:name="_Toc150439619"/>
      <w:r>
        <w:rPr>
          <w:rFonts w:ascii="宋体" w:eastAsia="宋体" w:hAnsi="宋体" w:cs="宋体" w:hint="eastAsia"/>
          <w:b/>
          <w:bCs/>
          <w:szCs w:val="21"/>
        </w:rPr>
        <w:t>争议的解决</w:t>
      </w:r>
      <w:bookmarkEnd w:id="82"/>
    </w:p>
    <w:p w:rsidR="000B7E02">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rsidR="000B7E02">
      <w:pPr>
        <w:numPr>
          <w:ilvl w:val="0"/>
          <w:numId w:val="40"/>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rsidR="000B7E02">
      <w:pPr>
        <w:numPr>
          <w:ilvl w:val="0"/>
          <w:numId w:val="40"/>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rsidR="000B7E02" w:rsidP="005069EB">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83" w:name="_Toc150439621"/>
      <w:r>
        <w:rPr>
          <w:rFonts w:ascii="宋体" w:eastAsia="宋体" w:hAnsi="宋体" w:cs="宋体" w:hint="eastAsia"/>
          <w:b/>
          <w:bCs/>
          <w:szCs w:val="21"/>
        </w:rPr>
        <w:t>不可抗力</w:t>
      </w:r>
      <w:bookmarkEnd w:id="83"/>
    </w:p>
    <w:p w:rsidR="000B7E02">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rsidR="000B7E02">
      <w:pPr>
        <w:numPr>
          <w:ilvl w:val="0"/>
          <w:numId w:val="42"/>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rsidR="000B7E02">
      <w:pPr>
        <w:numPr>
          <w:ilvl w:val="0"/>
          <w:numId w:val="42"/>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rsidR="000B7E02">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0B7E02">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rsidR="000B7E02">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rsidR="000B7E02">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rsidR="000B7E02">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rsidR="000B7E02">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rsidR="000B7E02">
      <w:pPr>
        <w:numPr>
          <w:ilvl w:val="0"/>
          <w:numId w:val="43"/>
        </w:numPr>
        <w:spacing w:line="360" w:lineRule="auto"/>
        <w:ind w:hanging="5"/>
        <w:rPr>
          <w:rFonts w:ascii="宋体" w:eastAsia="宋体" w:hAnsi="宋体" w:cs="宋体" w:hint="eastAsia"/>
          <w:szCs w:val="21"/>
        </w:rPr>
      </w:pPr>
      <w:r>
        <w:rPr>
          <w:rFonts w:ascii="宋体" w:eastAsia="宋体" w:hAnsi="宋体" w:cs="宋体" w:hint="eastAsia"/>
          <w:szCs w:val="21"/>
        </w:rPr>
        <w:t>因一方未按期完成合同约定的项目开发任务。</w:t>
      </w:r>
    </w:p>
    <w:p w:rsidR="000C0221" w:rsidP="000C0221">
      <w:pPr>
        <w:spacing w:line="360" w:lineRule="auto"/>
        <w:ind w:left="425"/>
        <w:rPr>
          <w:rFonts w:ascii="宋体" w:eastAsia="宋体" w:hAnsi="宋体" w:cs="宋体"/>
          <w:szCs w:val="21"/>
        </w:rPr>
      </w:pPr>
    </w:p>
    <w:p w:rsidR="000C0221" w:rsidRPr="000C0221" w:rsidP="000C0221">
      <w:pPr>
        <w:ind w:firstLine="420" w:firstLineChars="200"/>
        <w:rPr>
          <w:rFonts w:ascii="宋体" w:hAnsi="宋体"/>
          <w:b/>
          <w:szCs w:val="21"/>
        </w:rPr>
      </w:pPr>
      <w:bookmarkStart w:id="84" w:name="_Toc150439624"/>
      <w:r w:rsidRPr="000C0221">
        <w:rPr>
          <w:rFonts w:ascii="宋体" w:hAnsi="宋体" w:hint="eastAsia"/>
          <w:b/>
          <w:szCs w:val="21"/>
        </w:rPr>
        <w:t>第十九</w:t>
      </w:r>
      <w:r>
        <w:rPr>
          <w:rFonts w:ascii="宋体" w:hAnsi="宋体" w:hint="eastAsia"/>
          <w:b/>
          <w:szCs w:val="21"/>
        </w:rPr>
        <w:t>条</w:t>
      </w:r>
      <w:r w:rsidRPr="000C0221">
        <w:rPr>
          <w:rFonts w:ascii="宋体" w:hAnsi="宋体" w:hint="eastAsia"/>
          <w:b/>
          <w:szCs w:val="21"/>
        </w:rPr>
        <w:t xml:space="preserve">  </w:t>
      </w:r>
      <w:r w:rsidRPr="000C0221">
        <w:rPr>
          <w:rFonts w:ascii="宋体" w:hAnsi="宋体" w:hint="eastAsia"/>
          <w:b/>
          <w:szCs w:val="21"/>
        </w:rPr>
        <w:t>安全生产</w:t>
      </w:r>
    </w:p>
    <w:p w:rsidR="000C0221" w:rsidRPr="00DD5715" w:rsidP="000C0221">
      <w:pPr>
        <w:ind w:firstLine="420" w:firstLineChars="200"/>
        <w:rPr>
          <w:rFonts w:ascii="宋体" w:hAnsi="宋体"/>
          <w:szCs w:val="21"/>
        </w:rPr>
      </w:pPr>
      <w:r w:rsidRPr="00DD5715">
        <w:rPr>
          <w:rFonts w:ascii="宋体" w:hAnsi="宋体" w:hint="eastAsia"/>
          <w:szCs w:val="21"/>
        </w:rPr>
        <w:t>乙方在履约过程中必须确保安全，如造成各种人身伤害、财产损失或其他事故，均由乙方负责处理和经济赔偿，甲方不承担任何责任。</w:t>
      </w:r>
    </w:p>
    <w:p w:rsidR="000C0221" w:rsidRPr="000C0221" w:rsidP="000C0221">
      <w:pPr>
        <w:ind w:firstLine="420" w:firstLineChars="200"/>
        <w:rPr>
          <w:rFonts w:ascii="宋体" w:hAnsi="宋体"/>
          <w:b/>
          <w:szCs w:val="21"/>
        </w:rPr>
      </w:pPr>
      <w:r w:rsidRPr="000C0221">
        <w:rPr>
          <w:rFonts w:ascii="宋体" w:hAnsi="宋体" w:hint="eastAsia"/>
          <w:b/>
          <w:szCs w:val="21"/>
        </w:rPr>
        <w:t>第</w:t>
      </w:r>
      <w:r w:rsidRPr="000C0221">
        <w:rPr>
          <w:rFonts w:ascii="宋体" w:hAnsi="宋体" w:hint="eastAsia"/>
          <w:b/>
          <w:szCs w:val="21"/>
        </w:rPr>
        <w:t>二十</w:t>
      </w:r>
      <w:r w:rsidRPr="000C0221">
        <w:rPr>
          <w:rFonts w:ascii="宋体" w:hAnsi="宋体" w:hint="eastAsia"/>
          <w:b/>
          <w:szCs w:val="21"/>
        </w:rPr>
        <w:t xml:space="preserve">条 </w:t>
      </w:r>
      <w:r w:rsidRPr="000C0221">
        <w:rPr>
          <w:rFonts w:ascii="宋体" w:hAnsi="宋体" w:hint="eastAsia"/>
          <w:b/>
          <w:szCs w:val="21"/>
        </w:rPr>
        <w:t xml:space="preserve"> </w:t>
      </w:r>
      <w:r w:rsidRPr="000C0221">
        <w:rPr>
          <w:rFonts w:ascii="宋体" w:hAnsi="宋体" w:hint="eastAsia"/>
          <w:b/>
          <w:szCs w:val="21"/>
        </w:rPr>
        <w:t>廉洁纪律</w:t>
      </w:r>
    </w:p>
    <w:p w:rsidR="000C0221" w:rsidRPr="00DD5715" w:rsidP="000C0221">
      <w:pPr>
        <w:ind w:firstLine="420" w:firstLineChars="200"/>
        <w:rPr>
          <w:rFonts w:ascii="宋体" w:hAnsi="宋体"/>
          <w:szCs w:val="21"/>
        </w:rPr>
      </w:pPr>
      <w:r>
        <w:rPr>
          <w:rFonts w:ascii="宋体" w:hAnsi="宋体" w:hint="eastAsia"/>
          <w:szCs w:val="21"/>
        </w:rPr>
        <w:t>1.</w:t>
      </w:r>
      <w:r w:rsidRPr="00DD5715">
        <w:rPr>
          <w:rFonts w:ascii="宋体" w:hAnsi="宋体" w:hint="eastAsia"/>
          <w:szCs w:val="21"/>
        </w:rPr>
        <w:t>严禁甲方人员以任何方式明示或暗示</w:t>
      </w:r>
      <w:r w:rsidRPr="00DD5715">
        <w:rPr>
          <w:rFonts w:ascii="宋体" w:hAnsi="宋体" w:hint="eastAsia"/>
          <w:szCs w:val="21"/>
        </w:rPr>
        <w:t>乙方请</w:t>
      </w:r>
      <w:r w:rsidRPr="00DD5715">
        <w:rPr>
          <w:rFonts w:ascii="宋体" w:hAnsi="宋体" w:hint="eastAsia"/>
          <w:szCs w:val="21"/>
        </w:rPr>
        <w:t>吃、请喝、收受乙方礼金、礼品或接受乙方提供的其他私人便利或利益。</w:t>
      </w:r>
    </w:p>
    <w:p w:rsidR="000C0221" w:rsidRPr="00DD5715" w:rsidP="000C0221">
      <w:pPr>
        <w:ind w:firstLine="420" w:firstLineChars="200"/>
        <w:rPr>
          <w:rFonts w:ascii="宋体" w:hAnsi="宋体"/>
          <w:szCs w:val="21"/>
        </w:rPr>
      </w:pPr>
      <w:r>
        <w:rPr>
          <w:rFonts w:ascii="宋体" w:hAnsi="宋体" w:hint="eastAsia"/>
          <w:szCs w:val="21"/>
        </w:rPr>
        <w:t>2.</w:t>
      </w:r>
      <w:r w:rsidRPr="00DD5715">
        <w:rPr>
          <w:rFonts w:ascii="宋体" w:hAnsi="宋体" w:hint="eastAsia"/>
          <w:szCs w:val="21"/>
        </w:rPr>
        <w:t>严禁乙方以任何方式向甲方人员提供私人便利、行贿或进行非正常商务工作宴请，严禁乙方向甲方人员提供任何形式的回扣。</w:t>
      </w:r>
    </w:p>
    <w:p w:rsidR="000C0221" w:rsidRPr="00DD5715" w:rsidP="000C0221">
      <w:pPr>
        <w:ind w:firstLine="420" w:firstLineChars="200"/>
        <w:rPr>
          <w:rFonts w:ascii="宋体" w:hAnsi="宋体"/>
          <w:szCs w:val="21"/>
        </w:rPr>
      </w:pPr>
      <w:r>
        <w:rPr>
          <w:rFonts w:ascii="宋体" w:hAnsi="宋体" w:hint="eastAsia"/>
          <w:szCs w:val="21"/>
        </w:rPr>
        <w:t>3.</w:t>
      </w:r>
      <w:r w:rsidRPr="00DD5715">
        <w:rPr>
          <w:rFonts w:ascii="宋体" w:hAnsi="宋体" w:hint="eastAsia"/>
          <w:szCs w:val="21"/>
        </w:rPr>
        <w:t>如果出现乙方在本合同履约过程中对甲方人员的私下请吃喝、.向甲方人员提供私人便利、行贿以及任何形式的回扣等一切非正常活动，一经查实，甲方有权单方解除本合同，因解除本合同给甲方造成损失的，由乙方承担赔偿责任。因乙方其他原因造成违约的，乙方仍须承担违约责任。如乙方事后主动积极向甲方陈述事实，或乙方有证据显示以上行为由甲方人员施压不得已行为，则乙方保留合同规定之相关权利和义务。</w:t>
      </w:r>
    </w:p>
    <w:p w:rsidR="000C0221" w:rsidP="000C0221">
      <w:pPr>
        <w:keepNext/>
        <w:keepLines/>
        <w:spacing w:before="60" w:after="60" w:line="360" w:lineRule="auto"/>
        <w:ind w:firstLine="420" w:firstLineChars="200"/>
        <w:outlineLvl w:val="1"/>
        <w:rPr>
          <w:rFonts w:ascii="宋体" w:eastAsia="宋体" w:hAnsi="宋体" w:cs="宋体" w:hint="eastAsia"/>
          <w:b/>
          <w:bCs/>
          <w:szCs w:val="21"/>
        </w:rPr>
      </w:pPr>
      <w:r>
        <w:rPr>
          <w:rFonts w:ascii="宋体" w:hAnsi="宋体" w:hint="eastAsia"/>
          <w:szCs w:val="21"/>
        </w:rPr>
        <w:t>4.</w:t>
      </w:r>
      <w:r w:rsidRPr="00DD5715">
        <w:rPr>
          <w:rFonts w:ascii="宋体" w:hAnsi="宋体" w:hint="eastAsia"/>
          <w:szCs w:val="21"/>
        </w:rPr>
        <w:t>乙方在合同履行过程中，如发现甲方人员明示或暗示要求宴请、招待，或索取回扣、礼金、礼品、礼券等，可向甲方监察部门进行举报。甲方将对举报信息进行及时调查处理，对举报来源严格保密。举报电话：0515-88417426，举报受理部门：盐城市气象局纪检组。</w:t>
      </w:r>
    </w:p>
    <w:p w:rsidR="000B7E02" w:rsidP="000C0221">
      <w:pPr>
        <w:keepNext/>
        <w:keepLines/>
        <w:spacing w:before="60" w:after="60" w:line="360" w:lineRule="auto"/>
        <w:ind w:left="422"/>
        <w:outlineLvl w:val="1"/>
        <w:rPr>
          <w:rFonts w:ascii="宋体" w:eastAsia="宋体" w:hAnsi="宋体" w:cs="宋体"/>
          <w:b/>
          <w:bCs/>
          <w:szCs w:val="21"/>
        </w:rPr>
      </w:pPr>
      <w:r>
        <w:rPr>
          <w:rFonts w:ascii="宋体" w:eastAsia="宋体" w:hAnsi="宋体" w:cs="宋体" w:hint="eastAsia"/>
          <w:b/>
          <w:bCs/>
          <w:szCs w:val="21"/>
        </w:rPr>
        <w:t xml:space="preserve">第二十一条   </w:t>
      </w:r>
      <w:r w:rsidR="005069EB">
        <w:rPr>
          <w:rFonts w:ascii="宋体" w:eastAsia="宋体" w:hAnsi="宋体" w:cs="宋体" w:hint="eastAsia"/>
          <w:b/>
          <w:bCs/>
          <w:szCs w:val="21"/>
        </w:rPr>
        <w:t>本合同的变更</w:t>
      </w:r>
      <w:bookmarkEnd w:id="84"/>
    </w:p>
    <w:p w:rsidR="000B7E02">
      <w:pPr>
        <w:numPr>
          <w:ilvl w:val="0"/>
          <w:numId w:val="44"/>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rsidR="000B7E02">
      <w:pPr>
        <w:numPr>
          <w:ilvl w:val="0"/>
          <w:numId w:val="44"/>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rsidR="000B7E02">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rsidR="000B7E02" w:rsidP="000C0221">
      <w:pPr>
        <w:keepNext/>
        <w:keepLines/>
        <w:spacing w:before="60" w:after="60" w:line="360" w:lineRule="auto"/>
        <w:ind w:left="422"/>
        <w:outlineLvl w:val="1"/>
        <w:rPr>
          <w:rFonts w:ascii="宋体" w:eastAsia="宋体" w:hAnsi="宋体" w:cs="宋体"/>
          <w:b/>
          <w:bCs/>
          <w:szCs w:val="21"/>
        </w:rPr>
      </w:pPr>
      <w:bookmarkStart w:id="85" w:name="_Toc150439623"/>
      <w:r>
        <w:rPr>
          <w:rFonts w:ascii="宋体" w:eastAsia="宋体" w:hAnsi="宋体" w:cs="宋体" w:hint="eastAsia"/>
          <w:b/>
          <w:bCs/>
          <w:szCs w:val="21"/>
        </w:rPr>
        <w:t xml:space="preserve">第二十二条  </w:t>
      </w:r>
      <w:r w:rsidR="005069EB">
        <w:rPr>
          <w:rFonts w:ascii="宋体" w:eastAsia="宋体" w:hAnsi="宋体" w:cs="宋体" w:hint="eastAsia"/>
          <w:b/>
          <w:bCs/>
          <w:szCs w:val="21"/>
        </w:rPr>
        <w:t>其它</w:t>
      </w:r>
      <w:bookmarkEnd w:id="85"/>
    </w:p>
    <w:p w:rsidR="000B7E02">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rsidR="000B7E02" w:rsidP="000C0221">
      <w:pPr>
        <w:keepNext/>
        <w:keepLines/>
        <w:spacing w:before="60" w:after="60" w:line="360" w:lineRule="auto"/>
        <w:ind w:firstLine="420" w:firstLineChars="200"/>
        <w:outlineLvl w:val="1"/>
        <w:rPr>
          <w:rFonts w:ascii="宋体" w:eastAsia="宋体" w:hAnsi="宋体" w:cs="宋体"/>
          <w:b/>
          <w:bCs/>
          <w:szCs w:val="21"/>
        </w:rPr>
      </w:pPr>
      <w:bookmarkStart w:id="86" w:name="_Toc150439626"/>
      <w:r>
        <w:rPr>
          <w:rFonts w:ascii="宋体" w:eastAsia="宋体" w:hAnsi="宋体" w:cs="宋体" w:hint="eastAsia"/>
          <w:b/>
          <w:bCs/>
          <w:szCs w:val="21"/>
        </w:rPr>
        <w:t xml:space="preserve">第二十三条  </w:t>
      </w:r>
      <w:r w:rsidR="005069EB">
        <w:rPr>
          <w:rFonts w:ascii="宋体" w:eastAsia="宋体" w:hAnsi="宋体" w:cs="宋体" w:hint="eastAsia"/>
          <w:b/>
          <w:bCs/>
          <w:szCs w:val="21"/>
        </w:rPr>
        <w:t>合同生效</w:t>
      </w:r>
      <w:bookmarkEnd w:id="86"/>
    </w:p>
    <w:p w:rsidR="000B7E02">
      <w:pPr>
        <w:numPr>
          <w:ilvl w:val="0"/>
          <w:numId w:val="45"/>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w:t>
      </w:r>
      <w:r>
        <w:rPr>
          <w:rFonts w:ascii="宋体" w:eastAsia="宋体" w:hAnsi="宋体" w:cs="宋体" w:hint="eastAsia"/>
          <w:szCs w:val="21"/>
        </w:rPr>
        <w:t>至质保期</w:t>
      </w:r>
      <w:r>
        <w:rPr>
          <w:rFonts w:ascii="宋体" w:eastAsia="宋体" w:hAnsi="宋体" w:cs="宋体" w:hint="eastAsia"/>
          <w:szCs w:val="21"/>
        </w:rPr>
        <w:t>结束终止。</w:t>
      </w:r>
    </w:p>
    <w:p w:rsidR="000B7E02">
      <w:pPr>
        <w:numPr>
          <w:ilvl w:val="0"/>
          <w:numId w:val="45"/>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rsidR="000B7E02">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rsidR="000B7E02">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0B7E02">
      <w:pPr>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0B7E02">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rsidR="000B7E02">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rsidR="000B7E02">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0B7E02">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rsidR="000B7E02">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rsidR="000B7E02"/>
    <w:p w:rsidR="00A77B3E"/>
    <w:p w:rsidR="000B7E02" w:rsidP="005069EB">
      <w:pPr>
        <w:numPr>
          <w:ilvl w:val="0"/>
          <w:numId w:val="4"/>
        </w:numPr>
        <w:spacing w:line="360" w:lineRule="auto"/>
        <w:ind w:firstLine="3066" w:firstLineChars="1460"/>
        <w:jc w:val="left"/>
        <w:rPr>
          <w:rFonts w:ascii="Times New Roman" w:eastAsia="宋体" w:hAnsi="Times New Roman" w:cs="Times New Roman"/>
          <w:b/>
          <w:bCs/>
          <w:szCs w:val="21"/>
        </w:rPr>
      </w:pPr>
      <w:bookmarkEnd w:id="67"/>
    </w:p>
    <w:p>
      <w:pPr>
        <w:rPr>
          <w:rFonts w:ascii="Calibri" w:hAnsi="Calibri"/>
          <w:szCs w:val="22"/>
          <w:highlight w:val="none"/>
        </w:rPr>
      </w:pPr>
    </w:p>
    <w:p>
      <w:pPr>
        <w:spacing w:line="360" w:lineRule="auto"/>
        <w:jc w:val="left"/>
        <w:rPr>
          <w:b/>
          <w:bCs/>
          <w:sz w:val="44"/>
          <w:szCs w:val="44"/>
          <w:highlight w:val="none"/>
        </w:rPr>
      </w:pPr>
    </w:p>
    <w:sectPr>
      <w:footerReference w:type="even" r:id="rId11"/>
      <w:footerReference w:type="default" r:id="rId12"/>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MS Gothic">
    <w:panose1 w:val="020B0609070205080204"/>
    <w:charset w:val="80"/>
    <w:family w:val="modern"/>
    <w:pitch w:val="default"/>
    <w:sig w:usb0="E00002FF" w:usb1="6AC7FDFB" w:usb2="08000012" w:usb3="00000000" w:csb0="4002009F" w:csb1="DFD70000"/>
  </w:font>
  <w:font w:name="Microsoft YaHei UI">
    <w:panose1 w:val="020B0503020204020204"/>
    <w:charset w:val="86"/>
    <w:family w:val="auto"/>
    <w:pitch w:val="default"/>
    <w:sig w:usb0="80000287" w:usb1="2ACF3C50" w:usb2="00000016" w:usb3="00000000" w:csb0="0004001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1030101010101"/>
    <w:charset w:val="86"/>
    <w:family w:val="auto"/>
    <w:pitch w:val="variable"/>
    <w:sig w:usb0="00000001" w:usb1="080E0000" w:usb2="00000010" w:usb3="00000000" w:csb0="00040000" w:csb1="00000000"/>
  </w:font>
  <w:font w:name="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4D1">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6254D1">
    <w:pPr>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4D1">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sidRPr="000C0221" w:rsidR="000C0221">
      <w:rPr>
        <w:rFonts w:ascii="宋体" w:eastAsia="宋体" w:hAnsi="宋体" w:cs="Times New Roman"/>
        <w:noProof/>
        <w:szCs w:val="21"/>
        <w:lang w:val="zh-CN"/>
      </w:rPr>
      <w:t>1</w:t>
    </w:r>
    <w:r>
      <w:rPr>
        <w:rFonts w:ascii="宋体" w:eastAsia="宋体" w:hAnsi="宋体" w:cs="Times New Roman"/>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4D1">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6254D1">
    <w:pPr>
      <w:snapToGrid w:val="0"/>
      <w:ind w:right="360"/>
      <w:jc w:val="left"/>
      <w:rPr>
        <w:rFonts w:ascii="Times New Roman" w:eastAsia="宋体" w:hAnsi="Times New Roman" w:cs="Times New Roman"/>
        <w:sz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4D1">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sidRPr="000C0221" w:rsidR="000C0221">
      <w:rPr>
        <w:rFonts w:ascii="宋体" w:eastAsia="宋体" w:hAnsi="宋体" w:cs="Times New Roman"/>
        <w:noProof/>
        <w:szCs w:val="21"/>
        <w:lang w:val="zh-CN"/>
      </w:rPr>
      <w:t>1</w:t>
    </w:r>
    <w:r>
      <w:rPr>
        <w:rFonts w:ascii="宋体" w:eastAsia="宋体" w:hAnsi="宋体" w:cs="Times New Roman"/>
        <w:szCs w:val="21"/>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FCFBA019"/>
    <w:multiLevelType w:val="singleLevel"/>
    <w:tmpl w:val="FCFBA019"/>
    <w:lvl w:ilvl="0">
      <w:start w:val="1"/>
      <w:numFmt w:val="decimal"/>
      <w:lvlText w:val="%1)"/>
      <w:lvlJc w:val="left"/>
      <w:pPr>
        <w:ind w:left="425" w:hanging="425"/>
      </w:pPr>
      <w:rPr>
        <w:rFonts w:hint="default"/>
      </w:rPr>
    </w:lvl>
  </w:abstractNum>
  <w:abstractNum w:abstractNumId="9">
    <w:nsid w:val="FDBF5E33"/>
    <w:multiLevelType w:val="singleLevel"/>
    <w:tmpl w:val="FDBF5E33"/>
    <w:lvl w:ilvl="0">
      <w:start w:val="1"/>
      <w:numFmt w:val="decimal"/>
      <w:lvlText w:val="%1."/>
      <w:lvlJc w:val="left"/>
      <w:pPr>
        <w:ind w:left="425" w:hanging="425"/>
      </w:pPr>
      <w:rPr>
        <w:rFonts w:hint="default"/>
      </w:rPr>
    </w:lvl>
  </w:abstractNum>
  <w:abstractNum w:abstractNumId="10">
    <w:nsid w:val="FF3F1685"/>
    <w:multiLevelType w:val="singleLevel"/>
    <w:tmpl w:val="FF3F1685"/>
    <w:lvl w:ilvl="0">
      <w:start w:val="1"/>
      <w:numFmt w:val="decimal"/>
      <w:lvlText w:val="%1)"/>
      <w:lvlJc w:val="left"/>
      <w:pPr>
        <w:ind w:left="425" w:hanging="425"/>
      </w:pPr>
      <w:rPr>
        <w:rFonts w:hint="default"/>
      </w:rPr>
    </w:lvl>
  </w:abstractNum>
  <w:abstractNum w:abstractNumId="11">
    <w:nsid w:val="FFFEE893"/>
    <w:multiLevelType w:val="singleLevel"/>
    <w:tmpl w:val="FFFEE893"/>
    <w:lvl w:ilvl="0">
      <w:start w:val="1"/>
      <w:numFmt w:val="decimal"/>
      <w:lvlText w:val="%1)"/>
      <w:lvlJc w:val="left"/>
      <w:pPr>
        <w:ind w:left="425" w:hanging="425"/>
      </w:pPr>
      <w:rPr>
        <w:rFonts w:hint="default"/>
      </w:rPr>
    </w:lvl>
  </w:abstractNum>
  <w:abstractNum w:abstractNumId="12">
    <w:nsid w:val="FFFEFF75"/>
    <w:multiLevelType w:val="singleLevel"/>
    <w:tmpl w:val="FFFEFF75"/>
    <w:lvl w:ilvl="0">
      <w:start w:val="1"/>
      <w:numFmt w:val="decimal"/>
      <w:lvlText w:val="%1)"/>
      <w:lvlJc w:val="left"/>
      <w:pPr>
        <w:ind w:left="425" w:hanging="425"/>
      </w:pPr>
      <w:rPr>
        <w:rFonts w:hint="default"/>
      </w:rPr>
    </w:lvl>
  </w:abstractNum>
  <w:abstractNum w:abstractNumId="1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6">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3DD946C"/>
    <w:multiLevelType w:val="singleLevel"/>
    <w:tmpl w:val="13DD946C"/>
    <w:lvl w:ilvl="0">
      <w:start w:val="9"/>
      <w:numFmt w:val="chineseCounting"/>
      <w:suff w:val="space"/>
      <w:lvlText w:val="第%1章"/>
      <w:lvlJc w:val="left"/>
      <w:rPr>
        <w:rFonts w:hint="eastAsia"/>
      </w:rPr>
    </w:lvl>
  </w:abstractNum>
  <w:abstractNum w:abstractNumId="22">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6">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7">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4C7A993F"/>
    <w:multiLevelType w:val="singleLevel"/>
    <w:tmpl w:val="4C7A993F"/>
    <w:lvl w:ilvl="0">
      <w:start w:val="1"/>
      <w:numFmt w:val="decimal"/>
      <w:lvlText w:val="%1)"/>
      <w:lvlJc w:val="left"/>
      <w:pPr>
        <w:ind w:left="425" w:hanging="425"/>
      </w:pPr>
      <w:rPr>
        <w:rFonts w:hint="default"/>
      </w:rPr>
    </w:lvl>
  </w:abstractNum>
  <w:abstractNum w:abstractNumId="30">
    <w:nsid w:val="57FFC18B"/>
    <w:multiLevelType w:val="singleLevel"/>
    <w:tmpl w:val="57FFC18B"/>
    <w:lvl w:ilvl="0">
      <w:start w:val="1"/>
      <w:numFmt w:val="decimal"/>
      <w:lvlText w:val="%1)"/>
      <w:lvlJc w:val="left"/>
      <w:pPr>
        <w:ind w:left="425" w:hanging="425"/>
      </w:pPr>
      <w:rPr>
        <w:rFonts w:hint="default"/>
      </w:rPr>
    </w:lvl>
  </w:abstractNum>
  <w:abstractNum w:abstractNumId="31">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3">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4">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6">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37">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8">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0">
    <w:nsid w:val="79F8DDAB"/>
    <w:multiLevelType w:val="singleLevel"/>
    <w:tmpl w:val="79F8DDAB"/>
    <w:lvl w:ilvl="0">
      <w:start w:val="1"/>
      <w:numFmt w:val="decimal"/>
      <w:lvlText w:val="%1)"/>
      <w:lvlJc w:val="left"/>
      <w:pPr>
        <w:ind w:left="425" w:hanging="425"/>
      </w:pPr>
      <w:rPr>
        <w:rFonts w:hint="default"/>
      </w:rPr>
    </w:lvl>
  </w:abstractNum>
  <w:abstractNum w:abstractNumId="41">
    <w:nsid w:val="7BF79D3F"/>
    <w:multiLevelType w:val="singleLevel"/>
    <w:tmpl w:val="7BF79D3F"/>
    <w:lvl w:ilvl="0">
      <w:start w:val="1"/>
      <w:numFmt w:val="decimal"/>
      <w:lvlText w:val="%1)"/>
      <w:lvlJc w:val="left"/>
      <w:pPr>
        <w:ind w:left="425" w:hanging="425"/>
      </w:pPr>
      <w:rPr>
        <w:rFonts w:hint="default"/>
      </w:rPr>
    </w:lvl>
  </w:abstractNum>
  <w:abstractNum w:abstractNumId="42">
    <w:nsid w:val="7FAFA353"/>
    <w:multiLevelType w:val="singleLevel"/>
    <w:tmpl w:val="7FAFA353"/>
    <w:lvl w:ilvl="0">
      <w:start w:val="1"/>
      <w:numFmt w:val="decimal"/>
      <w:lvlText w:val="%1)"/>
      <w:lvlJc w:val="left"/>
      <w:pPr>
        <w:ind w:left="425" w:hanging="425"/>
      </w:pPr>
      <w:rPr>
        <w:rFonts w:hint="default"/>
      </w:rPr>
    </w:lvl>
  </w:abstractNum>
  <w:abstractNum w:abstractNumId="43">
    <w:nsid w:val="7FDAC479"/>
    <w:multiLevelType w:val="singleLevel"/>
    <w:tmpl w:val="7FDAC479"/>
    <w:lvl w:ilvl="0">
      <w:start w:val="1"/>
      <w:numFmt w:val="decimal"/>
      <w:lvlText w:val="%1)"/>
      <w:lvlJc w:val="left"/>
      <w:pPr>
        <w:ind w:left="425" w:hanging="425"/>
      </w:pPr>
      <w:rPr>
        <w:rFonts w:hint="default"/>
      </w:rPr>
    </w:lvl>
  </w:abstractNum>
  <w:abstractNum w:abstractNumId="44">
    <w:nsid w:val="7FF73EAD"/>
    <w:multiLevelType w:val="singleLevel"/>
    <w:tmpl w:val="7FF73EAD"/>
    <w:lvl w:ilvl="0">
      <w:start w:val="1"/>
      <w:numFmt w:val="decimal"/>
      <w:lvlText w:val="%1)"/>
      <w:lvlJc w:val="left"/>
      <w:pPr>
        <w:ind w:left="425" w:hanging="425"/>
      </w:pPr>
      <w:rPr>
        <w:rFonts w:hint="default"/>
      </w:rPr>
    </w:lvl>
  </w:abstractNum>
  <w:abstractNum w:abstractNumId="45">
    <w:nsid w:val="7FFFA005"/>
    <w:multiLevelType w:val="singleLevel"/>
    <w:tmpl w:val="7FFFA005"/>
    <w:lvl w:ilvl="0">
      <w:start w:val="1"/>
      <w:numFmt w:val="decimal"/>
      <w:lvlText w:val="%1)"/>
      <w:lvlJc w:val="left"/>
      <w:pPr>
        <w:ind w:left="425" w:hanging="425"/>
      </w:pPr>
      <w:rPr>
        <w:rFonts w:hint="default"/>
      </w:rPr>
    </w:lvl>
  </w:abstractNum>
  <w:num w:numId="1">
    <w:abstractNumId w:val="14"/>
  </w:num>
  <w:num w:numId="2">
    <w:abstractNumId w:val="13"/>
  </w:num>
  <w:num w:numId="3">
    <w:abstractNumId w:val="17"/>
  </w:num>
  <w:num w:numId="4">
    <w:abstractNumId w:val="21"/>
  </w:num>
  <w:num w:numId="5">
    <w:abstractNumId w:val="0"/>
  </w:num>
  <w:num w:numId="6">
    <w:abstractNumId w:val="23"/>
  </w:num>
  <w:num w:numId="7">
    <w:abstractNumId w:val="36"/>
  </w:num>
  <w:num w:numId="8">
    <w:abstractNumId w:val="22"/>
  </w:num>
  <w:num w:numId="9">
    <w:abstractNumId w:val="39"/>
  </w:num>
  <w:num w:numId="10">
    <w:abstractNumId w:val="3"/>
  </w:num>
  <w:num w:numId="11">
    <w:abstractNumId w:val="44"/>
  </w:num>
  <w:num w:numId="12">
    <w:abstractNumId w:val="5"/>
  </w:num>
  <w:num w:numId="13">
    <w:abstractNumId w:val="35"/>
  </w:num>
  <w:num w:numId="14">
    <w:abstractNumId w:val="11"/>
  </w:num>
  <w:num w:numId="15">
    <w:abstractNumId w:val="34"/>
  </w:num>
  <w:num w:numId="16">
    <w:abstractNumId w:val="33"/>
  </w:num>
  <w:num w:numId="17">
    <w:abstractNumId w:val="16"/>
  </w:num>
  <w:num w:numId="18">
    <w:abstractNumId w:val="38"/>
  </w:num>
  <w:num w:numId="19">
    <w:abstractNumId w:val="2"/>
  </w:num>
  <w:num w:numId="20">
    <w:abstractNumId w:val="40"/>
  </w:num>
  <w:num w:numId="21">
    <w:abstractNumId w:val="41"/>
  </w:num>
  <w:num w:numId="22">
    <w:abstractNumId w:val="30"/>
  </w:num>
  <w:num w:numId="23">
    <w:abstractNumId w:val="25"/>
  </w:num>
  <w:num w:numId="24">
    <w:abstractNumId w:val="7"/>
  </w:num>
  <w:num w:numId="25">
    <w:abstractNumId w:val="1"/>
  </w:num>
  <w:num w:numId="26">
    <w:abstractNumId w:val="19"/>
  </w:num>
  <w:num w:numId="27">
    <w:abstractNumId w:val="42"/>
  </w:num>
  <w:num w:numId="28">
    <w:abstractNumId w:val="29"/>
  </w:num>
  <w:num w:numId="29">
    <w:abstractNumId w:val="26"/>
  </w:num>
  <w:num w:numId="30">
    <w:abstractNumId w:val="43"/>
  </w:num>
  <w:num w:numId="31">
    <w:abstractNumId w:val="6"/>
  </w:num>
  <w:num w:numId="32">
    <w:abstractNumId w:val="37"/>
  </w:num>
  <w:num w:numId="33">
    <w:abstractNumId w:val="45"/>
  </w:num>
  <w:num w:numId="34">
    <w:abstractNumId w:val="10"/>
  </w:num>
  <w:num w:numId="35">
    <w:abstractNumId w:val="28"/>
  </w:num>
  <w:num w:numId="36">
    <w:abstractNumId w:val="31"/>
  </w:num>
  <w:num w:numId="37">
    <w:abstractNumId w:val="18"/>
  </w:num>
  <w:num w:numId="38">
    <w:abstractNumId w:val="12"/>
  </w:num>
  <w:num w:numId="39">
    <w:abstractNumId w:val="20"/>
  </w:num>
  <w:num w:numId="40">
    <w:abstractNumId w:val="9"/>
  </w:num>
  <w:num w:numId="41">
    <w:abstractNumId w:val="32"/>
  </w:num>
  <w:num w:numId="42">
    <w:abstractNumId w:val="4"/>
  </w:num>
  <w:num w:numId="43">
    <w:abstractNumId w:val="8"/>
  </w:num>
  <w:num w:numId="44">
    <w:abstractNumId w:val="15"/>
  </w:num>
  <w:num w:numId="45">
    <w:abstractNumId w:val="27"/>
  </w:num>
  <w:num w:numId="4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B7E02"/>
    <w:rsid w:val="000C0221"/>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9EB"/>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254D1"/>
    <w:rsid w:val="006306F0"/>
    <w:rsid w:val="00632EE5"/>
    <w:rsid w:val="00634E54"/>
    <w:rsid w:val="00640409"/>
    <w:rsid w:val="00640E3B"/>
    <w:rsid w:val="00641387"/>
    <w:rsid w:val="00642D25"/>
    <w:rsid w:val="00643FF6"/>
    <w:rsid w:val="0064443D"/>
    <w:rsid w:val="00644497"/>
    <w:rsid w:val="00644F52"/>
    <w:rsid w:val="00645735"/>
    <w:rsid w:val="0064683C"/>
    <w:rsid w:val="00646E7D"/>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427"/>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70"/>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37D7E"/>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57DAD"/>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D5715"/>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6F0"/>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00EF"/>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2736383"/>
    <w:rsid w:val="291772FD"/>
    <w:rsid w:val="2DD27016"/>
    <w:rsid w:val="35AB39C2"/>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footer" Target="footer7.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21915</Words>
  <Characters>23114</Characters>
  <Application>Microsoft Office Word</Application>
  <DocSecurity>0</DocSecurity>
  <Lines>231</Lines>
  <Paragraphs>65</Paragraphs>
  <ScaleCrop>false</ScaleCrop>
  <Company>中国气象局</Company>
  <LinksUpToDate>false</LinksUpToDate>
  <CharactersWithSpaces>23227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2026-07-20T07:58:37Z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