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短时临近智能数字预报系统建设项目-短临诊断及预报预警能力建设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ZQCD-25489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短时临近智能数字预报系统建设项目-短临诊断及预报预警能力建设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ZQCD-25489</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合同签订起18个月内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2025年12月18日 00:00:00</w:t>
      </w:r>
      <w:bookmarkEnd w:id="27"/>
      <w:r>
        <w:rPr>
          <w:rFonts w:ascii="宋体" w:hint="eastAsia"/>
          <w:szCs w:val="21"/>
          <w:highlight w:val="none"/>
        </w:rPr>
        <w:t>至</w:t>
      </w:r>
      <w:bookmarkStart w:id="28" w:name="项目公告_signUpLastTime"/>
      <w:r>
        <w:rPr>
          <w:rFonts w:ascii="宋体" w:hint="eastAsia"/>
          <w:szCs w:val="21"/>
          <w:highlight w:val="none"/>
        </w:rPr>
        <w:t>2025年12月25日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2026年01月08日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陈龙光</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郭云谦</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010-58995370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北京市海淀区中关村南大街46号国家气象中心</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是，代理服务费：6.9万元。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996.150000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996.150000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0"/>
        <w:gridCol w:w="294"/>
        <w:gridCol w:w="1128"/>
        <w:gridCol w:w="294"/>
        <w:gridCol w:w="710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cr/>
              <w:t>其他：</w:t>
              <w:cr/>
              <w:t>投标产品满足第一章 投标人须1.6.4中小企业有关政策优惠条件，投标价格将给予扣除。</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1、提供 ISO9001质量管理体系证书或同等质量管理体系认证证书</w:t>
              <w:cr/>
              <w:t>2、ISO45001职业健康安全管理体系</w:t>
              <w:cr/>
              <w:t>3、ISO27001信息安全体系证书</w:t>
              <w:cr/>
              <w:t>每提供一份证书得2分，最多得6分；不提供得0分。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投标人实力 （客观分）</w:t>
            </w:r>
          </w:p>
        </w:tc>
        <w:tc>
          <w:tcPr/>
          <w:p>
            <w:r>
              <w:t>勾选打分</w:t>
            </w:r>
            <w:r>
              <w:t>(6)</w:t>
            </w:r>
          </w:p>
        </w:tc>
        <w:tc>
          <w:tcPr/>
          <w:p>
            <w:r>
              <w:t>评审标准：</w:t>
            </w:r>
          </w:p>
          <w:p>
            <w:r>
              <w:t>每提供1份软件著作权证书得2分，最多得 6分。</w:t>
            </w:r>
          </w:p>
          <w:p>
            <w:r>
              <w:t>评审标准说明：</w:t>
            </w:r>
          </w:p>
          <w:p>
            <w:r>
              <w:t>投标人提供原始取得的软件著作权证书，并加盖投标人公章。</w:t>
            </w:r>
          </w:p>
          <w:p/>
        </w:tc>
      </w:tr>
      <w:tr>
        <w:tblPrEx>
          <w:tblW w:w="5000" w:type="pct"/>
          <w:tblCellMar>
            <w:left w:w="108" w:type="dxa"/>
            <w:right w:w="108" w:type="dxa"/>
          </w:tblCellMar>
        </w:tblPrEx>
        <w:tc>
          <w:tcPr/>
          <w:p>
            <w:r>
              <w:t>4</w:t>
            </w:r>
          </w:p>
        </w:tc>
        <w:tc>
          <w:tcPr>
            <w:vMerge/>
          </w:tcPr>
          <w:p>
            <w:r>
              <w:t>商务部分</w:t>
            </w:r>
          </w:p>
        </w:tc>
        <w:tc>
          <w:tcPr/>
          <w:p>
            <w:r>
              <w:t>投标人业绩（客观分）</w:t>
            </w:r>
          </w:p>
        </w:tc>
        <w:tc>
          <w:tcPr/>
          <w:p>
            <w:r>
              <w:t>勾选打分</w:t>
            </w:r>
            <w:r>
              <w:t>(8)</w:t>
            </w:r>
          </w:p>
        </w:tc>
        <w:tc>
          <w:tcPr/>
          <w:p>
            <w:r>
              <w:t>评审标准：</w:t>
            </w:r>
          </w:p>
          <w:p>
            <w:r>
              <w:t>提供近三年在气象或相近行业承接的，与本项目类似的项目的合同复印件（所提供材料必须包括合同首页、合同金额所在页、签字盖章页、合同标的页），每提供一个得2分，最多得8分。</w:t>
            </w:r>
          </w:p>
          <w:p>
            <w:r>
              <w:t>评审标准说明：</w:t>
            </w:r>
          </w:p>
          <w:p>
            <w:r>
              <w:t>1、需提供投标人的软件开发合同（必须包括合同首页、金额页、标的页、签字盖章页）复印件并加盖投标人公章。</w:t>
              <w:cr/>
              <w:t>2、合同签署日期为投标截止日近三年内。如合同无签署日期无效。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5</w:t>
            </w:r>
          </w:p>
        </w:tc>
        <w:tc>
          <w:tcPr>
            <w:vMerge/>
          </w:tcPr>
          <w:p>
            <w:r>
              <w:t>商务部分</w:t>
            </w:r>
          </w:p>
        </w:tc>
        <w:tc>
          <w:tcPr/>
          <w:p>
            <w:r>
              <w:t>用户满意度证明（客观分）</w:t>
            </w:r>
          </w:p>
        </w:tc>
        <w:tc>
          <w:tcPr/>
          <w:p>
            <w:r>
              <w:t>勾选打分</w:t>
            </w:r>
            <w:r>
              <w:t>(5)</w:t>
            </w:r>
          </w:p>
        </w:tc>
        <w:tc>
          <w:tcPr/>
          <w:p>
            <w:r>
              <w:t>评审标准：</w:t>
            </w:r>
          </w:p>
          <w:p>
            <w:r>
              <w:t>用户使用满意度证明。提供近三年客户单位出具同类开发、服务、维护项目评价良好的证明文件，1份得1分，最多5分。</w:t>
            </w:r>
          </w:p>
          <w:p>
            <w:r>
              <w:t>评审标准说明：</w:t>
            </w:r>
          </w:p>
          <w:p>
            <w:r>
              <w:t>投标人提供投标截止日近三年内用户出具的与本项目类似的软件开发项目评价良好的证明文件（包括用户单位联系人及联系方式），并加盖投标人公章。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勾选打分</w:t>
            </w:r>
            <w:r>
              <w:t>(16)</w:t>
            </w:r>
          </w:p>
        </w:tc>
        <w:tc>
          <w:tcPr/>
          <w:p>
            <w:r>
              <w:t>评审标准：</w:t>
            </w:r>
          </w:p>
          <w:p>
            <w:r>
              <w:t>投标人应组成本项目开发服务团队，团队组织结构清晰，应设服务团队负责人（项目经理）、技术负责人，人员专业背景齐全。具体如下：</w:t>
              <w:cr/>
              <w:t>1、团队人数至少8人，其中驻场人员至少3人，驻场人员中至少2人具有至少1年以上本项目同类（气象资料处理、预报检验、短临预报、气象灾害预报预警、气象大数据云平台数据对接等）软件开发的经验。完全满足得4分，否则不得分；</w:t>
              <w:cr/>
              <w:t>2、项目经理有计算机专业背景，有本项目同类（气象资料处理、预报检验、短临预报、气象灾害预报预警、气象大数据云平台数据对接等）项目工作经验5年以上。完全满足得4分，否则不得分；</w:t>
              <w:cr/>
              <w:t>3、技术负责人有3年以上本项目同类（气象资料处理、预报检验、短临预报、气象灾害预报预警、气象大数据云平台数据对接等）相关项目软件设计、开发和集成经验。完全满足得4分，否则不得分；</w:t>
              <w:cr/>
              <w:t>4、团队其他成员应有计算机科学与技术专业背景2人、软件工程专业背景1人、电子信息/网络技术专业背景1人。完全满足得4分。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(4)</w:t>
            </w:r>
          </w:p>
        </w:tc>
        <w:tc>
          <w:tcPr/>
          <w:p>
            <w:r>
              <w:t>评审标准：</w:t>
            </w:r>
          </w:p>
          <w:p>
            <w:r>
              <w:t>提供书面承诺得4分。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二档1分</w:t>
              <w:cr/>
              <w:t>三档2分</w:t>
            </w:r>
          </w:p>
          <w:p>
            <w:r>
              <w:t>评审标准说明：</w:t>
            </w:r>
          </w:p>
          <w:p>
            <w:r>
              <w:t>提供培训计划和方案，包括制订科学合理的培训计划表、培训对象、培训内容、培训课时、培训材料，培训地点等。具体标准评分如下：</w:t>
              <w:cr/>
              <w:t>一档：未提供培训方案；</w:t>
              <w:cr/>
              <w:t>二档：提供培训方案，但培训方案不完整（指缺失培训计划表、培训对象、培训内容、培训课时、培训材料、培训地点等内容）；</w:t>
              <w:cr/>
              <w:t>三档：提供培训方案，培训方案完整，课程设计重点突出、针对性强，完全满足采购文件需求。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(3)</w:t>
            </w:r>
          </w:p>
        </w:tc>
        <w:tc>
          <w:tcPr/>
          <w:p>
            <w:r>
              <w:t>评审标准：</w:t>
            </w:r>
          </w:p>
          <w:p>
            <w:r>
              <w:t>一档0分</w:t>
              <w:cr/>
              <w:t>二档1分</w:t>
              <w:cr/>
              <w:t>三档3分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val="restart"/>
          </w:tcPr>
          <w:p>
            <w:r>
              <w:t>技术部分</w:t>
            </w:r>
          </w:p>
        </w:tc>
        <w:tc>
          <w:tcPr/>
          <w:p>
            <w:r>
              <w:t>项目需求理解（主观分）</w:t>
            </w:r>
          </w:p>
        </w:tc>
        <w:tc>
          <w:tcPr/>
          <w:p>
            <w:r>
              <w:t>勾选打分</w:t>
            </w:r>
            <w:r>
              <w:t>(3)</w:t>
            </w:r>
          </w:p>
        </w:tc>
        <w:tc>
          <w:tcPr/>
          <w:p>
            <w:r>
              <w:t>评审标准：</w:t>
            </w:r>
          </w:p>
          <w:p>
            <w:r>
              <w:t>一档0分</w:t>
              <w:cr/>
              <w:t>二档1分</w:t>
              <w:cr/>
              <w:t>三档3分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11</w:t>
            </w:r>
          </w:p>
        </w:tc>
        <w:tc>
          <w:tcPr>
            <w:vMerge/>
          </w:tcPr>
          <w:p>
            <w:r>
              <w:t>技术部分</w:t>
            </w:r>
          </w:p>
        </w:tc>
        <w:tc>
          <w:tcPr/>
          <w:p>
            <w:r>
              <w:t>软件开发计划（主观分）</w:t>
            </w:r>
          </w:p>
        </w:tc>
        <w:tc>
          <w:tcPr/>
          <w:p>
            <w:r>
              <w:t>勾选打分</w:t>
            </w:r>
            <w:r>
              <w:t>(3)</w:t>
            </w:r>
          </w:p>
        </w:tc>
        <w:tc>
          <w:tcPr/>
          <w:p>
            <w:r>
              <w:t>评审标准：</w:t>
            </w:r>
          </w:p>
          <w:p>
            <w:r>
              <w:t>一档0分</w:t>
              <w:cr/>
              <w:t>二档1分</w:t>
              <w:cr/>
              <w:t>三档2分</w:t>
              <w:cr/>
              <w:t>四档3分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软件开发需求分析（主观分）</w:t>
            </w:r>
          </w:p>
        </w:tc>
        <w:tc>
          <w:tcPr/>
          <w:p>
            <w:r>
              <w:t>勾选打分</w:t>
            </w:r>
            <w:r>
              <w:t>(5)</w:t>
            </w:r>
          </w:p>
        </w:tc>
        <w:tc>
          <w:tcPr/>
          <w:p>
            <w:r>
              <w:t>评审标准：</w:t>
            </w:r>
          </w:p>
          <w:p>
            <w:r>
              <w:t>一档0分</w:t>
              <w:cr/>
              <w:t>二档1分</w:t>
              <w:cr/>
              <w:t>三档3分</w:t>
              <w:cr/>
              <w:t>四档5分</w:t>
            </w:r>
          </w:p>
          <w:p>
            <w:r>
              <w:t>评审标准说明：</w:t>
            </w:r>
          </w:p>
          <w:p>
            <w:r>
              <w:t>提供软件系统各模块功能需求分析。具体评分标准如下：</w:t>
              <w:cr/>
              <w:t>一档：未提供需求分析。</w:t>
              <w:cr/>
              <w:t>二档：需求分析颗粒度程度低于项目要求。</w:t>
              <w:cr/>
              <w:t>三档：需求分析颗粒度程度基本满足项目要求，IPO描述较合理，处理流程说明较准确；</w:t>
              <w:cr/>
              <w:t>四档：对软件系统各模块进行功能需求拆分，并对各个功能点进行详细功能需求分析，需求分析颗粒度程度满足或优于项目要求，IPO描述详尽，处理流程说明准确。</w:t>
            </w:r>
          </w:p>
          <w:p/>
        </w:tc>
      </w:tr>
      <w:tr>
        <w:tblPrEx>
          <w:tblW w:w="5000" w:type="pct"/>
          <w:tblCellMar>
            <w:left w:w="108" w:type="dxa"/>
            <w:right w:w="108" w:type="dxa"/>
          </w:tblCellMar>
        </w:tblPrEx>
        <w:tc>
          <w:tcPr/>
          <w:p>
            <w:r>
              <w:t>13</w:t>
            </w:r>
          </w:p>
        </w:tc>
        <w:tc>
          <w:tcPr>
            <w:vMerge/>
          </w:tcPr>
          <w:p>
            <w:r>
              <w:t>技术部分</w:t>
            </w:r>
          </w:p>
        </w:tc>
        <w:tc>
          <w:tcPr/>
          <w:p>
            <w:r>
              <w:t>技术解决方案_总体设计（主观分）</w:t>
            </w:r>
          </w:p>
        </w:tc>
        <w:tc>
          <w:tcPr/>
          <w:p>
            <w:r>
              <w:t>勾选打分</w:t>
            </w:r>
            <w:r>
              <w:t>(4)</w:t>
            </w:r>
          </w:p>
        </w:tc>
        <w:tc>
          <w:tcPr/>
          <w:p>
            <w:r>
              <w:t>评审标准：</w:t>
            </w:r>
          </w:p>
          <w:p>
            <w:r>
              <w:t>一档0分</w:t>
              <w:cr/>
              <w:t>二档2分</w:t>
              <w:cr/>
              <w:t>三档4分</w:t>
            </w:r>
          </w:p>
          <w:p>
            <w:r>
              <w:t>评审标准说明：</w:t>
            </w:r>
          </w:p>
          <w:p>
            <w:r>
              <w:t>技术解决方案中提供总体设计部分。具体评分标准如下：</w:t>
              <w:cr/>
              <w:t>一档：总体设计部分未提供或不合理不可行；</w:t>
              <w:cr/>
              <w:t>二档：总体设计部分提出的技术架构、应用架构、数据架构、部署架构设计基本合理可行，技术较具有前瞻性，接口设计、非功能性等设计基本合理；</w:t>
              <w:cr/>
              <w:t>三档：总体设计部分对项目的技术特点认识深入，准确识别软件系统关键技术问题，并提出详细合理的解决方案。针对本项目总体设计提出的技术架构、应用架构、数据架构、部署架构设计合理可行，具有技术前瞻性，接口设计、非功能性等设计完整合理。</w:t>
            </w:r>
          </w:p>
          <w:p/>
        </w:tc>
      </w:tr>
      <w:tr>
        <w:tblPrEx>
          <w:tblW w:w="5000" w:type="pct"/>
          <w:tblCellMar>
            <w:left w:w="108" w:type="dxa"/>
            <w:right w:w="108" w:type="dxa"/>
          </w:tblCellMar>
        </w:tblPrEx>
        <w:tc>
          <w:tcPr/>
          <w:p>
            <w:r>
              <w:t>14</w:t>
            </w:r>
          </w:p>
        </w:tc>
        <w:tc>
          <w:tcPr>
            <w:vMerge/>
          </w:tcPr>
          <w:p>
            <w:r>
              <w:t>技术部分</w:t>
            </w:r>
          </w:p>
        </w:tc>
        <w:tc>
          <w:tcPr/>
          <w:p>
            <w:r>
              <w:t>技术解决方案_关键技术（主观分）</w:t>
            </w:r>
          </w:p>
        </w:tc>
        <w:tc>
          <w:tcPr/>
          <w:p>
            <w:r>
              <w:t>勾选打分</w:t>
            </w:r>
            <w:r>
              <w:t>(4)</w:t>
            </w:r>
          </w:p>
        </w:tc>
        <w:tc>
          <w:tcPr/>
          <w:p>
            <w:r>
              <w:t>评审标准：</w:t>
            </w:r>
          </w:p>
          <w:p>
            <w:r>
              <w:t>一档0分</w:t>
              <w:cr/>
              <w:t>二档1分</w:t>
              <w:cr/>
              <w:t>三档2分</w:t>
              <w:cr/>
              <w:t>四档4分</w:t>
            </w:r>
          </w:p>
          <w:p>
            <w:r>
              <w:t>评审标准说明：</w:t>
            </w:r>
          </w:p>
          <w:p>
            <w:r>
              <w:t>技术解决方案中提供关键技术部分。具体评分标准如下：</w:t>
              <w:cr/>
              <w:t>一档：未提供方案，或技术解决方案中未体现关键技术，设计不合理、技术不可落地。</w:t>
              <w:cr/>
              <w:t>二档：技术解决方案中能体现关键技术，设计不合理、技术可行性差。</w:t>
              <w:cr/>
              <w:t>三档：技术解决方案中基本体现关键技术，设计基本合理、技术基本可行。</w:t>
              <w:cr/>
              <w:t>四档：在技术解决方案中充分体现关键技术，设计完善合理、技术可行性强。</w:t>
            </w:r>
          </w:p>
          <w:p/>
        </w:tc>
      </w:tr>
      <w:tr>
        <w:tblPrEx>
          <w:tblW w:w="5000" w:type="pct"/>
          <w:tblCellMar>
            <w:left w:w="108" w:type="dxa"/>
            <w:right w:w="108" w:type="dxa"/>
          </w:tblCellMar>
        </w:tblPrEx>
        <w:tc>
          <w:tcPr/>
          <w:p>
            <w:r>
              <w:t>15</w:t>
            </w:r>
          </w:p>
        </w:tc>
        <w:tc>
          <w:tcPr>
            <w:vMerge/>
          </w:tcPr>
          <w:p>
            <w:r>
              <w:t>技术部分</w:t>
            </w:r>
          </w:p>
        </w:tc>
        <w:tc>
          <w:tcPr/>
          <w:p>
            <w:r>
              <w:t>技术解决方案_模块功能完整性（主观分）</w:t>
            </w:r>
          </w:p>
        </w:tc>
        <w:tc>
          <w:tcPr/>
          <w:p>
            <w:r>
              <w:t>区间打分</w:t>
            </w:r>
            <w:r>
              <w:t>(18)</w:t>
            </w:r>
          </w:p>
        </w:tc>
        <w:tc>
          <w:tcPr/>
          <w:p>
            <w:r>
              <w:t>评审标准：</w:t>
            </w:r>
          </w:p>
          <w:p>
            <w:r>
              <w:t>合同的全部6个功能模块包括：</w:t>
              <w:cr/>
              <w:t>1). 一体化通用智能算法集</w:t>
              <w:cr/>
              <w:t>2). 临近预报算法改造升级</w:t>
              <w:cr/>
              <w:t>3). 中低层三维智能数字预报开发与新增</w:t>
              <w:cr/>
              <w:t>4). 灾害性天气历史个例库建设</w:t>
              <w:cr/>
              <w:t>5). 灾害性天气可预报性评估及概率订正</w:t>
              <w:cr/>
              <w:t>6). 短临可预报性定量诊断估计</w:t>
              <w:cr/>
              <w:cr/>
              <w:t>以上每个模块</w:t>
              <w:cr/>
              <w:t>一档0分</w:t>
              <w:cr/>
              <w:t>二档1分</w:t>
              <w:cr/>
              <w:t>三档2分</w:t>
              <w:cr/>
              <w:t>四档3分</w:t>
              <w:cr/>
              <w:t>以上共计6模块，满分18分。</w:t>
            </w:r>
          </w:p>
          <w:p>
            <w:r>
              <w:t>评审标准说明：</w:t>
            </w:r>
          </w:p>
          <w:p>
            <w:r>
              <w:t>考察投标人对合同内全部6个功能模块部分设计的响应情况，根据其功能完备性、先进性、合理性和可扩展性进行评分。</w:t>
              <w:cr/>
              <w:t>每个子系统功能模块的评分标准为：</w:t>
              <w:cr/>
              <w:t>一档：未提供功能设计方案。</w:t>
              <w:cr/>
              <w:t>二档：模块设计方案技术差、可扩展性差、未提供业务流程图或数据流程图、功能阐述不完整；</w:t>
              <w:cr/>
              <w:t>三档：模块设计方案技术一般、可扩展性一般、提供的业务流程图和数据流程图基本满足要求、功能阐述较完整；</w:t>
              <w:cr/>
              <w:t>四档：模块设计方案技术先进、合理可行、功能完备、可扩展性好、提供清晰、明了、准确的业务流程图和数据流程图，对功能和操作流程阐述完整，性能和响应指标定义清晰；</w:t>
            </w:r>
          </w:p>
          <w:p/>
        </w:tc>
      </w:tr>
      <w:tr>
        <w:tblPrEx>
          <w:tblW w:w="5000" w:type="pct"/>
          <w:tblCellMar>
            <w:left w:w="108" w:type="dxa"/>
            <w:right w:w="108" w:type="dxa"/>
          </w:tblCellMar>
        </w:tblPrEx>
        <w:tc>
          <w:tcPr/>
          <w:p>
            <w:r>
              <w:t>16</w:t>
            </w:r>
          </w:p>
        </w:tc>
        <w:tc>
          <w:tcPr>
            <w:vMerge/>
          </w:tcPr>
          <w:p>
            <w:r>
              <w:t>技术部分</w:t>
            </w:r>
          </w:p>
        </w:tc>
        <w:tc>
          <w:tcPr/>
          <w:p>
            <w:r>
              <w:t>风险管理方案（主观分）</w:t>
            </w:r>
          </w:p>
        </w:tc>
        <w:tc>
          <w:tcPr/>
          <w:p>
            <w:r>
              <w:t>勾选打分</w:t>
            </w:r>
            <w:r>
              <w:t>(3)</w:t>
            </w:r>
          </w:p>
        </w:tc>
        <w:tc>
          <w:tcPr/>
          <w:p>
            <w:r>
              <w:t>评审标准：</w:t>
            </w:r>
          </w:p>
          <w:p>
            <w:r>
              <w:t>一档0分</w:t>
              <w:cr/>
              <w:t>二档1分</w:t>
              <w:cr/>
              <w:t>三档3分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DB4E9A" w:rsidRPr="00F22619">
      <w:pPr>
        <w:ind w:firstLine="723"/>
        <w:jc w:val="center"/>
        <w:rPr>
          <w:rFonts w:ascii="黑体" w:eastAsia="黑体"/>
          <w:b/>
          <w:sz w:val="36"/>
          <w:szCs w:val="36"/>
        </w:rPr>
      </w:pPr>
      <w:r>
        <w:rPr>
          <w:bCs/>
          <w:szCs w:val="21"/>
          <w:highlight w:val="none"/>
        </w:rPr>
        <w:br w:type="page"/>
      </w:r>
      <w:bookmarkStart w:id="60" w:name="插入_采购需求书"/>
      <w:r w:rsidRPr="00F22619">
        <w:rPr>
          <w:rFonts w:ascii="黑体" w:eastAsia="黑体" w:hint="eastAsia"/>
          <w:b/>
          <w:sz w:val="36"/>
          <w:szCs w:val="36"/>
        </w:rPr>
        <w:t>第七章  采购需求</w:t>
      </w:r>
    </w:p>
    <w:p w:rsidR="00DB4E9A">
      <w:pPr>
        <w:ind w:firstLine="1205"/>
        <w:jc w:val="center"/>
        <w:rPr>
          <w:rFonts w:ascii="黑体" w:eastAsia="黑体"/>
          <w:b/>
          <w:sz w:val="60"/>
          <w:szCs w:val="60"/>
          <w:u w:val="single"/>
        </w:rPr>
      </w:pPr>
    </w:p>
    <w:p w:rsidR="00F22619">
      <w:pPr>
        <w:ind w:firstLine="1205"/>
        <w:jc w:val="center"/>
        <w:rPr>
          <w:rFonts w:ascii="黑体" w:eastAsia="黑体"/>
          <w:b/>
          <w:sz w:val="60"/>
          <w:szCs w:val="60"/>
          <w:u w:val="single"/>
        </w:rPr>
      </w:pPr>
    </w:p>
    <w:p w:rsidR="00F22619">
      <w:pPr>
        <w:ind w:firstLine="1205"/>
        <w:jc w:val="center"/>
        <w:rPr>
          <w:rFonts w:ascii="黑体" w:eastAsia="黑体"/>
          <w:b/>
          <w:sz w:val="60"/>
          <w:szCs w:val="60"/>
          <w:u w:val="single"/>
        </w:rPr>
      </w:pPr>
    </w:p>
    <w:p w:rsidR="00F22619">
      <w:pPr>
        <w:ind w:firstLine="1205"/>
        <w:jc w:val="center"/>
        <w:rPr>
          <w:rFonts w:ascii="黑体" w:eastAsia="黑体" w:hint="eastAsia"/>
          <w:b/>
          <w:sz w:val="60"/>
          <w:szCs w:val="60"/>
          <w:u w:val="single"/>
        </w:rPr>
      </w:pPr>
    </w:p>
    <w:p w:rsidR="00F22619" w:rsidRPr="00F22619" w:rsidP="00F22619">
      <w:pPr>
        <w:ind w:firstLine="0" w:firstLineChars="0"/>
        <w:jc w:val="center"/>
        <w:rPr>
          <w:rFonts w:ascii="黑体" w:eastAsia="黑体"/>
          <w:b/>
          <w:sz w:val="30"/>
          <w:szCs w:val="30"/>
        </w:rPr>
      </w:pPr>
      <w:r w:rsidRPr="00F22619">
        <w:rPr>
          <w:rFonts w:ascii="黑体" w:eastAsia="黑体" w:hint="eastAsia"/>
          <w:b/>
          <w:sz w:val="30"/>
          <w:szCs w:val="30"/>
        </w:rPr>
        <w:t>《</w:t>
      </w:r>
      <w:r w:rsidRPr="00F22619" w:rsidR="00361D41">
        <w:rPr>
          <w:rFonts w:ascii="黑体" w:eastAsia="黑体" w:hint="eastAsia"/>
          <w:b/>
          <w:sz w:val="30"/>
          <w:szCs w:val="30"/>
        </w:rPr>
        <w:t>短时临近智能数字预报系统建设项目</w:t>
      </w:r>
    </w:p>
    <w:p w:rsidR="00DB4E9A" w:rsidRPr="00F22619" w:rsidP="00F22619">
      <w:pPr>
        <w:ind w:firstLine="0" w:firstLineChars="0"/>
        <w:jc w:val="center"/>
        <w:rPr>
          <w:rFonts w:ascii="黑体" w:eastAsia="黑体"/>
          <w:b/>
          <w:sz w:val="30"/>
          <w:szCs w:val="30"/>
        </w:rPr>
      </w:pPr>
      <w:r w:rsidRPr="00F22619">
        <w:rPr>
          <w:rFonts w:ascii="黑体" w:eastAsia="黑体" w:hint="eastAsia"/>
          <w:b/>
          <w:sz w:val="30"/>
          <w:szCs w:val="30"/>
        </w:rPr>
        <w:t>-</w:t>
      </w:r>
      <w:r w:rsidRPr="00F22619">
        <w:rPr>
          <w:rFonts w:ascii="黑体" w:eastAsia="黑体" w:hint="eastAsia"/>
          <w:b/>
          <w:sz w:val="30"/>
          <w:szCs w:val="30"/>
        </w:rPr>
        <w:t>短临诊断及预报预警能力建设项目</w:t>
      </w:r>
      <w:r w:rsidRPr="00F22619" w:rsidR="00F22619">
        <w:rPr>
          <w:rFonts w:ascii="黑体" w:eastAsia="黑体" w:hint="eastAsia"/>
          <w:b/>
          <w:sz w:val="30"/>
          <w:szCs w:val="30"/>
        </w:rPr>
        <w:t>》</w:t>
      </w:r>
      <w:r w:rsidRPr="00F22619">
        <w:rPr>
          <w:rFonts w:ascii="黑体" w:eastAsia="黑体" w:hint="eastAsia"/>
          <w:b/>
          <w:sz w:val="30"/>
          <w:szCs w:val="30"/>
        </w:rPr>
        <w:t>采购需求书</w:t>
      </w:r>
    </w:p>
    <w:p w:rsidR="00DB4E9A">
      <w:pPr>
        <w:pStyle w:val="Heading1"/>
        <w:pageBreakBefore/>
        <w:numPr>
          <w:ilvl w:val="0"/>
          <w:numId w:val="4"/>
        </w:numPr>
        <w:ind w:left="0" w:firstLine="0"/>
        <w:rPr>
          <w:lang w:val="zh-CN"/>
        </w:rPr>
      </w:pPr>
      <w:bookmarkStart w:id="61" w:name="_Toc172191736"/>
      <w:r>
        <w:rPr>
          <w:rFonts w:hint="eastAsia"/>
          <w:lang w:val="zh-CN"/>
        </w:rPr>
        <w:t>项</w:t>
      </w:r>
      <w:r>
        <w:rPr>
          <w:rFonts w:hint="eastAsia"/>
          <w:lang w:val="zh-CN"/>
        </w:rPr>
        <w:t>目概述</w:t>
      </w:r>
      <w:bookmarkEnd w:id="61"/>
    </w:p>
    <w:p w:rsidR="00DB4E9A">
      <w:pPr>
        <w:pStyle w:val="Heading2"/>
        <w:numPr>
          <w:ilvl w:val="1"/>
          <w:numId w:val="5"/>
        </w:numPr>
        <w:rPr>
          <w:rFonts w:ascii="宋体" w:hAnsi="宋体"/>
          <w:lang w:val="zh-CN"/>
        </w:rPr>
      </w:pPr>
      <w:bookmarkStart w:id="62" w:name="_Toc172191737"/>
      <w:r>
        <w:rPr>
          <w:rFonts w:ascii="宋体" w:hAnsi="宋体" w:hint="eastAsia"/>
          <w:lang w:val="zh-CN"/>
        </w:rPr>
        <w:t>项目名称</w:t>
      </w:r>
      <w:bookmarkEnd w:id="62"/>
    </w:p>
    <w:p w:rsidR="00DB4E9A">
      <w:pPr>
        <w:ind w:firstLine="560"/>
        <w:rPr>
          <w:lang w:val="zh-CN"/>
        </w:rPr>
      </w:pPr>
      <w:r>
        <w:rPr>
          <w:rFonts w:hint="eastAsia"/>
          <w:lang w:val="zh-CN"/>
        </w:rPr>
        <w:t>短时临近智能数字预报系统建设项目</w:t>
      </w:r>
      <w:r>
        <w:rPr>
          <w:rFonts w:hint="eastAsia"/>
          <w:lang w:val="zh-CN"/>
        </w:rPr>
        <w:t>-</w:t>
      </w:r>
      <w:r>
        <w:rPr>
          <w:rFonts w:hint="eastAsia"/>
          <w:lang w:val="zh-CN"/>
        </w:rPr>
        <w:t>短临诊断及预报预警能力建设</w:t>
      </w:r>
    </w:p>
    <w:p w:rsidR="00DB4E9A">
      <w:pPr>
        <w:pStyle w:val="Heading2"/>
        <w:numPr>
          <w:ilvl w:val="1"/>
          <w:numId w:val="5"/>
        </w:numPr>
        <w:rPr>
          <w:rFonts w:ascii="宋体" w:hAnsi="宋体"/>
          <w:lang w:val="zh-CN"/>
        </w:rPr>
      </w:pPr>
      <w:bookmarkStart w:id="63" w:name="_Toc137459465"/>
      <w:bookmarkStart w:id="64" w:name="_Toc172191738"/>
      <w:r>
        <w:rPr>
          <w:rFonts w:ascii="宋体" w:hAnsi="宋体"/>
          <w:lang w:val="zh-CN"/>
        </w:rPr>
        <w:t>实施地点</w:t>
      </w:r>
      <w:bookmarkEnd w:id="63"/>
      <w:bookmarkEnd w:id="64"/>
    </w:p>
    <w:p w:rsidR="00DB4E9A">
      <w:pPr>
        <w:ind w:firstLine="560"/>
        <w:rPr>
          <w:lang w:val="zh-CN"/>
        </w:rPr>
      </w:pPr>
      <w:r>
        <w:rPr>
          <w:rFonts w:hint="eastAsia"/>
          <w:lang w:val="zh-CN"/>
        </w:rPr>
        <w:t>国家气象中心</w:t>
      </w:r>
    </w:p>
    <w:p w:rsidR="00DB4E9A">
      <w:pPr>
        <w:pStyle w:val="Heading2"/>
        <w:numPr>
          <w:ilvl w:val="1"/>
          <w:numId w:val="5"/>
        </w:numPr>
        <w:rPr>
          <w:rFonts w:ascii="宋体" w:hAnsi="宋体"/>
          <w:lang w:val="zh-CN"/>
        </w:rPr>
      </w:pPr>
      <w:bookmarkStart w:id="65" w:name="_Toc172191739"/>
      <w:r>
        <w:rPr>
          <w:rFonts w:ascii="宋体" w:hAnsi="宋体" w:hint="eastAsia"/>
          <w:lang w:val="zh-CN"/>
        </w:rPr>
        <w:t>建设内容</w:t>
      </w:r>
      <w:bookmarkEnd w:id="65"/>
    </w:p>
    <w:p w:rsidR="00DB4E9A">
      <w:pPr>
        <w:pStyle w:val="-"/>
        <w:ind w:firstLine="640"/>
        <w:rPr>
          <w:lang w:val="zh-CN"/>
        </w:rPr>
      </w:pPr>
      <w:r>
        <w:rPr>
          <w:rFonts w:hint="eastAsia"/>
        </w:rPr>
        <w:t>短时临近智能数字预报系统建设项目</w:t>
      </w:r>
      <w:r>
        <w:rPr>
          <w:rFonts w:hint="eastAsia"/>
        </w:rPr>
        <w:t>-</w:t>
      </w:r>
      <w:r>
        <w:rPr>
          <w:rFonts w:hint="eastAsia"/>
        </w:rPr>
        <w:t>短临诊断及预报预警能力建设包括一体化通用智能算法集、临近预报算法改造升级、中低层三维智能数字预报开发与新增、灾害性天气历史个例库建设、灾害性天气可预报性评估及概率订正、短临可预报性定量诊断估计共</w:t>
      </w:r>
      <w:r>
        <w:rPr>
          <w:rFonts w:hint="eastAsia"/>
        </w:rPr>
        <w:t>6</w:t>
      </w:r>
      <w:r>
        <w:rPr>
          <w:rFonts w:hint="eastAsia"/>
        </w:rPr>
        <w:t>部分组成</w:t>
      </w:r>
      <w:r>
        <w:t>。</w:t>
      </w:r>
    </w:p>
    <w:p w:rsidR="00DB4E9A">
      <w:pPr>
        <w:pStyle w:val="Heading1"/>
        <w:pageBreakBefore/>
        <w:numPr>
          <w:ilvl w:val="0"/>
          <w:numId w:val="4"/>
        </w:numPr>
        <w:ind w:left="0" w:firstLine="0"/>
        <w:rPr>
          <w:lang w:val="zh-CN"/>
        </w:rPr>
      </w:pPr>
      <w:bookmarkStart w:id="66" w:name="_Toc172191740"/>
      <w:bookmarkStart w:id="67" w:name="_Toc137459468"/>
      <w:r>
        <w:rPr>
          <w:rFonts w:hint="eastAsia"/>
          <w:lang w:val="zh-CN"/>
        </w:rPr>
        <w:t>技术规格要求</w:t>
      </w:r>
      <w:bookmarkEnd w:id="66"/>
      <w:bookmarkEnd w:id="67"/>
    </w:p>
    <w:p w:rsidR="00DB4E9A">
      <w:pPr>
        <w:pStyle w:val="Heading2"/>
        <w:numPr>
          <w:ilvl w:val="1"/>
          <w:numId w:val="6"/>
        </w:numPr>
        <w:rPr>
          <w:rFonts w:ascii="宋体" w:hAnsi="宋体"/>
        </w:rPr>
      </w:pPr>
      <w:bookmarkStart w:id="68" w:name="_Toc137459469"/>
      <w:bookmarkStart w:id="69" w:name="_Toc172191741"/>
      <w:r>
        <w:rPr>
          <w:rFonts w:ascii="宋体" w:hAnsi="宋体" w:hint="eastAsia"/>
        </w:rPr>
        <w:t>功能性要求</w:t>
      </w:r>
      <w:bookmarkEnd w:id="68"/>
      <w:bookmarkEnd w:id="69"/>
    </w:p>
    <w:p w:rsidR="00DB4E9A">
      <w:pPr>
        <w:pStyle w:val="Heading3"/>
        <w:numPr>
          <w:ilvl w:val="2"/>
          <w:numId w:val="6"/>
        </w:numPr>
        <w:ind w:firstLine="602"/>
        <w:jc w:val="left"/>
        <w:rPr>
          <w:rFonts w:ascii="宋体" w:hAnsi="宋体"/>
        </w:rPr>
      </w:pPr>
      <w:r>
        <w:rPr>
          <w:rFonts w:ascii="宋体" w:hAnsi="宋体" w:hint="eastAsia"/>
        </w:rPr>
        <w:t>一体化通用智能算法集</w:t>
      </w:r>
    </w:p>
    <w:p w:rsidR="00DB4E9A">
      <w:pPr>
        <w:ind w:firstLine="560"/>
      </w:pPr>
      <w:r>
        <w:rPr>
          <w:rFonts w:hint="eastAsia"/>
        </w:rPr>
        <w:t>搭建一体化客观算法开发底座，构建统一标准数据结构和训练数据专题库，实现算法代码的统一管理与适配，融入数字预报</w:t>
      </w:r>
      <w:r>
        <w:rPr>
          <w:rFonts w:hint="eastAsia"/>
        </w:rPr>
        <w:t xml:space="preserve"> V2.0 </w:t>
      </w:r>
      <w:r>
        <w:rPr>
          <w:rFonts w:hint="eastAsia"/>
        </w:rPr>
        <w:t>相关系统，完成底层代码适配改造。提升算法及流程的集约化水平，满足数字预报业务需求，确保系统在不同硬件环境下稳定运行，保障数据处理和算法运行的高效性与准确性。</w:t>
      </w:r>
    </w:p>
    <w:p w:rsidR="00DB4E9A">
      <w:pPr>
        <w:ind w:firstLine="560"/>
      </w:pPr>
      <w:r>
        <w:rPr>
          <w:rFonts w:hint="eastAsia"/>
        </w:rPr>
        <w:t>制定并遵循一体化算法规范，统一算法的数据接口标准，确保不同算法之间能够顺畅地进行数据交互。规范代码结构，使代码具有更好的可读性和可维护性。统一模块化调度方式，实现算法的高效调用和管理，提高算法的通用性和可扩展性，便于后续的更新与优化。构建智能数字预报统一标准数据结构，根据气象数据的特点和业务需求，精确设计数据的存储格式，如采用二进制、文本等合适格式存储</w:t>
      </w:r>
      <w:r>
        <w:rPr>
          <w:rFonts w:hint="eastAsia"/>
        </w:rPr>
        <w:t>不同类型数据。明确定义字段，使数据的组织更加有序，便于数据的存储、查询和分析。统一数据类型，避免因数据类型不一致导致的数据处理错误，确保不同来源、不同格式的气象数据能够在统一的数据结构下高效交互和处理。将现行业务智能数字代码向一体化算法规范调整，通过对代码进行重构、修改接口等操作，使代码符合新的规范要求。对底层代码进行国产硬件、系统及环境库的适配改造，深入了解国产硬件的性能特点和系统架构，优化代码以充分发挥国产硬件的优势。</w:t>
      </w:r>
      <w:r>
        <w:rPr>
          <w:rFonts w:hint="eastAsia"/>
        </w:rPr>
        <w:t>针对不同的国产环境库，调整代码的调用方式和参数设置，确保系统在国产硬件环境下稳定、高效</w:t>
      </w:r>
      <w:r>
        <w:rPr>
          <w:rFonts w:hint="eastAsia"/>
        </w:rPr>
        <w:t>运行。</w:t>
      </w:r>
    </w:p>
    <w:p w:rsidR="00DB4E9A">
      <w:pPr>
        <w:ind w:firstLine="560"/>
      </w:pPr>
      <w:r>
        <w:rPr>
          <w:rFonts w:hint="eastAsia"/>
        </w:rPr>
        <w:t>本部分包括一体化规范适配模块、算法数据交互接口标准化模块、模块化调度系统优化模块、一体化通用智能算法集搭建模块、算法代码上传审核模块、算法代码更新管理模块、算法性能评估与优化模块、系统融入算法流水线设计模块、业务化切换测试方案制定模块、业务化测试执行与反馈模块、国产硬件底层代码适配模块、国产系统兼容性优化模块、国产环境库适配与集成模块、云平台资源管理模块、算法开发协作平台搭建模块、算法知识图谱构建模块、算法应用案例库建设模块。</w:t>
      </w:r>
    </w:p>
    <w:p w:rsidR="00DB4E9A">
      <w:pPr>
        <w:ind w:firstLine="560"/>
      </w:pPr>
      <w:r>
        <w:rPr>
          <w:rFonts w:hint="eastAsia"/>
        </w:rPr>
        <w:t>本部分建设内容依托国家级基础设施资源，开发后部署在国家气象中心，并实现国</w:t>
      </w:r>
      <w:r>
        <w:rPr>
          <w:rFonts w:hint="eastAsia"/>
        </w:rPr>
        <w:t>省两级应用。</w:t>
      </w:r>
    </w:p>
    <w:p w:rsidR="00DB4E9A">
      <w:pPr>
        <w:pStyle w:val="Heading3"/>
        <w:numPr>
          <w:ilvl w:val="2"/>
          <w:numId w:val="6"/>
        </w:numPr>
        <w:ind w:firstLine="602"/>
        <w:jc w:val="left"/>
        <w:rPr>
          <w:rFonts w:ascii="宋体" w:hAnsi="宋体"/>
        </w:rPr>
      </w:pPr>
      <w:r>
        <w:rPr>
          <w:rFonts w:ascii="宋体" w:hAnsi="宋体" w:hint="eastAsia"/>
        </w:rPr>
        <w:t>临近预报算法改造升级</w:t>
      </w:r>
    </w:p>
    <w:p w:rsidR="00DB4E9A">
      <w:pPr>
        <w:ind w:firstLine="560"/>
      </w:pPr>
      <w:r>
        <w:rPr>
          <w:rFonts w:hint="eastAsia"/>
        </w:rPr>
        <w:t>基于尺度分离和人工智能算法的高分辨率气象预报技术，借助先进算法对全国区域</w:t>
      </w:r>
      <w:r>
        <w:rPr>
          <w:rFonts w:hint="eastAsia"/>
        </w:rPr>
        <w:t xml:space="preserve"> 1km </w:t>
      </w:r>
      <w:r>
        <w:rPr>
          <w:rFonts w:hint="eastAsia"/>
        </w:rPr>
        <w:t>分辨率下</w:t>
      </w:r>
      <w:r>
        <w:rPr>
          <w:rFonts w:hint="eastAsia"/>
        </w:rPr>
        <w:t xml:space="preserve"> 10m </w:t>
      </w:r>
      <w:r>
        <w:rPr>
          <w:rFonts w:hint="eastAsia"/>
        </w:rPr>
        <w:t>风速、</w:t>
      </w:r>
      <w:r>
        <w:rPr>
          <w:rFonts w:hint="eastAsia"/>
        </w:rPr>
        <w:t xml:space="preserve">2m </w:t>
      </w:r>
      <w:r>
        <w:rPr>
          <w:rFonts w:hint="eastAsia"/>
        </w:rPr>
        <w:t>温度及</w:t>
      </w:r>
      <w:r>
        <w:rPr>
          <w:rFonts w:hint="eastAsia"/>
        </w:rPr>
        <w:t xml:space="preserve"> 2m </w:t>
      </w:r>
      <w:r>
        <w:rPr>
          <w:rFonts w:hint="eastAsia"/>
        </w:rPr>
        <w:t>相对湿度精确预报，满足多领域对精细化气象数据的需求，未来</w:t>
      </w:r>
      <w:r>
        <w:rPr>
          <w:rFonts w:hint="eastAsia"/>
        </w:rPr>
        <w:t xml:space="preserve"> 3 </w:t>
      </w:r>
      <w:r>
        <w:rPr>
          <w:rFonts w:hint="eastAsia"/>
        </w:rPr>
        <w:t>小时逐</w:t>
      </w:r>
      <w:r>
        <w:rPr>
          <w:rFonts w:hint="eastAsia"/>
        </w:rPr>
        <w:t xml:space="preserve"> 10 </w:t>
      </w:r>
      <w:r>
        <w:rPr>
          <w:rFonts w:hint="eastAsia"/>
        </w:rPr>
        <w:t>分钟滚动更新，实时追踪气象要素变化，为决策提供实时数据。依据</w:t>
      </w:r>
      <w:r>
        <w:rPr>
          <w:rFonts w:hint="eastAsia"/>
        </w:rPr>
        <w:t xml:space="preserve"> NIMM </w:t>
      </w:r>
      <w:r>
        <w:rPr>
          <w:rFonts w:hint="eastAsia"/>
        </w:rPr>
        <w:t>技术框架与智能算法集成平台规范搭建完善，增强与其他气象系统、算法的兼容性以实现数据共享与协同。通过优化算法和技术架构，提升产品稳定性和计算效率，能快速生成预报结果。空间分辨率达</w:t>
      </w:r>
      <w:r>
        <w:rPr>
          <w:rFonts w:hint="eastAsia"/>
        </w:rPr>
        <w:t xml:space="preserve"> 1km</w:t>
      </w:r>
      <w:r>
        <w:rPr>
          <w:rFonts w:hint="eastAsia"/>
        </w:rPr>
        <w:t>，可精准呈现小尺度</w:t>
      </w:r>
      <w:r>
        <w:rPr>
          <w:rFonts w:hint="eastAsia"/>
        </w:rPr>
        <w:t>区域气象要素差异，时间分辨率为</w:t>
      </w:r>
      <w:r>
        <w:rPr>
          <w:rFonts w:hint="eastAsia"/>
        </w:rPr>
        <w:t xml:space="preserve"> 3 </w:t>
      </w:r>
      <w:r>
        <w:rPr>
          <w:rFonts w:hint="eastAsia"/>
        </w:rPr>
        <w:t>小时逐</w:t>
      </w:r>
      <w:r>
        <w:rPr>
          <w:rFonts w:hint="eastAsia"/>
        </w:rPr>
        <w:t xml:space="preserve"> 10 </w:t>
      </w:r>
      <w:r>
        <w:rPr>
          <w:rFonts w:hint="eastAsia"/>
        </w:rPr>
        <w:t>分钟滚动更新，能快速捕捉气象要素短期变化，对关键</w:t>
      </w:r>
      <w:r>
        <w:rPr>
          <w:rFonts w:hint="eastAsia"/>
        </w:rPr>
        <w:t>气象要素预报准确率高，系统运行稳定，运行效率高，从数据采集到生成结果时间短，能快速响应用户需求，在灾害预警时争取更多应对时间。</w:t>
      </w:r>
    </w:p>
    <w:p w:rsidR="00DB4E9A">
      <w:pPr>
        <w:ind w:firstLine="560"/>
      </w:pPr>
      <w:r>
        <w:rPr>
          <w:rFonts w:hint="eastAsia"/>
        </w:rPr>
        <w:t>为实现高分辨率气象预报，运用了一系列关键技术。尺度分离技术有效分解不同尺度的气象过程，突出关键尺度特征，为后续预报奠定基础；人工智能算法对海量历史气象数据深度挖掘，学习气象要素间复杂关系，构建精准预报模型；基于</w:t>
      </w:r>
      <w:r>
        <w:rPr>
          <w:rFonts w:hint="eastAsia"/>
        </w:rPr>
        <w:t xml:space="preserve"> NIMM </w:t>
      </w:r>
      <w:r>
        <w:rPr>
          <w:rFonts w:hint="eastAsia"/>
        </w:rPr>
        <w:t>技术框架搭建预报体系，遵循智能算法集成平台规范，保障数据处理、算</w:t>
      </w:r>
      <w:r>
        <w:rPr>
          <w:rFonts w:hint="eastAsia"/>
        </w:rPr>
        <w:t>法运行等环节的标准化与兼容性，实现数据共享与协同；通过优化算法和技术架构，采用分布式计算、缓存技术等，提升系统运行稳定性与计算效率，减少故障和数据异常，快速生成预报结果，从而满足城市规划、交通管理等多领域对精细化、实时化气象预报的需求，为临近预报及灾害预警等提供有力支撑。</w:t>
      </w:r>
    </w:p>
    <w:p w:rsidR="00DB4E9A">
      <w:pPr>
        <w:ind w:firstLine="560"/>
      </w:pPr>
      <w:r>
        <w:rPr>
          <w:rFonts w:hint="eastAsia"/>
        </w:rPr>
        <w:t>本部分包括尺度分离算法深度优化模块、算法参数动态协同优化模块、算法性能评估与改进模块、多要素融合模块、多算法集成应用模块、滚动订正算法模块、多要素融合模型构建模块、模型训练过程监控与优化模块、模型验证与回溯分析模块、临近全要素预报产品生成</w:t>
      </w:r>
      <w:r>
        <w:rPr>
          <w:rFonts w:hint="eastAsia"/>
        </w:rPr>
        <w:t>模块、预报产品质量检验模块、预报产品格式转换与标准化模块、</w:t>
      </w:r>
      <w:r>
        <w:rPr>
          <w:rFonts w:hint="eastAsia"/>
        </w:rPr>
        <w:t xml:space="preserve">NIMM </w:t>
      </w:r>
      <w:r>
        <w:rPr>
          <w:rFonts w:hint="eastAsia"/>
        </w:rPr>
        <w:t>框架适配代码优化模块、气象数据智能插值模块、气象要素异常检测模块、预报时效动态调整模块、算法可解释性增强模块、模型参数自适应优化模块、多模式协同优化模块、高分辨率地形数据融合模块、气象要素关联分析拓展模块、智能算法集成平台规范适配代码</w:t>
      </w:r>
      <w:r>
        <w:rPr>
          <w:rFonts w:hint="eastAsia"/>
        </w:rPr>
        <w:t>调整模块、算法运行效率优化模块、稳定性增强模块、实时监控模块、故障诊断与修复模块、维护与更新模块、用户反馈驱动优化模块等组成。</w:t>
      </w:r>
    </w:p>
    <w:p w:rsidR="00DB4E9A">
      <w:pPr>
        <w:ind w:firstLine="560"/>
      </w:pPr>
      <w:r>
        <w:rPr>
          <w:rFonts w:hint="eastAsia"/>
        </w:rPr>
        <w:t>本部分建设内容依托国家级基础设施资源，开发后部署在国家气象中心，并实现国省两级应用</w:t>
      </w:r>
      <w:r>
        <w:rPr>
          <w:rFonts w:hint="eastAsia"/>
        </w:rPr>
        <w:t>。</w:t>
      </w:r>
    </w:p>
    <w:p w:rsidR="00DB4E9A">
      <w:pPr>
        <w:pStyle w:val="Heading3"/>
        <w:numPr>
          <w:ilvl w:val="2"/>
          <w:numId w:val="6"/>
        </w:numPr>
        <w:ind w:firstLine="602"/>
        <w:jc w:val="left"/>
        <w:rPr>
          <w:rFonts w:ascii="宋体" w:hAnsi="宋体"/>
        </w:rPr>
      </w:pPr>
      <w:r>
        <w:rPr>
          <w:rFonts w:ascii="宋体" w:hAnsi="宋体" w:hint="eastAsia"/>
        </w:rPr>
        <w:t>中低层三维智能数字预报开发与新增</w:t>
      </w:r>
    </w:p>
    <w:p w:rsidR="00DB4E9A">
      <w:pPr>
        <w:ind w:firstLine="560"/>
      </w:pPr>
      <w:r>
        <w:rPr>
          <w:rFonts w:hint="eastAsia"/>
        </w:rPr>
        <w:t>基于</w:t>
      </w:r>
      <w:r>
        <w:rPr>
          <w:rFonts w:hint="eastAsia"/>
        </w:rPr>
        <w:t xml:space="preserve"> NIMM </w:t>
      </w:r>
      <w:r>
        <w:rPr>
          <w:rFonts w:hint="eastAsia"/>
        </w:rPr>
        <w:t>框架构建的三维立体精细化智能数字预报技术，实现全球短期中低层三维智能数字预报产品的业务化运行。该功能可提供中低层大气的温度、湿度、风场等多要素的三维要素预报，分辨率达到业务应用要求，为气象预报提供更全面、准确的气象信息。在性能方面，系统具备高效的数据处理和运算能力，能够快速生成预报产品，满足业务实时性需求。通过优化算法和技术架构，提高系统的稳定性和可靠性，确保在长时间运行过程中不出现故障或数据异常情况。</w:t>
      </w:r>
    </w:p>
    <w:p w:rsidR="00DB4E9A">
      <w:pPr>
        <w:ind w:firstLine="560"/>
      </w:pPr>
      <w:r>
        <w:rPr>
          <w:rFonts w:hint="eastAsia"/>
        </w:rPr>
        <w:t>运用人工智能等大数据技术，对全球数值模式、</w:t>
      </w:r>
      <w:r>
        <w:rPr>
          <w:rFonts w:hint="eastAsia"/>
        </w:rPr>
        <w:t xml:space="preserve">CMA </w:t>
      </w:r>
      <w:r>
        <w:rPr>
          <w:rFonts w:hint="eastAsia"/>
        </w:rPr>
        <w:t xml:space="preserve">- RA </w:t>
      </w:r>
      <w:r>
        <w:rPr>
          <w:rFonts w:hint="eastAsia"/>
        </w:rPr>
        <w:t>全球大气实况等多源数据进行融合和分析。基于</w:t>
      </w:r>
      <w:r>
        <w:rPr>
          <w:rFonts w:hint="eastAsia"/>
        </w:rPr>
        <w:t xml:space="preserve"> NIMM </w:t>
      </w:r>
      <w:r>
        <w:rPr>
          <w:rFonts w:hint="eastAsia"/>
        </w:rPr>
        <w:t>框架开发的中低层三维立体精细化智能数字预报技术，构建中低层三维精细化数字预报模型，利用高性能计算技术，实现大规模数据的快速处理和模型的高效运行，保障预报产品的及时生成。</w:t>
      </w:r>
    </w:p>
    <w:p w:rsidR="00DB4E9A">
      <w:pPr>
        <w:ind w:firstLine="560"/>
      </w:pPr>
      <w:r>
        <w:rPr>
          <w:rFonts w:hint="eastAsia"/>
        </w:rPr>
        <w:t>本部分包括多源数据融合模块、三维预报模型构建模块、模型训练与优化模块、预报产品生成与发布模块、监控与维护模块、模型参数动态优化模块、多源数据质量实时监控模块、预报产品精度提升模块、三维可视化增强模块、数据传输优化模块、物理过程参数化改进</w:t>
      </w:r>
      <w:r>
        <w:rPr>
          <w:rFonts w:hint="eastAsia"/>
        </w:rPr>
        <w:t>模块、模型扩展性增强模块、算法并行化加速模</w:t>
      </w:r>
      <w:r>
        <w:rPr>
          <w:rFonts w:hint="eastAsia"/>
        </w:rPr>
        <w:t>块、产品容错处理模块、边界条件优化模块、多模型融合辅助模块、用户反馈分析模块等组成。</w:t>
      </w:r>
    </w:p>
    <w:p w:rsidR="00DB4E9A">
      <w:pPr>
        <w:ind w:firstLine="560"/>
      </w:pPr>
      <w:r>
        <w:rPr>
          <w:rFonts w:hint="eastAsia"/>
        </w:rPr>
        <w:t>本部分建设内容依托国家级基础设施资源，开发后部署在国家气象中心，并实现国省两级应用。</w:t>
      </w:r>
    </w:p>
    <w:p w:rsidR="00DB4E9A">
      <w:pPr>
        <w:pStyle w:val="Heading3"/>
        <w:numPr>
          <w:ilvl w:val="2"/>
          <w:numId w:val="6"/>
        </w:numPr>
        <w:ind w:firstLine="602"/>
        <w:jc w:val="left"/>
        <w:rPr>
          <w:rFonts w:ascii="宋体" w:hAnsi="宋体"/>
        </w:rPr>
      </w:pPr>
      <w:r>
        <w:rPr>
          <w:rFonts w:ascii="宋体" w:hAnsi="宋体" w:hint="eastAsia"/>
        </w:rPr>
        <w:t>灾害天气历史个例库建设</w:t>
      </w:r>
    </w:p>
    <w:p w:rsidR="00DB4E9A">
      <w:pPr>
        <w:ind w:firstLine="560"/>
      </w:pPr>
      <w:r>
        <w:rPr>
          <w:rFonts w:hint="eastAsia"/>
        </w:rPr>
        <w:t>完善后的全国范围重大灾害性天气过程历史个例库，具备完备的查询和检索功能。用户可以通过多种条件，如灾害类型、时间、地点、气象要素等，快速准确地查询到相关的历史个例。利用高分辨率气象数据和人工智能算法，大幅提升天气过程的相似性匹配度和检索效率，能够在海量数据中迅速找到与当前天气情况相似的历史个例，为灾害天气的预警、预报</w:t>
      </w:r>
      <w:r>
        <w:rPr>
          <w:rFonts w:hint="eastAsia"/>
        </w:rPr>
        <w:t>服务提供科学参考。在性能方面，个例库具备高效的数据存储和检索能力，采用先进的数据管理整合算法。通过优化算法和数据结构，提高相似性匹配和检索的速度，满足业务实时性需求。</w:t>
      </w:r>
    </w:p>
    <w:p w:rsidR="00DB4E9A">
      <w:pPr>
        <w:ind w:firstLine="560"/>
      </w:pPr>
      <w:r>
        <w:rPr>
          <w:rFonts w:hint="eastAsia"/>
        </w:rPr>
        <w:t>采用人工智能算法，对气象数据进行特征提取和分析，提高天气过程相似性匹配的准确性。运用大数据存储和管理技术，建立分布式数据库，实现海量历史气象数据的高效存储和管理。开发智能检索算法，结合语义理解和关联分析，提高检索的精度和效率。利用数据挖掘技术，从历史个例中挖掘出潜在的气象规律和灾害演变模式，为灾害预警和预报提供更有价值的信息。</w:t>
      </w:r>
    </w:p>
    <w:p w:rsidR="00DB4E9A">
      <w:pPr>
        <w:ind w:firstLine="560"/>
      </w:pPr>
      <w:r>
        <w:rPr>
          <w:rFonts w:hint="eastAsia"/>
        </w:rPr>
        <w:t>本部分包括历史</w:t>
      </w:r>
      <w:r>
        <w:rPr>
          <w:rFonts w:hint="eastAsia"/>
        </w:rPr>
        <w:t>数据收集与整理模块、个例库构建模块、相似性匹配算法开发模块、检索功能实现模块、数据更新与维护模块、数据</w:t>
      </w:r>
      <w:r>
        <w:rPr>
          <w:rFonts w:hint="eastAsia"/>
        </w:rPr>
        <w:t>深度挖掘分析模块、相似案例智能推荐模块、数据可视化展示优化模块、数据安全备份模块、多源数据融合拓展模块、用户权限管理模块、与其他系统对接模块、案例评估与反馈模块、智能检索结果排序模块、数据标注优化模块、数据挖掘模型更新模块、个例库性能监测模块、数据质量跟踪模块、数据关联分析模块、数据压缩与存储优化模块、用户行为分析模块等组成。</w:t>
      </w:r>
    </w:p>
    <w:p w:rsidR="00DB4E9A">
      <w:pPr>
        <w:ind w:firstLine="560"/>
      </w:pPr>
      <w:r>
        <w:rPr>
          <w:rFonts w:hint="eastAsia"/>
        </w:rPr>
        <w:t>部署在国家气象中心，通过气象专用网络为各级气象台站提供访问服务。国家气象中心负责</w:t>
      </w:r>
      <w:r>
        <w:rPr>
          <w:rFonts w:hint="eastAsia"/>
        </w:rPr>
        <w:t>个例库的日常管理和维护，确保数据的安全和稳定。</w:t>
      </w:r>
    </w:p>
    <w:p w:rsidR="00DB4E9A">
      <w:pPr>
        <w:pStyle w:val="Heading3"/>
        <w:numPr>
          <w:ilvl w:val="2"/>
          <w:numId w:val="6"/>
        </w:numPr>
        <w:ind w:firstLine="602"/>
        <w:jc w:val="left"/>
        <w:rPr>
          <w:rFonts w:ascii="宋体" w:hAnsi="宋体"/>
        </w:rPr>
      </w:pPr>
      <w:r>
        <w:rPr>
          <w:rFonts w:ascii="宋体" w:hAnsi="宋体" w:hint="eastAsia"/>
        </w:rPr>
        <w:t>灾害性天气可预报性评估及概率订正</w:t>
      </w:r>
    </w:p>
    <w:p w:rsidR="00DB4E9A">
      <w:pPr>
        <w:ind w:firstLine="560"/>
      </w:pPr>
      <w:r>
        <w:rPr>
          <w:rFonts w:hint="eastAsia"/>
        </w:rPr>
        <w:t>量化模式预报不确定性，准确评估不同灾害性天气条件下的可预报性。通过诊断分析预报不确定性的发展方向，为预报的修正提供科学依据。在此基础上，发展集合预报物理约束订正技术，优化集合预报的概率密度函数（</w:t>
      </w:r>
      <w:r>
        <w:rPr>
          <w:rFonts w:hint="eastAsia"/>
        </w:rPr>
        <w:t>PDF</w:t>
      </w:r>
      <w:r>
        <w:rPr>
          <w:rFonts w:hint="eastAsia"/>
        </w:rPr>
        <w:t>）分布，推动灾害性天气概率预报产品的开发与应用。概率预报产品能够为用户提供更丰富的气象信息，如灾害发生的概率、强度分布等，帮助用户更好地制定防灾减灾措施。在性能方面，评估和订正算法具备高效性和准确性，能够快速处理大量的气象数据，生</w:t>
      </w:r>
      <w:r>
        <w:rPr>
          <w:rFonts w:hint="eastAsia"/>
        </w:rPr>
        <w:t>成可靠的评估结果和概率预报产品。通过不断优化算法和模型，提高系统的稳定性和适应性，满足不同灾害性天气的预报需求。</w:t>
      </w:r>
    </w:p>
    <w:p w:rsidR="00DB4E9A">
      <w:pPr>
        <w:ind w:firstLine="560"/>
      </w:pPr>
      <w:r>
        <w:rPr>
          <w:rFonts w:hint="eastAsia"/>
        </w:rPr>
        <w:t>通过分析集合预报样本的离散度和分布特征，量化模式预报的不确定性。结合气象学原理和物理模型，确定预报误差发展的关键敏感</w:t>
      </w:r>
      <w:r>
        <w:rPr>
          <w:rFonts w:hint="eastAsia"/>
        </w:rPr>
        <w:t>因子和敏感区域，诊断分析预报不确定性的发展方向。采用物理约束订正技术，对集合预报结果进行调整，使其更符合实际气象情况。利用概率统计方法，优化集合预报的概率密度函数分布，提高概率预报产品的准确性和可靠性。</w:t>
      </w:r>
    </w:p>
    <w:p w:rsidR="00DB4E9A">
      <w:pPr>
        <w:ind w:firstLine="560"/>
      </w:pPr>
      <w:r>
        <w:rPr>
          <w:rFonts w:hint="eastAsia"/>
        </w:rPr>
        <w:t>本部分包括不确定性量化模块、可预报性评估模块、敏感因子分析模块、物理约束订正模</w:t>
      </w:r>
      <w:r>
        <w:rPr>
          <w:rFonts w:hint="eastAsia"/>
        </w:rPr>
        <w:t>块、概率预报产品生成模块、产品评估与验证模块、敏感因子动态更新模块、概率预报产品可靠性评估模块、预报结果对比分析模块、物理约束模型参数优化模块、概率分布模型改进模块、不确定性传播分析模块、数据融合辅助模块、多模式概率预报融合模块、用户需求分析模块等组成。</w:t>
      </w:r>
    </w:p>
    <w:p w:rsidR="00DB4E9A">
      <w:pPr>
        <w:ind w:firstLine="560"/>
      </w:pPr>
      <w:r>
        <w:rPr>
          <w:rFonts w:hint="eastAsia"/>
        </w:rPr>
        <w:t>部署在国家气象中心，与其他气象业务系统紧密集成。国家气象中心将概率预报产品通过网络发布给各级气象台站和相关用户，为灾害预警和决策提供支持。</w:t>
      </w:r>
    </w:p>
    <w:p w:rsidR="00DB4E9A">
      <w:pPr>
        <w:pStyle w:val="Heading3"/>
        <w:numPr>
          <w:ilvl w:val="2"/>
          <w:numId w:val="6"/>
        </w:numPr>
        <w:ind w:firstLine="602"/>
        <w:jc w:val="left"/>
        <w:rPr>
          <w:rFonts w:ascii="宋体" w:hAnsi="宋体"/>
        </w:rPr>
      </w:pPr>
      <w:r>
        <w:rPr>
          <w:rFonts w:ascii="宋体" w:hAnsi="宋体" w:hint="eastAsia"/>
        </w:rPr>
        <w:t>短临可预报性定量估计诊断</w:t>
      </w:r>
    </w:p>
    <w:p w:rsidR="00DB4E9A">
      <w:pPr>
        <w:ind w:firstLine="560"/>
      </w:pPr>
      <w:r>
        <w:rPr>
          <w:rFonts w:hint="eastAsia"/>
        </w:rPr>
        <w:t>建设中小尺度地形作用下精细化模式预报偏差客观诊断技术，能够对高分辨率数值预报模式预报偏差进</w:t>
      </w:r>
      <w:r>
        <w:rPr>
          <w:rFonts w:hint="eastAsia"/>
        </w:rPr>
        <w:t>行准确估计。提供多尺度背景下强对流天气系统可预报性定量估计能力，为短临时段对流活动移动和发展趋势的判断提供客观定量依据。特别是提升对快速下山加强的雷暴大风定量的提前预报和快速响应能力，提前发出预警信息，为防灾减灾争取宝贵时间。在性能方面，诊断分析技术具备高分辨率和高精度的特点，能够对中小尺度地形和强对流天气系统进行细致分析。通过优化算法和模型，提高计算效率，确保在短时间内生成诊断分析</w:t>
      </w:r>
      <w:r>
        <w:rPr>
          <w:rFonts w:hint="eastAsia"/>
        </w:rPr>
        <w:t>结果，满足业务实时性需求。</w:t>
      </w:r>
    </w:p>
    <w:p w:rsidR="00DB4E9A">
      <w:pPr>
        <w:ind w:firstLine="560"/>
      </w:pPr>
      <w:r>
        <w:rPr>
          <w:rFonts w:hint="eastAsia"/>
        </w:rPr>
        <w:t>利用高分辨率地形数据和气象模式输出数据，构建地形作用下的预报偏差估计模型。采用卷积神经网络方法，对</w:t>
      </w:r>
      <w:r>
        <w:rPr>
          <w:rFonts w:hint="eastAsia"/>
        </w:rPr>
        <w:t>大量的历史气象数据和预报偏差数据进行学习和训练，构建数值模式短临预报偏差估计模型，结合地形位置编码技术，客观分析地形对气象要素的影响机制，确定预报偏差的主要来源。</w:t>
      </w:r>
    </w:p>
    <w:p w:rsidR="00DB4E9A">
      <w:pPr>
        <w:ind w:firstLine="560"/>
      </w:pPr>
      <w:r>
        <w:rPr>
          <w:rFonts w:hint="eastAsia"/>
        </w:rPr>
        <w:t>本部分包括数据采集模块、数据预处理模块、地形特征提取与编码模块、历史数据标注与整理模块、</w:t>
      </w:r>
      <w:r>
        <w:rPr>
          <w:rFonts w:hint="eastAsia"/>
        </w:rPr>
        <w:t>CNN</w:t>
      </w:r>
      <w:r>
        <w:rPr>
          <w:rFonts w:hint="eastAsia"/>
        </w:rPr>
        <w:t>网络结构搭建模块、模型训练模块、模型验证模块、模型评估模块、模型优化模块、预报偏差诊断模块、多尺度可预报性分析模块、地形影响机制分析模块、实时数据更新与再训练模块、模型融合与集成模块、可视化展示模块、计算资源管理模块、系统监控与维护模块、模型跨区域适应性拓展模块等组成。</w:t>
      </w:r>
    </w:p>
    <w:p w:rsidR="00DB4E9A">
      <w:pPr>
        <w:ind w:firstLine="560"/>
      </w:pPr>
      <w:r>
        <w:rPr>
          <w:rFonts w:hint="eastAsia"/>
        </w:rPr>
        <w:t>部署在国家气象中心，与气象预报业务系统紧密结合。国家气象中心将诊断分析结果实时传输给预报员，帮助其提高预报准确性，同时为灾害预警和应急管理提供技术</w:t>
      </w:r>
      <w:r>
        <w:rPr>
          <w:rFonts w:hint="eastAsia"/>
        </w:rPr>
        <w:t>支持。</w:t>
      </w:r>
    </w:p>
    <w:p w:rsidR="00DB4E9A">
      <w:pPr>
        <w:pStyle w:val="Heading2"/>
        <w:numPr>
          <w:ilvl w:val="1"/>
          <w:numId w:val="6"/>
        </w:numPr>
      </w:pPr>
      <w:bookmarkStart w:id="70" w:name="_Toc172191749"/>
      <w:r>
        <w:rPr>
          <w:rFonts w:hint="eastAsia"/>
        </w:rPr>
        <w:t>非功能性要求</w:t>
      </w:r>
      <w:bookmarkEnd w:id="70"/>
    </w:p>
    <w:p w:rsidR="00DB4E9A">
      <w:pPr>
        <w:pStyle w:val="Heading3"/>
        <w:numPr>
          <w:ilvl w:val="2"/>
          <w:numId w:val="7"/>
        </w:numPr>
        <w:tabs>
          <w:tab w:val="left" w:pos="360"/>
        </w:tabs>
        <w:wordWrap/>
        <w:ind w:left="0" w:firstLine="602"/>
      </w:pPr>
      <w:r>
        <w:rPr>
          <w:rFonts w:hint="eastAsia"/>
        </w:rPr>
        <w:t>稳定性要求</w:t>
      </w:r>
    </w:p>
    <w:p w:rsidR="00DB4E9A">
      <w:pPr>
        <w:ind w:firstLine="560"/>
      </w:pPr>
      <w:r>
        <w:rPr>
          <w:rFonts w:hint="eastAsia"/>
        </w:rPr>
        <w:t>本系统是一个重要的业务运行系统，在软硬件的设计实现上要考虑系统长期运行的稳定性和可靠性。软件在运行期间，针对任何一个重要操作，都必须具有判断错误的能力，必要时可以进行恢复性操作，</w:t>
      </w:r>
      <w:r>
        <w:rPr>
          <w:rFonts w:hint="eastAsia"/>
        </w:rPr>
        <w:t>否则要发出报警消息，以便于人工干预。</w:t>
      </w:r>
    </w:p>
    <w:p w:rsidR="00DB4E9A">
      <w:pPr>
        <w:ind w:firstLine="560"/>
      </w:pPr>
      <w:r>
        <w:rPr>
          <w:rFonts w:hint="eastAsia"/>
        </w:rPr>
        <w:t>本系统需要提供</w:t>
      </w:r>
      <w:r>
        <w:t>7</w:t>
      </w:r>
      <w:r>
        <w:rPr>
          <w:rFonts w:hint="eastAsia"/>
        </w:rPr>
        <w:t>×</w:t>
      </w:r>
      <w:r>
        <w:t>24</w:t>
      </w:r>
      <w:r>
        <w:rPr>
          <w:rFonts w:hint="eastAsia"/>
        </w:rPr>
        <w:t>小时不间断服务，因此，无论是计算机硬件系统还是软件系统都必须具有较高的可靠性和故障后快速恢复的能力。具体要求如下：</w:t>
      </w:r>
    </w:p>
    <w:p w:rsidR="00DB4E9A">
      <w:pPr>
        <w:ind w:firstLine="560"/>
      </w:pPr>
      <w:r>
        <w:rPr>
          <w:rFonts w:hint="eastAsia"/>
        </w:rPr>
        <w:t>（</w:t>
      </w:r>
      <w:r>
        <w:t>1</w:t>
      </w:r>
      <w:r>
        <w:rPr>
          <w:rFonts w:hint="eastAsia"/>
        </w:rPr>
        <w:t>）应用软件开发中严格遵循软件工程国标的开发、测试和集成规范，达到数据服务业务成功率</w:t>
      </w:r>
      <w:r>
        <w:t>99.9%</w:t>
      </w:r>
      <w:r>
        <w:rPr>
          <w:rFonts w:hint="eastAsia"/>
        </w:rPr>
        <w:t>的指标。</w:t>
      </w:r>
    </w:p>
    <w:p w:rsidR="00DB4E9A">
      <w:pPr>
        <w:ind w:firstLine="560"/>
      </w:pPr>
      <w:r>
        <w:rPr>
          <w:rFonts w:hint="eastAsia"/>
        </w:rPr>
        <w:t>（</w:t>
      </w:r>
      <w:r>
        <w:t>2</w:t>
      </w:r>
      <w:r>
        <w:rPr>
          <w:rFonts w:hint="eastAsia"/>
        </w:rPr>
        <w:t>）在支撑平台可靠性的保证下，关键高可用业务系统在</w:t>
      </w:r>
      <w:r>
        <w:t>30</w:t>
      </w:r>
      <w:r>
        <w:rPr>
          <w:rFonts w:hint="eastAsia"/>
        </w:rPr>
        <w:t>分钟内恢复运行状态。</w:t>
      </w:r>
    </w:p>
    <w:p w:rsidR="00DB4E9A">
      <w:pPr>
        <w:pStyle w:val="Heading3"/>
        <w:numPr>
          <w:ilvl w:val="2"/>
          <w:numId w:val="7"/>
        </w:numPr>
        <w:tabs>
          <w:tab w:val="left" w:pos="360"/>
        </w:tabs>
        <w:ind w:left="0" w:firstLine="602"/>
      </w:pPr>
      <w:r>
        <w:rPr>
          <w:rFonts w:hint="eastAsia"/>
        </w:rPr>
        <w:t>标准化要求</w:t>
      </w:r>
    </w:p>
    <w:p w:rsidR="00DB4E9A">
      <w:pPr>
        <w:ind w:firstLine="560"/>
      </w:pPr>
      <w:r>
        <w:rPr>
          <w:rFonts w:hint="eastAsia"/>
        </w:rPr>
        <w:t>系统软件及平台建设应基本保持与前期版本兼容，保留主要的界面布局和操作方式，简化现有模块向新版本框架移植，基础算法以</w:t>
      </w:r>
      <w:r>
        <w:t>C/Pyhton/Java</w:t>
      </w:r>
      <w:r>
        <w:rPr>
          <w:rFonts w:hint="eastAsia"/>
        </w:rPr>
        <w:t>实现，便于在气象大数据云平台上的快速移植；用户界面及交互操作使用</w:t>
      </w:r>
      <w:r>
        <w:t>HTML5/</w:t>
      </w:r>
      <w:r>
        <w:rPr>
          <w:rFonts w:hint="eastAsia"/>
        </w:rPr>
        <w:t>Java</w:t>
      </w:r>
      <w:r>
        <w:rPr>
          <w:rFonts w:hint="eastAsia"/>
        </w:rPr>
        <w:t>实现，便于利用客户端框架进行功能实现。</w:t>
      </w:r>
    </w:p>
    <w:p w:rsidR="00DB4E9A">
      <w:pPr>
        <w:pStyle w:val="Heading3"/>
        <w:numPr>
          <w:ilvl w:val="2"/>
          <w:numId w:val="7"/>
        </w:numPr>
        <w:tabs>
          <w:tab w:val="left" w:pos="360"/>
        </w:tabs>
        <w:ind w:left="0" w:firstLine="602"/>
      </w:pPr>
      <w:r>
        <w:rPr>
          <w:rFonts w:hint="eastAsia"/>
        </w:rPr>
        <w:t>可维护性要求</w:t>
      </w:r>
    </w:p>
    <w:p w:rsidR="00DB4E9A">
      <w:pPr>
        <w:ind w:firstLine="560"/>
      </w:pPr>
      <w:r>
        <w:rPr>
          <w:rFonts w:hint="eastAsia"/>
        </w:rPr>
        <w:t>系统软件架构设计应便于软件升级，在不对软件进行大幅调整的情况下可以进行在线升级；离线状态下提供补丁包的方式进行升级；系统各模块之间应保持松耦合，便于</w:t>
      </w:r>
      <w:r>
        <w:rPr>
          <w:rFonts w:hint="eastAsia"/>
        </w:rPr>
        <w:t>各部分独立维护和升级。</w:t>
      </w:r>
    </w:p>
    <w:p w:rsidR="00DB4E9A">
      <w:pPr>
        <w:pStyle w:val="Heading3"/>
        <w:numPr>
          <w:ilvl w:val="2"/>
          <w:numId w:val="7"/>
        </w:numPr>
        <w:tabs>
          <w:tab w:val="left" w:pos="360"/>
        </w:tabs>
        <w:ind w:left="0" w:firstLine="602"/>
      </w:pPr>
      <w:r>
        <w:rPr>
          <w:rFonts w:hint="eastAsia"/>
        </w:rPr>
        <w:t>集约化要求</w:t>
      </w:r>
    </w:p>
    <w:p w:rsidR="00DB4E9A">
      <w:pPr>
        <w:ind w:firstLine="560"/>
      </w:pPr>
      <w:r>
        <w:rPr>
          <w:rFonts w:hint="eastAsia"/>
        </w:rPr>
        <w:t>采用“云</w:t>
      </w:r>
      <w:r>
        <w:t>+</w:t>
      </w:r>
      <w:r>
        <w:rPr>
          <w:rFonts w:hint="eastAsia"/>
        </w:rPr>
        <w:t>端”的技术架构，后台算法、服务、数据由</w:t>
      </w:r>
      <w:r>
        <w:t>CME</w:t>
      </w:r>
      <w:r>
        <w:rPr>
          <w:rFonts w:hint="eastAsia"/>
        </w:rPr>
        <w:t>、</w:t>
      </w:r>
      <w:r>
        <w:rPr>
          <w:rFonts w:hint="eastAsia"/>
        </w:rPr>
        <w:t>NIMM</w:t>
      </w:r>
      <w:r>
        <w:rPr>
          <w:rFonts w:hint="eastAsia"/>
        </w:rPr>
        <w:t>结合气象大数据云平台统一管理，基础硬件资源由气象大数据云平台、气象虚拟化资源池提供所需的基础资源支撑，系统运行所需要气象数</w:t>
      </w:r>
      <w:r>
        <w:rPr>
          <w:rFonts w:hint="eastAsia"/>
        </w:rPr>
        <w:t>据的存储环境、底层支撑软件、采集调度处理分发、学习训练环境等应用软件，均复用气象信息中心已有成果，不再单独建设。</w:t>
      </w:r>
    </w:p>
    <w:p w:rsidR="00DB4E9A">
      <w:pPr>
        <w:ind w:firstLine="560"/>
      </w:pPr>
      <w:r>
        <w:rPr>
          <w:rFonts w:hint="eastAsia"/>
        </w:rPr>
        <w:t>本项目建设的各业务分系统需要与</w:t>
      </w:r>
      <w:r>
        <w:t>CME</w:t>
      </w:r>
      <w:r>
        <w:rPr>
          <w:rFonts w:hint="eastAsia"/>
        </w:rPr>
        <w:t>、</w:t>
      </w:r>
      <w:r>
        <w:rPr>
          <w:rFonts w:hint="eastAsia"/>
        </w:rPr>
        <w:t>NIMM</w:t>
      </w:r>
      <w:r>
        <w:rPr>
          <w:rFonts w:hint="eastAsia"/>
        </w:rPr>
        <w:t>的数据和算法框架进行集约化建设、组件化设计。在系统建设过程中，充分复用气象中心已有的</w:t>
      </w:r>
      <w:r>
        <w:t>CME</w:t>
      </w:r>
      <w:r>
        <w:rPr>
          <w:rFonts w:hint="eastAsia"/>
        </w:rPr>
        <w:t>、</w:t>
      </w:r>
      <w:r>
        <w:rPr>
          <w:rFonts w:hint="eastAsia"/>
        </w:rPr>
        <w:t>NIMM</w:t>
      </w:r>
      <w:r>
        <w:rPr>
          <w:rFonts w:hint="eastAsia"/>
        </w:rPr>
        <w:t>系统的已有成果，并进行复用功能</w:t>
      </w:r>
      <w:r>
        <w:rPr>
          <w:rFonts w:hint="eastAsia"/>
        </w:rPr>
        <w:t>组件化封装，灵活设计支撑业务应用。</w:t>
      </w:r>
    </w:p>
    <w:p w:rsidR="00DB4E9A">
      <w:pPr>
        <w:ind w:firstLine="560"/>
      </w:pPr>
      <w:r>
        <w:rPr>
          <w:rFonts w:hint="eastAsia"/>
        </w:rPr>
        <w:t>系统统一设计开放应用框架，通过组件化集成的方式，实现本项目建设的应用支撑；并通过开放性的设计，支持现有业务组件的应用以及新组件的融入。</w:t>
      </w:r>
    </w:p>
    <w:p w:rsidR="00DB4E9A">
      <w:pPr>
        <w:pStyle w:val="Heading3"/>
        <w:numPr>
          <w:ilvl w:val="2"/>
          <w:numId w:val="7"/>
        </w:numPr>
        <w:tabs>
          <w:tab w:val="left" w:pos="360"/>
        </w:tabs>
        <w:ind w:left="0" w:firstLine="602"/>
      </w:pPr>
      <w:bookmarkStart w:id="71" w:name="_Toc103845626"/>
      <w:bookmarkStart w:id="72" w:name="_Toc137459480"/>
      <w:r>
        <w:rPr>
          <w:rFonts w:hint="eastAsia"/>
        </w:rPr>
        <w:t>可测试性、可理解性</w:t>
      </w:r>
      <w:bookmarkEnd w:id="71"/>
      <w:bookmarkEnd w:id="72"/>
    </w:p>
    <w:p w:rsidR="00DB4E9A">
      <w:pPr>
        <w:ind w:firstLine="560"/>
      </w:pPr>
      <w:r>
        <w:rPr>
          <w:rFonts w:hint="eastAsia"/>
        </w:rPr>
        <w:t>可测试性、可理解性，文档、编码与输出的运行日志符合国家气象中心</w:t>
      </w:r>
      <w:r>
        <w:t>CME</w:t>
      </w:r>
      <w:r>
        <w:rPr>
          <w:rFonts w:hint="eastAsia"/>
        </w:rPr>
        <w:t>规范与风格要求。</w:t>
      </w:r>
    </w:p>
    <w:p w:rsidR="00DB4E9A">
      <w:pPr>
        <w:pStyle w:val="Heading3"/>
        <w:numPr>
          <w:ilvl w:val="2"/>
          <w:numId w:val="7"/>
        </w:numPr>
        <w:tabs>
          <w:tab w:val="left" w:pos="360"/>
        </w:tabs>
        <w:ind w:left="0" w:firstLine="602"/>
      </w:pPr>
      <w:r>
        <w:rPr>
          <w:rFonts w:hint="eastAsia"/>
        </w:rPr>
        <w:t>规范化要求</w:t>
      </w:r>
    </w:p>
    <w:p w:rsidR="00DB4E9A">
      <w:pPr>
        <w:ind w:firstLine="560"/>
      </w:pPr>
      <w:r>
        <w:rPr>
          <w:rFonts w:hint="eastAsia"/>
        </w:rPr>
        <w:t>在本项目建设中，为确保开发工作的规范性、高效性以及与气象中心一体化平台</w:t>
      </w:r>
      <w:r>
        <w:t xml:space="preserve"> CME </w:t>
      </w:r>
      <w:r>
        <w:rPr>
          <w:rFonts w:hint="eastAsia"/>
        </w:rPr>
        <w:t>的深度融合，需将</w:t>
      </w:r>
      <w:r>
        <w:t>CME</w:t>
      </w:r>
      <w:r>
        <w:rPr>
          <w:rFonts w:hint="eastAsia"/>
        </w:rPr>
        <w:t>开发流程作为重要的开发规范贯穿项目始终。</w:t>
      </w:r>
    </w:p>
    <w:p w:rsidR="00DB4E9A">
      <w:pPr>
        <w:pStyle w:val="Heading1"/>
        <w:pageBreakBefore/>
        <w:numPr>
          <w:ilvl w:val="0"/>
          <w:numId w:val="4"/>
        </w:numPr>
        <w:ind w:left="0" w:firstLine="0"/>
        <w:rPr>
          <w:lang w:val="zh-CN"/>
        </w:rPr>
      </w:pPr>
      <w:bookmarkStart w:id="73" w:name="_Toc172191753"/>
      <w:r>
        <w:rPr>
          <w:rFonts w:hint="eastAsia"/>
          <w:lang w:val="zh-CN"/>
        </w:rPr>
        <w:t>其他要求</w:t>
      </w:r>
      <w:bookmarkEnd w:id="73"/>
    </w:p>
    <w:p w:rsidR="00DB4E9A">
      <w:pPr>
        <w:pStyle w:val="Heading2"/>
        <w:numPr>
          <w:ilvl w:val="1"/>
          <w:numId w:val="8"/>
        </w:numPr>
        <w:tabs>
          <w:tab w:val="left" w:pos="360"/>
        </w:tabs>
        <w:ind w:left="0" w:firstLine="0"/>
      </w:pPr>
      <w:bookmarkStart w:id="74" w:name="_Toc172191754"/>
      <w:r>
        <w:rPr>
          <w:rFonts w:hint="eastAsia"/>
        </w:rPr>
        <w:t>人员要求</w:t>
      </w:r>
      <w:bookmarkEnd w:id="74"/>
    </w:p>
    <w:p w:rsidR="00DB4E9A">
      <w:pPr>
        <w:ind w:firstLine="560"/>
      </w:pPr>
      <w:r>
        <w:rPr>
          <w:rFonts w:hint="eastAsia"/>
        </w:rPr>
        <w:t>投标人必须成立合理的组织机构，建立健全保障设计、开发工作顺利实施的各项管理制度和质量保证体系，安排好足够的高素质人才参加本项目工作。</w:t>
      </w:r>
    </w:p>
    <w:p w:rsidR="00DB4E9A">
      <w:pPr>
        <w:ind w:firstLine="560"/>
      </w:pPr>
      <w:r>
        <w:rPr>
          <w:rFonts w:hint="eastAsia"/>
        </w:rPr>
        <w:t>在组织机构中应明确各岗位的职责、任职资格及成果，确保项目顺利实施，应分别配备有项目经理、技术负责人、系统架构师等承担本项目工作。</w:t>
      </w:r>
    </w:p>
    <w:p w:rsidR="00DB4E9A">
      <w:pPr>
        <w:ind w:firstLine="560"/>
      </w:pPr>
      <w:r>
        <w:rPr>
          <w:rFonts w:hint="eastAsia"/>
        </w:rPr>
        <w:t>投标人应确保服务于本项目的核心技术人员及主要开发人员稳定，团队人数至少</w:t>
      </w:r>
      <w:r>
        <w:t>8</w:t>
      </w:r>
      <w:r>
        <w:rPr>
          <w:rFonts w:hint="eastAsia"/>
        </w:rPr>
        <w:t>人，其中驻场人员至少</w:t>
      </w:r>
      <w:r>
        <w:rPr>
          <w:rFonts w:hint="eastAsia"/>
        </w:rPr>
        <w:t>3</w:t>
      </w:r>
      <w:r>
        <w:rPr>
          <w:rFonts w:hint="eastAsia"/>
        </w:rPr>
        <w:t>人，其中至少</w:t>
      </w:r>
      <w:r>
        <w:t>6</w:t>
      </w:r>
      <w:r>
        <w:rPr>
          <w:rFonts w:hint="eastAsia"/>
        </w:rPr>
        <w:t>人具有至少</w:t>
      </w:r>
      <w:r>
        <w:rPr>
          <w:rFonts w:hint="eastAsia"/>
        </w:rPr>
        <w:t>3</w:t>
      </w:r>
      <w:r>
        <w:rPr>
          <w:rFonts w:hint="eastAsia"/>
        </w:rPr>
        <w:t>年以上气象预报、检验、应用类软件等开发的经验。未经甲方允许不得调整核心团队成员，甲方有权要求更换投标人项目团队成员。</w:t>
      </w:r>
    </w:p>
    <w:p w:rsidR="00DB4E9A">
      <w:pPr>
        <w:pStyle w:val="Heading2"/>
        <w:numPr>
          <w:ilvl w:val="1"/>
          <w:numId w:val="8"/>
        </w:numPr>
        <w:tabs>
          <w:tab w:val="left" w:pos="360"/>
        </w:tabs>
        <w:ind w:left="0" w:firstLine="0"/>
      </w:pPr>
      <w:bookmarkStart w:id="75" w:name="_Toc172191755"/>
      <w:bookmarkStart w:id="76" w:name="_Toc137459483"/>
      <w:r>
        <w:rPr>
          <w:rFonts w:hint="eastAsia"/>
        </w:rPr>
        <w:t>进度要求</w:t>
      </w:r>
      <w:bookmarkEnd w:id="75"/>
      <w:bookmarkEnd w:id="76"/>
    </w:p>
    <w:p w:rsidR="00DB4E9A">
      <w:pPr>
        <w:ind w:firstLine="560"/>
      </w:pPr>
      <w:r>
        <w:rPr>
          <w:rFonts w:hint="eastAsia"/>
        </w:rPr>
        <w:t>本软件系统的研制要求完全按软件工程的方法和过程实施，其研制过程主要包括需求分析、概要设计、详细设计与编码调试、测试与系统集成、试运行、系统验收六个阶段，研制周期为</w:t>
      </w:r>
      <w:r>
        <w:rPr>
          <w:rFonts w:hint="eastAsia"/>
        </w:rPr>
        <w:t>18</w:t>
      </w:r>
      <w:r>
        <w:rPr>
          <w:rFonts w:hint="eastAsia"/>
        </w:rPr>
        <w:t>个月。</w:t>
      </w:r>
    </w:p>
    <w:p w:rsidR="00DB4E9A">
      <w:pPr>
        <w:spacing w:before="156" w:beforeLines="50"/>
        <w:ind w:firstLine="480"/>
        <w:jc w:val="center"/>
      </w:pPr>
      <w:bookmarkStart w:id="77" w:name="_Hlk211858577"/>
      <w:r>
        <w:rPr>
          <w:rFonts w:hint="eastAsia"/>
          <w:sz w:val="24"/>
        </w:rPr>
        <w:t>表</w:t>
      </w:r>
      <w:r>
        <w:rPr>
          <w:sz w:val="24"/>
        </w:rPr>
        <w:t>1</w:t>
      </w:r>
      <w:r>
        <w:rPr>
          <w:rFonts w:hint="eastAsia"/>
          <w:sz w:val="24"/>
        </w:rPr>
        <w:t>项目</w:t>
      </w:r>
      <w:r>
        <w:rPr>
          <w:rFonts w:hAnsi="宋体" w:hint="eastAsia"/>
          <w:sz w:val="24"/>
        </w:rPr>
        <w:t>开发进度表</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6"/>
        <w:gridCol w:w="1110"/>
        <w:gridCol w:w="5457"/>
      </w:tblGrid>
      <w:tr>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146" w:type="dxa"/>
            <w:shd w:val="clear" w:color="auto" w:fill="D0CECE"/>
            <w:vAlign w:val="center"/>
          </w:tcPr>
          <w:p w:rsidR="00DB4E9A">
            <w:pPr>
              <w:snapToGrid w:val="0"/>
              <w:spacing w:before="156" w:beforeLines="50" w:after="156" w:afterLines="50"/>
              <w:ind w:firstLine="0" w:firstLineChars="0"/>
              <w:jc w:val="center"/>
              <w:rPr>
                <w:b/>
                <w:szCs w:val="20"/>
              </w:rPr>
            </w:pPr>
            <w:r>
              <w:rPr>
                <w:rFonts w:hint="eastAsia"/>
                <w:b/>
                <w:sz w:val="24"/>
                <w:szCs w:val="20"/>
              </w:rPr>
              <w:t>软件研发过程</w:t>
            </w:r>
          </w:p>
        </w:tc>
        <w:tc>
          <w:tcPr>
            <w:tcW w:w="1110" w:type="dxa"/>
            <w:shd w:val="clear" w:color="auto" w:fill="D0CECE"/>
            <w:vAlign w:val="center"/>
          </w:tcPr>
          <w:p w:rsidR="00DB4E9A">
            <w:pPr>
              <w:snapToGrid w:val="0"/>
              <w:spacing w:before="156" w:beforeLines="50" w:after="156" w:afterLines="50"/>
              <w:ind w:firstLine="0" w:firstLineChars="0"/>
              <w:jc w:val="center"/>
              <w:rPr>
                <w:b/>
                <w:szCs w:val="20"/>
              </w:rPr>
            </w:pPr>
            <w:r>
              <w:rPr>
                <w:rFonts w:hint="eastAsia"/>
                <w:b/>
                <w:sz w:val="24"/>
                <w:szCs w:val="20"/>
              </w:rPr>
              <w:t>进度要求</w:t>
            </w:r>
            <w:r>
              <w:rPr>
                <w:b/>
                <w:sz w:val="24"/>
                <w:szCs w:val="20"/>
              </w:rPr>
              <w:t>(</w:t>
            </w:r>
            <w:r>
              <w:rPr>
                <w:rFonts w:hint="eastAsia"/>
                <w:b/>
                <w:sz w:val="24"/>
                <w:szCs w:val="20"/>
              </w:rPr>
              <w:t>月</w:t>
            </w:r>
            <w:r>
              <w:rPr>
                <w:b/>
                <w:sz w:val="24"/>
                <w:szCs w:val="20"/>
              </w:rPr>
              <w:t>)</w:t>
            </w:r>
          </w:p>
        </w:tc>
        <w:tc>
          <w:tcPr>
            <w:tcW w:w="5457" w:type="dxa"/>
            <w:shd w:val="clear" w:color="auto" w:fill="D0CECE"/>
            <w:vAlign w:val="center"/>
          </w:tcPr>
          <w:p w:rsidR="00DB4E9A">
            <w:pPr>
              <w:snapToGrid w:val="0"/>
              <w:spacing w:before="156" w:beforeLines="50" w:after="156" w:afterLines="50"/>
              <w:ind w:firstLine="0" w:firstLineChars="0"/>
              <w:jc w:val="center"/>
              <w:rPr>
                <w:b/>
                <w:szCs w:val="20"/>
              </w:rPr>
            </w:pPr>
            <w:r>
              <w:rPr>
                <w:rFonts w:hint="eastAsia"/>
                <w:b/>
                <w:sz w:val="24"/>
                <w:szCs w:val="20"/>
              </w:rPr>
              <w:t>基本要求</w:t>
            </w:r>
          </w:p>
        </w:tc>
      </w:tr>
      <w:tr>
        <w:tblPrEx>
          <w:tblW w:w="8713" w:type="dxa"/>
          <w:jc w:val="center"/>
          <w:tblLook w:val="04A0"/>
        </w:tblPrEx>
        <w:trPr>
          <w:jc w:val="center"/>
        </w:trPr>
        <w:tc>
          <w:tcPr>
            <w:tcW w:w="2146" w:type="dxa"/>
            <w:vAlign w:val="center"/>
          </w:tcPr>
          <w:p w:rsidR="00DB4E9A">
            <w:pPr>
              <w:snapToGrid w:val="0"/>
              <w:spacing w:before="156" w:beforeLines="50" w:after="156" w:afterLines="50"/>
              <w:ind w:firstLine="420"/>
              <w:jc w:val="left"/>
              <w:rPr>
                <w:sz w:val="21"/>
                <w:szCs w:val="16"/>
              </w:rPr>
            </w:pPr>
            <w:r>
              <w:rPr>
                <w:rFonts w:hint="eastAsia"/>
                <w:sz w:val="21"/>
                <w:szCs w:val="16"/>
              </w:rPr>
              <w:t>需求分析</w:t>
            </w:r>
          </w:p>
        </w:tc>
        <w:tc>
          <w:tcPr>
            <w:tcW w:w="1110" w:type="dxa"/>
            <w:vAlign w:val="center"/>
          </w:tcPr>
          <w:p w:rsidR="00DB4E9A">
            <w:pPr>
              <w:snapToGrid w:val="0"/>
              <w:spacing w:before="156" w:beforeLines="50" w:after="156" w:afterLines="50"/>
              <w:ind w:firstLine="420"/>
              <w:jc w:val="left"/>
              <w:rPr>
                <w:sz w:val="21"/>
                <w:szCs w:val="16"/>
              </w:rPr>
            </w:pPr>
            <w:r>
              <w:rPr>
                <w:rFonts w:hint="eastAsia"/>
                <w:sz w:val="21"/>
                <w:szCs w:val="16"/>
              </w:rPr>
              <w:t>2</w:t>
            </w:r>
          </w:p>
        </w:tc>
        <w:tc>
          <w:tcPr>
            <w:tcW w:w="5457" w:type="dxa"/>
            <w:vAlign w:val="center"/>
          </w:tcPr>
          <w:p w:rsidR="00DB4E9A">
            <w:pPr>
              <w:snapToGrid w:val="0"/>
              <w:spacing w:before="156" w:beforeLines="50" w:after="156" w:afterLines="50"/>
              <w:ind w:firstLine="420"/>
              <w:jc w:val="left"/>
              <w:rPr>
                <w:sz w:val="21"/>
                <w:szCs w:val="16"/>
              </w:rPr>
            </w:pPr>
            <w:r>
              <w:rPr>
                <w:rFonts w:hint="eastAsia"/>
                <w:sz w:val="21"/>
                <w:szCs w:val="16"/>
              </w:rPr>
              <w:t>完成任务书中所有软件功能的分析，提交软件需求</w:t>
            </w:r>
            <w:r>
              <w:rPr>
                <w:rFonts w:hint="eastAsia"/>
                <w:sz w:val="21"/>
                <w:szCs w:val="16"/>
              </w:rPr>
              <w:t>阶段应提交的各类文档，通过甲方组织的评审</w:t>
            </w:r>
          </w:p>
        </w:tc>
      </w:tr>
      <w:tr>
        <w:tblPrEx>
          <w:tblW w:w="8713" w:type="dxa"/>
          <w:jc w:val="center"/>
          <w:tblLook w:val="04A0"/>
        </w:tblPrEx>
        <w:trPr>
          <w:jc w:val="center"/>
        </w:trPr>
        <w:tc>
          <w:tcPr>
            <w:tcW w:w="2146" w:type="dxa"/>
            <w:vAlign w:val="center"/>
          </w:tcPr>
          <w:p w:rsidR="00DB4E9A">
            <w:pPr>
              <w:snapToGrid w:val="0"/>
              <w:spacing w:before="156" w:beforeLines="50" w:after="156" w:afterLines="50"/>
              <w:ind w:firstLine="420"/>
              <w:jc w:val="left"/>
              <w:rPr>
                <w:sz w:val="21"/>
                <w:szCs w:val="16"/>
              </w:rPr>
            </w:pPr>
            <w:r>
              <w:rPr>
                <w:rFonts w:hint="eastAsia"/>
                <w:sz w:val="21"/>
                <w:szCs w:val="16"/>
              </w:rPr>
              <w:t>设计与开发</w:t>
            </w:r>
          </w:p>
        </w:tc>
        <w:tc>
          <w:tcPr>
            <w:tcW w:w="1110" w:type="dxa"/>
            <w:vAlign w:val="center"/>
          </w:tcPr>
          <w:p w:rsidR="00DB4E9A">
            <w:pPr>
              <w:snapToGrid w:val="0"/>
              <w:spacing w:before="156" w:beforeLines="50" w:after="156" w:afterLines="50"/>
              <w:ind w:firstLine="420"/>
              <w:jc w:val="left"/>
              <w:rPr>
                <w:sz w:val="21"/>
                <w:szCs w:val="16"/>
              </w:rPr>
            </w:pPr>
            <w:r>
              <w:rPr>
                <w:rFonts w:hint="eastAsia"/>
                <w:sz w:val="21"/>
                <w:szCs w:val="16"/>
              </w:rPr>
              <w:t>10</w:t>
            </w:r>
          </w:p>
        </w:tc>
        <w:tc>
          <w:tcPr>
            <w:tcW w:w="5457" w:type="dxa"/>
            <w:vAlign w:val="center"/>
          </w:tcPr>
          <w:p w:rsidR="00DB4E9A">
            <w:pPr>
              <w:snapToGrid w:val="0"/>
              <w:spacing w:before="156" w:beforeLines="50" w:after="156" w:afterLines="50"/>
              <w:ind w:firstLine="420"/>
              <w:jc w:val="left"/>
              <w:rPr>
                <w:sz w:val="21"/>
                <w:szCs w:val="16"/>
              </w:rPr>
            </w:pPr>
            <w:r>
              <w:rPr>
                <w:rFonts w:hint="eastAsia"/>
                <w:sz w:val="21"/>
                <w:szCs w:val="16"/>
              </w:rPr>
              <w:t>完成任务书中所有软件功能的设计，提交设计阶段应提交的各类文档，提供客户端原型设计，通过甲方组织的评审，完成系统开发</w:t>
            </w:r>
          </w:p>
        </w:tc>
      </w:tr>
      <w:tr>
        <w:tblPrEx>
          <w:tblW w:w="8713" w:type="dxa"/>
          <w:jc w:val="center"/>
          <w:tblLook w:val="04A0"/>
        </w:tblPrEx>
        <w:trPr>
          <w:jc w:val="center"/>
        </w:trPr>
        <w:tc>
          <w:tcPr>
            <w:tcW w:w="2146" w:type="dxa"/>
            <w:vAlign w:val="center"/>
          </w:tcPr>
          <w:p w:rsidR="00DB4E9A">
            <w:pPr>
              <w:snapToGrid w:val="0"/>
              <w:spacing w:before="156" w:beforeLines="50" w:after="156" w:afterLines="50"/>
              <w:ind w:firstLine="420"/>
              <w:jc w:val="left"/>
              <w:rPr>
                <w:sz w:val="21"/>
                <w:szCs w:val="16"/>
              </w:rPr>
            </w:pPr>
            <w:r>
              <w:rPr>
                <w:rFonts w:hint="eastAsia"/>
                <w:sz w:val="21"/>
                <w:szCs w:val="16"/>
              </w:rPr>
              <w:t>集成联调测试</w:t>
            </w:r>
          </w:p>
        </w:tc>
        <w:tc>
          <w:tcPr>
            <w:tcW w:w="1110" w:type="dxa"/>
            <w:vAlign w:val="center"/>
          </w:tcPr>
          <w:p w:rsidR="00DB4E9A">
            <w:pPr>
              <w:snapToGrid w:val="0"/>
              <w:spacing w:before="156" w:beforeLines="50" w:after="156" w:afterLines="50"/>
              <w:ind w:firstLine="420"/>
              <w:jc w:val="left"/>
              <w:rPr>
                <w:sz w:val="21"/>
                <w:szCs w:val="16"/>
              </w:rPr>
            </w:pPr>
            <w:r>
              <w:rPr>
                <w:rFonts w:hint="eastAsia"/>
                <w:sz w:val="21"/>
                <w:szCs w:val="16"/>
              </w:rPr>
              <w:t>2</w:t>
            </w:r>
          </w:p>
        </w:tc>
        <w:tc>
          <w:tcPr>
            <w:tcW w:w="5457" w:type="dxa"/>
            <w:vAlign w:val="center"/>
          </w:tcPr>
          <w:p w:rsidR="00DB4E9A">
            <w:pPr>
              <w:snapToGrid w:val="0"/>
              <w:spacing w:before="156" w:beforeLines="50" w:after="156" w:afterLines="50"/>
              <w:ind w:firstLine="420"/>
              <w:jc w:val="left"/>
              <w:rPr>
                <w:sz w:val="21"/>
                <w:szCs w:val="16"/>
              </w:rPr>
            </w:pPr>
            <w:r>
              <w:rPr>
                <w:rFonts w:hint="eastAsia"/>
                <w:sz w:val="21"/>
                <w:szCs w:val="16"/>
              </w:rPr>
              <w:t>完成各系统在基础设施资源池中的部署及集成对接和联调测试，开展省级部署及集成对接和联调测试，完成合同初步验收</w:t>
            </w:r>
          </w:p>
        </w:tc>
      </w:tr>
      <w:tr>
        <w:tblPrEx>
          <w:tblW w:w="8713" w:type="dxa"/>
          <w:jc w:val="center"/>
          <w:tblLook w:val="04A0"/>
        </w:tblPrEx>
        <w:trPr>
          <w:jc w:val="center"/>
        </w:trPr>
        <w:tc>
          <w:tcPr>
            <w:tcW w:w="2146" w:type="dxa"/>
            <w:vAlign w:val="center"/>
          </w:tcPr>
          <w:p w:rsidR="00DB4E9A">
            <w:pPr>
              <w:snapToGrid w:val="0"/>
              <w:spacing w:before="156" w:beforeLines="50" w:after="156" w:afterLines="50"/>
              <w:ind w:firstLine="420"/>
              <w:jc w:val="left"/>
              <w:rPr>
                <w:sz w:val="21"/>
                <w:szCs w:val="16"/>
              </w:rPr>
            </w:pPr>
            <w:r>
              <w:rPr>
                <w:rFonts w:hint="eastAsia"/>
                <w:sz w:val="21"/>
                <w:szCs w:val="16"/>
              </w:rPr>
              <w:t>试运行</w:t>
            </w:r>
          </w:p>
        </w:tc>
        <w:tc>
          <w:tcPr>
            <w:tcW w:w="1110" w:type="dxa"/>
            <w:vAlign w:val="center"/>
          </w:tcPr>
          <w:p w:rsidR="00DB4E9A">
            <w:pPr>
              <w:snapToGrid w:val="0"/>
              <w:spacing w:before="156" w:beforeLines="50" w:after="156" w:afterLines="50"/>
              <w:ind w:firstLine="420"/>
              <w:jc w:val="left"/>
              <w:rPr>
                <w:sz w:val="21"/>
                <w:szCs w:val="16"/>
              </w:rPr>
            </w:pPr>
            <w:r>
              <w:rPr>
                <w:rFonts w:hint="eastAsia"/>
                <w:sz w:val="21"/>
                <w:szCs w:val="16"/>
              </w:rPr>
              <w:t>3</w:t>
            </w:r>
          </w:p>
        </w:tc>
        <w:tc>
          <w:tcPr>
            <w:tcW w:w="5457" w:type="dxa"/>
            <w:vAlign w:val="center"/>
          </w:tcPr>
          <w:p w:rsidR="00DB4E9A">
            <w:pPr>
              <w:snapToGrid w:val="0"/>
              <w:spacing w:before="156" w:beforeLines="50" w:after="156" w:afterLines="50"/>
              <w:ind w:firstLine="420"/>
              <w:jc w:val="left"/>
              <w:rPr>
                <w:sz w:val="21"/>
                <w:szCs w:val="16"/>
              </w:rPr>
            </w:pPr>
            <w:r>
              <w:rPr>
                <w:rFonts w:hint="eastAsia"/>
                <w:sz w:val="21"/>
                <w:szCs w:val="16"/>
              </w:rPr>
              <w:t>全面投入试运行并进行系统优化改进。</w:t>
            </w:r>
          </w:p>
        </w:tc>
      </w:tr>
      <w:tr>
        <w:tblPrEx>
          <w:tblW w:w="8713" w:type="dxa"/>
          <w:jc w:val="center"/>
          <w:tblLook w:val="04A0"/>
        </w:tblPrEx>
        <w:trPr>
          <w:jc w:val="center"/>
        </w:trPr>
        <w:tc>
          <w:tcPr>
            <w:tcW w:w="2146" w:type="dxa"/>
            <w:vAlign w:val="center"/>
          </w:tcPr>
          <w:p w:rsidR="00DB4E9A">
            <w:pPr>
              <w:snapToGrid w:val="0"/>
              <w:spacing w:before="156" w:beforeLines="50" w:after="156" w:afterLines="50"/>
              <w:ind w:firstLine="420"/>
              <w:jc w:val="left"/>
              <w:rPr>
                <w:sz w:val="21"/>
                <w:szCs w:val="16"/>
              </w:rPr>
            </w:pPr>
            <w:r>
              <w:rPr>
                <w:rFonts w:hint="eastAsia"/>
                <w:sz w:val="21"/>
                <w:szCs w:val="16"/>
              </w:rPr>
              <w:t>系统终验</w:t>
            </w:r>
          </w:p>
        </w:tc>
        <w:tc>
          <w:tcPr>
            <w:tcW w:w="1110" w:type="dxa"/>
            <w:vAlign w:val="center"/>
          </w:tcPr>
          <w:p w:rsidR="00DB4E9A">
            <w:pPr>
              <w:snapToGrid w:val="0"/>
              <w:spacing w:before="156" w:beforeLines="50" w:after="156" w:afterLines="50"/>
              <w:ind w:firstLine="420"/>
              <w:jc w:val="left"/>
              <w:rPr>
                <w:sz w:val="21"/>
                <w:szCs w:val="16"/>
              </w:rPr>
            </w:pPr>
            <w:r>
              <w:rPr>
                <w:sz w:val="21"/>
                <w:szCs w:val="16"/>
              </w:rPr>
              <w:t>1</w:t>
            </w:r>
          </w:p>
        </w:tc>
        <w:tc>
          <w:tcPr>
            <w:tcW w:w="5457" w:type="dxa"/>
            <w:vAlign w:val="center"/>
          </w:tcPr>
          <w:p w:rsidR="00DB4E9A">
            <w:pPr>
              <w:snapToGrid w:val="0"/>
              <w:spacing w:before="156" w:beforeLines="50" w:after="156" w:afterLines="50"/>
              <w:ind w:firstLine="420"/>
              <w:jc w:val="left"/>
              <w:rPr>
                <w:sz w:val="21"/>
                <w:szCs w:val="16"/>
              </w:rPr>
            </w:pPr>
            <w:r>
              <w:rPr>
                <w:rFonts w:hint="eastAsia"/>
                <w:sz w:val="21"/>
                <w:szCs w:val="16"/>
              </w:rPr>
              <w:t>完成业务验收测试及项目验收材料的编制，完成项目验收和合同终验，系统正式上线运行。</w:t>
            </w:r>
          </w:p>
        </w:tc>
      </w:tr>
    </w:tbl>
    <w:p w:rsidR="00DB4E9A">
      <w:pPr>
        <w:ind w:firstLine="149" w:firstLineChars="71"/>
      </w:pPr>
    </w:p>
    <w:p w:rsidR="00DB4E9A">
      <w:pPr>
        <w:pStyle w:val="Heading2"/>
        <w:numPr>
          <w:ilvl w:val="1"/>
          <w:numId w:val="8"/>
        </w:numPr>
        <w:tabs>
          <w:tab w:val="left" w:pos="360"/>
        </w:tabs>
        <w:ind w:left="0" w:firstLine="0"/>
      </w:pPr>
      <w:bookmarkStart w:id="78" w:name="_Toc172191756"/>
      <w:bookmarkEnd w:id="77"/>
      <w:r>
        <w:rPr>
          <w:rFonts w:hint="eastAsia"/>
        </w:rPr>
        <w:t>培训要求</w:t>
      </w:r>
      <w:bookmarkEnd w:id="78"/>
    </w:p>
    <w:p w:rsidR="00DB4E9A">
      <w:pPr>
        <w:ind w:firstLine="560"/>
        <w:rPr>
          <w:rFonts w:ascii="宋体" w:hAnsi="宋体"/>
          <w:color w:val="000000"/>
          <w:szCs w:val="28"/>
        </w:rPr>
      </w:pPr>
      <w:r>
        <w:rPr>
          <w:rFonts w:ascii="宋体" w:hAnsi="宋体" w:hint="eastAsia"/>
          <w:color w:val="000000"/>
          <w:szCs w:val="28"/>
        </w:rPr>
        <w:t>1</w:t>
      </w:r>
      <w:r>
        <w:rPr>
          <w:rFonts w:ascii="宋体" w:hAnsi="宋体" w:hint="eastAsia"/>
          <w:color w:val="000000"/>
          <w:szCs w:val="28"/>
        </w:rPr>
        <w:t>、投标方应保证提供最有经验的教员，使采购人相关人员在培训后能够独立地对系统进行管理、维护。</w:t>
      </w:r>
    </w:p>
    <w:p w:rsidR="00DB4E9A">
      <w:pPr>
        <w:ind w:firstLine="560"/>
        <w:rPr>
          <w:rFonts w:ascii="宋体" w:hAnsi="宋体"/>
          <w:color w:val="000000"/>
          <w:szCs w:val="28"/>
        </w:rPr>
      </w:pPr>
      <w:r>
        <w:rPr>
          <w:rFonts w:ascii="宋体" w:hAnsi="宋体" w:hint="eastAsia"/>
          <w:color w:val="000000"/>
          <w:szCs w:val="28"/>
        </w:rPr>
        <w:t>2</w:t>
      </w:r>
      <w:r>
        <w:rPr>
          <w:rFonts w:ascii="宋体" w:hAnsi="宋体" w:hint="eastAsia"/>
          <w:color w:val="000000"/>
          <w:szCs w:val="28"/>
        </w:rPr>
        <w:t>、培训应包括使用培训（针对项目日常维护人员及应用人员）、系统管理培训（针对项目技术管理人员）。</w:t>
      </w:r>
    </w:p>
    <w:p w:rsidR="00DB4E9A">
      <w:pPr>
        <w:ind w:firstLine="560"/>
        <w:rPr>
          <w:rFonts w:ascii="宋体" w:hAnsi="宋体"/>
          <w:color w:val="000000"/>
          <w:szCs w:val="28"/>
        </w:rPr>
      </w:pPr>
      <w:r>
        <w:rPr>
          <w:rFonts w:ascii="宋体" w:hAnsi="宋体" w:hint="eastAsia"/>
          <w:color w:val="000000"/>
          <w:szCs w:val="28"/>
        </w:rPr>
        <w:t>应提供以下材料：</w:t>
      </w:r>
    </w:p>
    <w:p w:rsidR="00DB4E9A">
      <w:pPr>
        <w:ind w:firstLine="560"/>
        <w:rPr>
          <w:rFonts w:ascii="宋体" w:hAnsi="宋体"/>
          <w:color w:val="000000"/>
          <w:szCs w:val="28"/>
        </w:rPr>
      </w:pPr>
      <w:r>
        <w:rPr>
          <w:rFonts w:ascii="宋体" w:hAnsi="宋体" w:hint="eastAsia"/>
          <w:color w:val="000000"/>
          <w:szCs w:val="28"/>
        </w:rPr>
        <w:t>1</w:t>
      </w:r>
      <w:r>
        <w:rPr>
          <w:rFonts w:ascii="宋体" w:hAnsi="宋体" w:hint="eastAsia"/>
          <w:color w:val="000000"/>
          <w:szCs w:val="28"/>
        </w:rPr>
        <w:t>）培训大纲：其中应注明每次课程的内容和目的。</w:t>
      </w:r>
    </w:p>
    <w:p w:rsidR="00DB4E9A">
      <w:pPr>
        <w:ind w:firstLine="560"/>
        <w:rPr>
          <w:rFonts w:ascii="宋体" w:hAnsi="宋体"/>
          <w:color w:val="000000"/>
          <w:szCs w:val="28"/>
        </w:rPr>
      </w:pPr>
      <w:r>
        <w:rPr>
          <w:rFonts w:ascii="宋体" w:hAnsi="宋体" w:hint="eastAsia"/>
          <w:color w:val="000000"/>
          <w:szCs w:val="28"/>
        </w:rPr>
        <w:t>2</w:t>
      </w:r>
      <w:r>
        <w:rPr>
          <w:rFonts w:ascii="宋体" w:hAnsi="宋体" w:hint="eastAsia"/>
          <w:color w:val="000000"/>
          <w:szCs w:val="28"/>
        </w:rPr>
        <w:t>）培训计划：包括但不限于培训课程安排、培训师资。</w:t>
      </w:r>
    </w:p>
    <w:p w:rsidR="00DB4E9A">
      <w:pPr>
        <w:ind w:firstLine="560"/>
        <w:rPr>
          <w:rFonts w:ascii="宋体" w:hAnsi="宋体"/>
        </w:rPr>
      </w:pPr>
      <w:r>
        <w:rPr>
          <w:rFonts w:ascii="宋体" w:hAnsi="宋体" w:hint="eastAsia"/>
          <w:color w:val="000000"/>
          <w:szCs w:val="28"/>
        </w:rPr>
        <w:t>3</w:t>
      </w:r>
      <w:r>
        <w:rPr>
          <w:rFonts w:ascii="宋体" w:hAnsi="宋体" w:hint="eastAsia"/>
          <w:color w:val="000000"/>
          <w:szCs w:val="28"/>
        </w:rPr>
        <w:t>）内容：系统的功能、相关技术原理和操作使用方法，维护管理的技术，实际的操作练习，以及基本的故障诊断与排错。</w:t>
      </w:r>
    </w:p>
    <w:p w:rsidR="00DB4E9A">
      <w:pPr>
        <w:pStyle w:val="Heading2"/>
        <w:numPr>
          <w:ilvl w:val="1"/>
          <w:numId w:val="8"/>
        </w:numPr>
        <w:tabs>
          <w:tab w:val="left" w:pos="360"/>
        </w:tabs>
        <w:ind w:left="0" w:firstLine="0"/>
      </w:pPr>
      <w:bookmarkStart w:id="79" w:name="_Toc172191757"/>
      <w:r>
        <w:rPr>
          <w:rFonts w:hint="eastAsia"/>
        </w:rPr>
        <w:t>售后服务要求</w:t>
      </w:r>
      <w:bookmarkEnd w:id="79"/>
    </w:p>
    <w:p w:rsidR="00DB4E9A">
      <w:pPr>
        <w:ind w:firstLine="560"/>
        <w:rPr>
          <w:rFonts w:ascii="宋体" w:hAnsi="宋体"/>
          <w:color w:val="000000"/>
          <w:szCs w:val="28"/>
        </w:rPr>
      </w:pPr>
      <w:r>
        <w:rPr>
          <w:rFonts w:ascii="宋体" w:hAnsi="宋体" w:hint="eastAsia"/>
          <w:color w:val="000000"/>
          <w:szCs w:val="28"/>
        </w:rPr>
        <w:t>项目验收完成后，提供</w:t>
      </w:r>
      <w:r>
        <w:rPr>
          <w:rFonts w:ascii="宋体" w:hAnsi="宋体" w:hint="eastAsia"/>
          <w:color w:val="000000"/>
          <w:szCs w:val="28"/>
        </w:rPr>
        <w:t>3</w:t>
      </w:r>
      <w:r>
        <w:rPr>
          <w:rFonts w:ascii="宋体" w:hAnsi="宋体" w:hint="eastAsia"/>
          <w:color w:val="000000"/>
          <w:szCs w:val="28"/>
        </w:rPr>
        <w:t>年免费质保。</w:t>
      </w:r>
      <w:r>
        <w:rPr>
          <w:rFonts w:ascii="宋体" w:hAnsi="宋体"/>
          <w:color w:val="000000"/>
          <w:szCs w:val="28"/>
        </w:rPr>
        <w:t>在合同质保期内，投标人承诺免费响应甲方系统平台优化的要求，工作量不超过原有建设内容</w:t>
      </w:r>
      <w:r>
        <w:rPr>
          <w:rFonts w:ascii="宋体" w:hAnsi="宋体"/>
          <w:color w:val="000000"/>
          <w:szCs w:val="28"/>
        </w:rPr>
        <w:t>20%</w:t>
      </w:r>
      <w:r>
        <w:rPr>
          <w:rFonts w:ascii="宋体" w:hAnsi="宋体" w:hint="eastAsia"/>
          <w:color w:val="000000"/>
          <w:szCs w:val="28"/>
        </w:rPr>
        <w:t>。</w:t>
      </w:r>
    </w:p>
    <w:p w:rsidR="00DB4E9A">
      <w:pPr>
        <w:ind w:firstLine="560"/>
      </w:pPr>
      <w:r>
        <w:rPr>
          <w:rFonts w:hint="eastAsia"/>
        </w:rPr>
        <w:t>在质保期内，承包人免费提供电话咨询和指导、远程在线支持、现场技术服务及现场培训等技术支持，其中电话技术支持为</w:t>
      </w:r>
      <w:r>
        <w:rPr>
          <w:rFonts w:hint="eastAsia"/>
        </w:rPr>
        <w:t>7*24</w:t>
      </w:r>
      <w:r>
        <w:rPr>
          <w:rFonts w:hint="eastAsia"/>
        </w:rPr>
        <w:t>小时，对于电话支持无法解决的问题，赴现场解决故</w:t>
      </w:r>
      <w:r>
        <w:rPr>
          <w:rFonts w:hint="eastAsia"/>
        </w:rPr>
        <w:t>障的响应时间不超过</w:t>
      </w:r>
      <w:r>
        <w:rPr>
          <w:rFonts w:hint="eastAsia"/>
        </w:rPr>
        <w:t>1</w:t>
      </w:r>
      <w:r>
        <w:rPr>
          <w:rFonts w:hint="eastAsia"/>
        </w:rPr>
        <w:t>小时。</w:t>
      </w:r>
    </w:p>
    <w:p w:rsidR="00DB4E9A">
      <w:pPr>
        <w:pStyle w:val="Heading2"/>
        <w:numPr>
          <w:ilvl w:val="1"/>
          <w:numId w:val="8"/>
        </w:numPr>
        <w:tabs>
          <w:tab w:val="left" w:pos="360"/>
        </w:tabs>
        <w:ind w:left="0" w:firstLine="0"/>
      </w:pPr>
      <w:bookmarkStart w:id="80" w:name="_Toc137275389"/>
      <w:bookmarkStart w:id="81" w:name="_Toc137459487"/>
      <w:bookmarkStart w:id="82" w:name="_Toc172191758"/>
      <w:r>
        <w:t>知识产权归属</w:t>
      </w:r>
      <w:bookmarkEnd w:id="80"/>
      <w:bookmarkEnd w:id="81"/>
      <w:bookmarkEnd w:id="82"/>
    </w:p>
    <w:p w:rsidR="00DB4E9A">
      <w:pPr>
        <w:ind w:firstLine="560"/>
        <w:rPr>
          <w:rFonts w:ascii="宋体" w:hAnsi="宋体"/>
          <w:color w:val="000000"/>
          <w:szCs w:val="28"/>
        </w:rPr>
      </w:pPr>
      <w:r>
        <w:rPr>
          <w:rFonts w:ascii="宋体" w:hAnsi="宋体" w:hint="eastAsia"/>
          <w:color w:val="000000"/>
          <w:szCs w:val="28"/>
        </w:rPr>
        <w:t>在本项目实施过程中产生的包括著作权在内的所有知识产权均归甲方所有。</w:t>
      </w:r>
    </w:p>
    <w:p w:rsidR="00DB4E9A">
      <w:pPr>
        <w:pStyle w:val="Heading2"/>
        <w:numPr>
          <w:ilvl w:val="1"/>
          <w:numId w:val="8"/>
        </w:numPr>
        <w:tabs>
          <w:tab w:val="left" w:pos="360"/>
        </w:tabs>
        <w:ind w:left="0" w:firstLine="0"/>
      </w:pPr>
      <w:r>
        <w:rPr>
          <w:rFonts w:hint="eastAsia"/>
        </w:rPr>
        <w:t>安全保密要求</w:t>
      </w:r>
    </w:p>
    <w:p w:rsidR="00DB4E9A">
      <w:pPr>
        <w:ind w:firstLine="560"/>
        <w:rPr>
          <w:rFonts w:ascii="宋体" w:hAnsi="宋体"/>
          <w:color w:val="000000"/>
          <w:szCs w:val="28"/>
        </w:rPr>
      </w:pPr>
      <w:r>
        <w:rPr>
          <w:rFonts w:hint="eastAsi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rsidR="00DB4E9A">
      <w:pPr>
        <w:pStyle w:val="Heading2"/>
        <w:numPr>
          <w:ilvl w:val="1"/>
          <w:numId w:val="8"/>
        </w:numPr>
        <w:tabs>
          <w:tab w:val="left" w:pos="360"/>
        </w:tabs>
        <w:ind w:left="0" w:firstLine="0"/>
      </w:pPr>
      <w:bookmarkStart w:id="83" w:name="_Toc172191759"/>
      <w:r>
        <w:rPr>
          <w:rFonts w:hint="eastAsia"/>
        </w:rPr>
        <w:t>验收要求</w:t>
      </w:r>
      <w:bookmarkEnd w:id="83"/>
    </w:p>
    <w:p w:rsidR="00DB4E9A">
      <w:pPr>
        <w:pStyle w:val="ListParagraph"/>
        <w:numPr>
          <w:ilvl w:val="0"/>
          <w:numId w:val="9"/>
        </w:numPr>
        <w:ind w:firstLineChars="0"/>
        <w:rPr>
          <w:rFonts w:ascii="宋体" w:hAnsi="宋体"/>
          <w:color w:val="000000"/>
          <w:szCs w:val="28"/>
        </w:rPr>
      </w:pPr>
      <w:r>
        <w:rPr>
          <w:rFonts w:ascii="宋体" w:hAnsi="宋体" w:hint="eastAsia"/>
          <w:color w:val="000000"/>
          <w:szCs w:val="28"/>
        </w:rPr>
        <w:t>实现合同和招标文件中列举的全部功能要求，双方签订合同需包含以上全部技术要求的量化指标，并以此为准进行</w:t>
      </w:r>
      <w:r>
        <w:rPr>
          <w:rFonts w:ascii="宋体" w:hAnsi="宋体" w:hint="eastAsia"/>
          <w:color w:val="000000"/>
          <w:szCs w:val="28"/>
        </w:rPr>
        <w:t>验收。</w:t>
      </w:r>
    </w:p>
    <w:p w:rsidR="00DB4E9A">
      <w:pPr>
        <w:pStyle w:val="ListParagraph"/>
        <w:numPr>
          <w:ilvl w:val="0"/>
          <w:numId w:val="9"/>
        </w:numPr>
        <w:ind w:firstLineChars="0"/>
        <w:rPr>
          <w:rFonts w:ascii="宋体" w:hAnsi="宋体"/>
          <w:color w:val="000000"/>
          <w:szCs w:val="28"/>
        </w:rPr>
      </w:pPr>
      <w:r>
        <w:rPr>
          <w:rFonts w:ascii="宋体" w:hAnsi="宋体" w:hint="eastAsia"/>
          <w:color w:val="000000"/>
          <w:szCs w:val="28"/>
        </w:rPr>
        <w:t>项目最终验收前，需要提供合同产品的第三方测试评估报告。</w:t>
      </w:r>
    </w:p>
    <w:p w:rsidR="00DB4E9A">
      <w:pPr>
        <w:pStyle w:val="ListParagraph"/>
        <w:numPr>
          <w:ilvl w:val="0"/>
          <w:numId w:val="9"/>
        </w:numPr>
        <w:ind w:firstLineChars="0"/>
        <w:rPr>
          <w:rFonts w:ascii="宋体" w:hAnsi="宋体"/>
          <w:color w:val="000000"/>
          <w:szCs w:val="28"/>
        </w:rPr>
      </w:pPr>
      <w:r>
        <w:rPr>
          <w:rFonts w:ascii="宋体" w:hAnsi="宋体" w:hint="eastAsia"/>
          <w:color w:val="000000"/>
          <w:szCs w:val="28"/>
        </w:rPr>
        <w:t>项目验收时应将软件的源代码及全部有关产品说明书、技术文件、资料、安装、验收报告等文档汇集成册交付使用单位。</w:t>
      </w:r>
    </w:p>
    <w:p w:rsidR="00DB4E9A">
      <w:pPr>
        <w:pStyle w:val="Heading2"/>
        <w:numPr>
          <w:ilvl w:val="1"/>
          <w:numId w:val="8"/>
        </w:numPr>
        <w:tabs>
          <w:tab w:val="left" w:pos="360"/>
        </w:tabs>
        <w:ind w:left="0" w:firstLine="0"/>
      </w:pPr>
      <w:bookmarkStart w:id="84" w:name="_Toc172191760"/>
      <w:bookmarkStart w:id="85" w:name="_Toc137275386"/>
      <w:bookmarkStart w:id="86" w:name="_Toc137459484"/>
      <w:r>
        <w:t>成果要求</w:t>
      </w:r>
      <w:bookmarkEnd w:id="84"/>
      <w:bookmarkEnd w:id="85"/>
      <w:bookmarkEnd w:id="86"/>
    </w:p>
    <w:p w:rsidR="00DB4E9A">
      <w:pPr>
        <w:ind w:firstLine="560"/>
        <w:rPr>
          <w:rFonts w:ascii="宋体" w:hAnsi="宋体"/>
          <w:color w:val="000000"/>
          <w:szCs w:val="28"/>
        </w:rPr>
      </w:pPr>
      <w:r>
        <w:rPr>
          <w:rFonts w:ascii="宋体" w:hAnsi="宋体"/>
          <w:color w:val="000000"/>
          <w:szCs w:val="28"/>
        </w:rPr>
        <w:t>进行需求分析、概要设计、详细设计、技术开发、系统集成，提供源程序、需求分析文档、概要设计文档、详细设计文档、技术报告文档、测试报告、试运行报告、</w:t>
      </w:r>
      <w:r>
        <w:rPr>
          <w:rFonts w:ascii="宋体" w:hAnsi="宋体" w:hint="eastAsia"/>
          <w:color w:val="000000"/>
          <w:szCs w:val="28"/>
        </w:rPr>
        <w:t>维护</w:t>
      </w:r>
      <w:r>
        <w:rPr>
          <w:rFonts w:ascii="宋体" w:hAnsi="宋体"/>
          <w:color w:val="000000"/>
          <w:szCs w:val="28"/>
        </w:rPr>
        <w:t>手册各一份；</w:t>
      </w:r>
    </w:p>
    <w:p w:rsidR="00DB4E9A">
      <w:pPr>
        <w:ind w:firstLine="560"/>
        <w:rPr>
          <w:rFonts w:ascii="宋体" w:hAnsi="宋体"/>
          <w:color w:val="000000"/>
          <w:szCs w:val="28"/>
        </w:rPr>
      </w:pPr>
      <w:r>
        <w:rPr>
          <w:rFonts w:ascii="宋体" w:hAnsi="宋体"/>
          <w:color w:val="000000"/>
          <w:szCs w:val="28"/>
        </w:rPr>
        <w:t>提交纸质技术验收报告</w:t>
      </w:r>
      <w:r>
        <w:rPr>
          <w:rFonts w:ascii="宋体" w:hAnsi="宋体"/>
          <w:color w:val="000000"/>
          <w:szCs w:val="28"/>
        </w:rPr>
        <w:t>1</w:t>
      </w:r>
      <w:r>
        <w:rPr>
          <w:rFonts w:ascii="宋体" w:hAnsi="宋体"/>
          <w:color w:val="000000"/>
          <w:szCs w:val="28"/>
        </w:rPr>
        <w:t>份，电子版</w:t>
      </w:r>
      <w:r>
        <w:rPr>
          <w:rFonts w:ascii="宋体" w:hAnsi="宋体"/>
          <w:color w:val="000000"/>
          <w:szCs w:val="28"/>
        </w:rPr>
        <w:t>2</w:t>
      </w:r>
      <w:r>
        <w:rPr>
          <w:rFonts w:ascii="宋体" w:hAnsi="宋体"/>
          <w:color w:val="000000"/>
          <w:szCs w:val="28"/>
        </w:rPr>
        <w:t>份；</w:t>
      </w:r>
    </w:p>
    <w:p w:rsidR="00DB4E9A">
      <w:pPr>
        <w:pStyle w:val="Heading2"/>
        <w:numPr>
          <w:ilvl w:val="1"/>
          <w:numId w:val="8"/>
        </w:numPr>
        <w:tabs>
          <w:tab w:val="left" w:pos="360"/>
        </w:tabs>
        <w:ind w:left="0" w:firstLine="0"/>
      </w:pPr>
      <w:bookmarkStart w:id="87" w:name="_Toc137459488"/>
      <w:bookmarkStart w:id="88" w:name="_Toc172191761"/>
      <w:bookmarkStart w:id="89" w:name="_Toc137275390"/>
      <w:r>
        <w:t>其他要求</w:t>
      </w:r>
      <w:bookmarkEnd w:id="87"/>
      <w:bookmarkEnd w:id="88"/>
      <w:bookmarkEnd w:id="89"/>
    </w:p>
    <w:p w:rsidR="00DB4E9A">
      <w:pPr>
        <w:ind w:firstLine="560"/>
        <w:rPr>
          <w:rFonts w:ascii="宋体" w:hAnsi="宋体"/>
          <w:color w:val="000000"/>
          <w:szCs w:val="28"/>
        </w:rPr>
      </w:pPr>
      <w:r>
        <w:rPr>
          <w:rFonts w:ascii="宋体" w:hAnsi="宋体" w:hint="eastAsia"/>
          <w:color w:val="000000"/>
          <w:szCs w:val="28"/>
        </w:rPr>
        <w:t>1</w:t>
      </w:r>
      <w:r>
        <w:rPr>
          <w:rFonts w:ascii="宋体" w:hAnsi="宋体" w:hint="eastAsia"/>
          <w:color w:val="000000"/>
          <w:szCs w:val="28"/>
        </w:rPr>
        <w:t>、未经采购人许可，中标供应商不得向任何第三方泄露采购方技术资料内容，因中标供应泄露技术资料等内容产生的法律纠纷，所有责任有中标供应商承担。</w:t>
      </w:r>
    </w:p>
    <w:p w:rsidR="00DB4E9A">
      <w:pPr>
        <w:ind w:firstLine="560"/>
        <w:rPr>
          <w:rFonts w:ascii="宋体" w:hAnsi="宋体"/>
          <w:color w:val="000000"/>
          <w:szCs w:val="28"/>
        </w:rPr>
      </w:pPr>
      <w:r>
        <w:rPr>
          <w:rFonts w:ascii="宋体" w:hAnsi="宋体" w:hint="eastAsia"/>
          <w:color w:val="000000"/>
          <w:szCs w:val="28"/>
        </w:rPr>
        <w:t>2</w:t>
      </w:r>
      <w:r>
        <w:rPr>
          <w:rFonts w:ascii="宋体" w:hAnsi="宋体" w:hint="eastAsia"/>
          <w:color w:val="000000"/>
          <w:szCs w:val="28"/>
        </w:rPr>
        <w:t>、系统后台运行环境支持国产操作系统（比</w:t>
      </w:r>
      <w:r>
        <w:rPr>
          <w:rFonts w:ascii="宋体" w:hAnsi="宋体" w:hint="eastAsia"/>
          <w:color w:val="000000"/>
          <w:szCs w:val="28"/>
        </w:rPr>
        <w:t>如中标麒麟）或者</w:t>
      </w:r>
      <w:r>
        <w:rPr>
          <w:rFonts w:ascii="宋体" w:hAnsi="宋体"/>
          <w:color w:val="000000"/>
          <w:szCs w:val="28"/>
        </w:rPr>
        <w:t>Ubuntu16.04</w:t>
      </w:r>
      <w:r>
        <w:rPr>
          <w:rFonts w:ascii="宋体" w:hAnsi="宋体"/>
          <w:color w:val="000000"/>
          <w:szCs w:val="28"/>
        </w:rPr>
        <w:t>、</w:t>
      </w:r>
      <w:r>
        <w:rPr>
          <w:rFonts w:ascii="宋体" w:hAnsi="宋体"/>
          <w:color w:val="000000"/>
          <w:szCs w:val="28"/>
        </w:rPr>
        <w:t>Ubuntu18.04</w:t>
      </w:r>
      <w:r>
        <w:rPr>
          <w:rFonts w:ascii="宋体" w:hAnsi="宋体"/>
          <w:color w:val="000000"/>
          <w:szCs w:val="28"/>
        </w:rPr>
        <w:t>、</w:t>
      </w:r>
      <w:r>
        <w:rPr>
          <w:rFonts w:ascii="宋体" w:hAnsi="宋体"/>
          <w:color w:val="000000"/>
          <w:szCs w:val="28"/>
        </w:rPr>
        <w:t>RedHat7.3</w:t>
      </w:r>
      <w:r>
        <w:rPr>
          <w:rFonts w:ascii="宋体" w:hAnsi="宋体"/>
          <w:color w:val="000000"/>
          <w:szCs w:val="28"/>
        </w:rPr>
        <w:t>等系统，部署环境支持气象大数据云平台</w:t>
      </w: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90"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2"/>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2"/>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2"/>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9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91"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10"/>
        </w:numPr>
        <w:ind w:hanging="420"/>
        <w:jc w:val="left"/>
        <w:rPr>
          <w:sz w:val="24"/>
          <w:szCs w:val="24"/>
        </w:rPr>
      </w:pPr>
      <w:bookmarkStart w:id="92" w:name="_Toc150439537"/>
      <w:r>
        <w:rPr>
          <w:rFonts w:hint="eastAsia"/>
          <w:sz w:val="24"/>
          <w:szCs w:val="24"/>
        </w:rPr>
        <w:t>项目内容及概况</w:t>
      </w:r>
      <w:bookmarkEnd w:id="92"/>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10"/>
        </w:numPr>
        <w:ind w:hanging="420"/>
        <w:jc w:val="left"/>
        <w:rPr>
          <w:rFonts w:hint="eastAsia"/>
          <w:sz w:val="24"/>
          <w:szCs w:val="24"/>
        </w:rPr>
      </w:pPr>
      <w:bookmarkStart w:id="93" w:name="_Toc150434187"/>
      <w:bookmarkStart w:id="94" w:name="_Toc150439539"/>
      <w:bookmarkStart w:id="95" w:name="_Toc150434283"/>
      <w:bookmarkStart w:id="96" w:name="_Toc150439540"/>
      <w:bookmarkEnd w:id="93"/>
      <w:bookmarkEnd w:id="94"/>
      <w:bookmarkEnd w:id="95"/>
      <w:r>
        <w:rPr>
          <w:rFonts w:hint="eastAsia"/>
          <w:sz w:val="24"/>
          <w:szCs w:val="24"/>
        </w:rPr>
        <w:t>项目相关标准</w:t>
      </w:r>
      <w:bookmarkEnd w:id="96"/>
    </w:p>
    <w:p>
      <w:pPr>
        <w:numPr>
          <w:ilvl w:val="0"/>
          <w:numId w:val="11"/>
        </w:numPr>
        <w:ind w:left="0" w:firstLine="480" w:firstLineChars="200"/>
        <w:jc w:val="left"/>
      </w:pPr>
      <w:r>
        <w:rPr>
          <w:rFonts w:hint="eastAsia"/>
          <w:sz w:val="24"/>
          <w:szCs w:val="24"/>
        </w:rPr>
        <w:t>技术标准</w:t>
      </w:r>
    </w:p>
    <w:p>
      <w:pPr>
        <w:numPr>
          <w:ilvl w:val="0"/>
          <w:numId w:val="12"/>
        </w:numPr>
        <w:ind w:left="0" w:firstLine="480" w:firstLineChars="200"/>
        <w:jc w:val="left"/>
      </w:pPr>
      <w:r>
        <w:rPr>
          <w:rFonts w:hint="eastAsia"/>
          <w:sz w:val="24"/>
          <w:szCs w:val="24"/>
        </w:rPr>
        <w:t>国家政策文件</w:t>
      </w:r>
    </w:p>
    <w:p>
      <w:pPr>
        <w:numPr>
          <w:ilvl w:val="1"/>
          <w:numId w:val="11"/>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11"/>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2"/>
        </w:numPr>
        <w:ind w:left="0" w:firstLine="480" w:firstLineChars="200"/>
        <w:jc w:val="left"/>
      </w:pPr>
      <w:r>
        <w:rPr>
          <w:rFonts w:hint="eastAsia"/>
          <w:sz w:val="24"/>
          <w:szCs w:val="24"/>
        </w:rPr>
        <w:t>省厅政策文件</w:t>
      </w:r>
    </w:p>
    <w:p>
      <w:pPr>
        <w:numPr>
          <w:ilvl w:val="0"/>
          <w:numId w:val="13"/>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3"/>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2"/>
        </w:numPr>
        <w:ind w:left="0" w:firstLine="480" w:firstLineChars="200"/>
        <w:jc w:val="left"/>
      </w:pPr>
      <w:r>
        <w:rPr>
          <w:rFonts w:hint="eastAsia"/>
          <w:sz w:val="24"/>
          <w:szCs w:val="24"/>
        </w:rPr>
        <w:t>地区政策文件</w:t>
      </w:r>
    </w:p>
    <w:p>
      <w:pPr>
        <w:numPr>
          <w:ilvl w:val="1"/>
          <w:numId w:val="12"/>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12"/>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1"/>
        </w:numPr>
        <w:ind w:left="0" w:firstLine="480" w:firstLineChars="200"/>
        <w:jc w:val="left"/>
      </w:pPr>
      <w:r>
        <w:rPr>
          <w:rFonts w:hint="eastAsia"/>
          <w:sz w:val="24"/>
          <w:szCs w:val="24"/>
        </w:rPr>
        <w:t>标准规范</w:t>
      </w:r>
    </w:p>
    <w:p>
      <w:pPr>
        <w:numPr>
          <w:ilvl w:val="0"/>
          <w:numId w:val="14"/>
        </w:numPr>
        <w:ind w:left="0" w:firstLine="480" w:firstLineChars="200"/>
        <w:jc w:val="left"/>
        <w:rPr>
          <w:rFonts w:hint="eastAsia"/>
          <w:u w:val="single"/>
        </w:rPr>
      </w:pPr>
      <w:r>
        <w:rPr>
          <w:rFonts w:hint="eastAsia"/>
          <w:sz w:val="24"/>
          <w:szCs w:val="24"/>
          <w:u w:val="single"/>
        </w:rPr>
        <w:t xml:space="preserve">                     </w:t>
      </w:r>
    </w:p>
    <w:p>
      <w:pPr>
        <w:numPr>
          <w:ilvl w:val="0"/>
          <w:numId w:val="14"/>
        </w:numPr>
        <w:ind w:left="0" w:firstLine="480" w:firstLineChars="200"/>
        <w:jc w:val="left"/>
        <w:rPr>
          <w:rFonts w:hint="eastAsia"/>
          <w:u w:val="single"/>
        </w:rPr>
      </w:pPr>
      <w:r>
        <w:rPr>
          <w:rFonts w:hint="eastAsia"/>
          <w:sz w:val="24"/>
          <w:szCs w:val="24"/>
          <w:u w:val="single"/>
        </w:rPr>
        <w:t xml:space="preserve">                     </w:t>
      </w:r>
    </w:p>
    <w:p>
      <w:pPr>
        <w:numPr>
          <w:ilvl w:val="0"/>
          <w:numId w:val="11"/>
        </w:numPr>
        <w:ind w:left="0" w:firstLine="480" w:firstLineChars="200"/>
        <w:jc w:val="left"/>
      </w:pPr>
      <w:r>
        <w:rPr>
          <w:rFonts w:hint="eastAsia"/>
          <w:sz w:val="24"/>
          <w:szCs w:val="24"/>
        </w:rPr>
        <w:t>国家法律法规</w:t>
      </w:r>
    </w:p>
    <w:p>
      <w:pPr>
        <w:numPr>
          <w:ilvl w:val="0"/>
          <w:numId w:val="15"/>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5"/>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5"/>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11"/>
        </w:numPr>
        <w:ind w:left="0" w:firstLine="480" w:firstLineChars="200"/>
        <w:jc w:val="left"/>
      </w:pPr>
      <w:r>
        <w:rPr>
          <w:rFonts w:hint="eastAsia"/>
          <w:sz w:val="24"/>
          <w:szCs w:val="24"/>
        </w:rPr>
        <w:t>气象部门管理制度</w:t>
      </w:r>
    </w:p>
    <w:p>
      <w:pPr>
        <w:numPr>
          <w:ilvl w:val="0"/>
          <w:numId w:val="16"/>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6"/>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6"/>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6"/>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6"/>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6"/>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6"/>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6"/>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10"/>
        </w:numPr>
        <w:ind w:hanging="420"/>
        <w:jc w:val="left"/>
        <w:rPr>
          <w:rFonts w:hint="eastAsia"/>
          <w:sz w:val="24"/>
          <w:szCs w:val="24"/>
        </w:rPr>
      </w:pPr>
      <w:bookmarkStart w:id="97" w:name="_Toc150439541"/>
      <w:bookmarkStart w:id="98" w:name="_Toc150439542"/>
      <w:bookmarkEnd w:id="97"/>
      <w:r>
        <w:rPr>
          <w:rFonts w:hint="eastAsia"/>
          <w:sz w:val="24"/>
          <w:szCs w:val="24"/>
        </w:rPr>
        <w:t>组成本合同的文件</w:t>
      </w:r>
      <w:bookmarkEnd w:id="98"/>
    </w:p>
    <w:p>
      <w:pPr>
        <w:numPr>
          <w:ilvl w:val="0"/>
          <w:numId w:val="17"/>
        </w:numPr>
        <w:ind w:left="0" w:firstLine="480" w:firstLineChars="200"/>
        <w:jc w:val="left"/>
        <w:rPr>
          <w:rFonts w:hint="eastAsia"/>
        </w:rPr>
      </w:pPr>
      <w:r>
        <w:rPr>
          <w:rFonts w:hint="eastAsia"/>
          <w:sz w:val="24"/>
          <w:szCs w:val="24"/>
        </w:rPr>
        <w:t>本合同；</w:t>
      </w:r>
    </w:p>
    <w:p>
      <w:pPr>
        <w:numPr>
          <w:ilvl w:val="0"/>
          <w:numId w:val="17"/>
        </w:numPr>
        <w:ind w:left="0" w:firstLine="480" w:firstLineChars="200"/>
        <w:jc w:val="left"/>
      </w:pPr>
      <w:r>
        <w:rPr>
          <w:rFonts w:hint="eastAsia"/>
          <w:sz w:val="24"/>
          <w:szCs w:val="24"/>
        </w:rPr>
        <w:t>中标通知书、招标文件、投标文件等；</w:t>
      </w:r>
    </w:p>
    <w:p>
      <w:pPr>
        <w:numPr>
          <w:ilvl w:val="0"/>
          <w:numId w:val="17"/>
        </w:numPr>
        <w:ind w:left="0" w:firstLine="480" w:firstLineChars="200"/>
        <w:jc w:val="left"/>
      </w:pPr>
      <w:r>
        <w:rPr>
          <w:rFonts w:hint="eastAsia"/>
          <w:sz w:val="24"/>
          <w:szCs w:val="24"/>
        </w:rPr>
        <w:t>与履行本合同有关、经双方依法签字盖章确认后的下列技术文件：</w:t>
      </w:r>
    </w:p>
    <w:p>
      <w:pPr>
        <w:numPr>
          <w:ilvl w:val="0"/>
          <w:numId w:val="18"/>
        </w:numPr>
        <w:ind w:hanging="5"/>
        <w:jc w:val="left"/>
        <w:rPr>
          <w:rFonts w:hint="eastAsia"/>
        </w:rPr>
      </w:pPr>
      <w:r>
        <w:rPr>
          <w:rFonts w:hint="eastAsia"/>
          <w:sz w:val="24"/>
          <w:szCs w:val="24"/>
        </w:rPr>
        <w:t>技术背景资料；</w:t>
      </w:r>
    </w:p>
    <w:p>
      <w:pPr>
        <w:numPr>
          <w:ilvl w:val="0"/>
          <w:numId w:val="18"/>
        </w:numPr>
        <w:ind w:hanging="5"/>
        <w:jc w:val="left"/>
        <w:rPr>
          <w:rFonts w:hint="eastAsia"/>
        </w:rPr>
      </w:pPr>
      <w:r>
        <w:rPr>
          <w:rFonts w:hint="eastAsia"/>
          <w:sz w:val="24"/>
          <w:szCs w:val="24"/>
        </w:rPr>
        <w:t>可行性论证报告；</w:t>
      </w:r>
    </w:p>
    <w:p>
      <w:pPr>
        <w:numPr>
          <w:ilvl w:val="0"/>
          <w:numId w:val="18"/>
        </w:numPr>
        <w:ind w:hanging="5"/>
        <w:jc w:val="left"/>
        <w:rPr>
          <w:rFonts w:hint="eastAsia"/>
        </w:rPr>
      </w:pPr>
      <w:r>
        <w:rPr>
          <w:rFonts w:hint="eastAsia"/>
          <w:sz w:val="24"/>
          <w:szCs w:val="24"/>
        </w:rPr>
        <w:t>技术评价报告；</w:t>
      </w:r>
    </w:p>
    <w:p>
      <w:pPr>
        <w:numPr>
          <w:ilvl w:val="0"/>
          <w:numId w:val="18"/>
        </w:numPr>
        <w:ind w:hanging="5"/>
        <w:jc w:val="left"/>
        <w:rPr>
          <w:rFonts w:hint="eastAsia"/>
        </w:rPr>
      </w:pPr>
      <w:r>
        <w:rPr>
          <w:rFonts w:hint="eastAsia"/>
          <w:sz w:val="24"/>
          <w:szCs w:val="24"/>
        </w:rPr>
        <w:t>技术标准和规范；</w:t>
      </w:r>
    </w:p>
    <w:p>
      <w:pPr>
        <w:numPr>
          <w:ilvl w:val="0"/>
          <w:numId w:val="18"/>
        </w:numPr>
        <w:ind w:hanging="5"/>
        <w:jc w:val="left"/>
        <w:rPr>
          <w:rFonts w:hint="eastAsia"/>
        </w:rPr>
      </w:pPr>
      <w:r>
        <w:rPr>
          <w:sz w:val="24"/>
          <w:szCs w:val="24"/>
        </w:rPr>
        <w:t>……</w:t>
      </w:r>
    </w:p>
    <w:p>
      <w:pPr>
        <w:numPr>
          <w:ilvl w:val="0"/>
          <w:numId w:val="17"/>
        </w:numPr>
        <w:ind w:left="0" w:firstLine="480" w:firstLineChars="200"/>
        <w:jc w:val="left"/>
      </w:pPr>
      <w:r>
        <w:rPr>
          <w:rFonts w:hint="eastAsia"/>
          <w:sz w:val="24"/>
          <w:szCs w:val="24"/>
        </w:rPr>
        <w:t>安全保密承诺书（签字盖章）；</w:t>
      </w:r>
    </w:p>
    <w:p>
      <w:pPr>
        <w:numPr>
          <w:ilvl w:val="0"/>
          <w:numId w:val="17"/>
        </w:numPr>
        <w:ind w:left="0" w:firstLine="480" w:firstLineChars="200"/>
        <w:jc w:val="left"/>
      </w:pPr>
      <w:r>
        <w:rPr>
          <w:rFonts w:hint="eastAsia"/>
          <w:sz w:val="24"/>
          <w:szCs w:val="24"/>
        </w:rPr>
        <w:t>安全保密协议（签字盖章）；</w:t>
      </w:r>
    </w:p>
    <w:p>
      <w:pPr>
        <w:numPr>
          <w:ilvl w:val="0"/>
          <w:numId w:val="17"/>
        </w:numPr>
        <w:ind w:left="0" w:firstLine="480" w:firstLineChars="200"/>
        <w:jc w:val="left"/>
      </w:pPr>
      <w:r>
        <w:rPr>
          <w:rFonts w:hint="eastAsia"/>
          <w:sz w:val="24"/>
          <w:szCs w:val="24"/>
        </w:rPr>
        <w:t>乙方就该项目实施情况接受甲方监督检查的承诺书（签字盖章）；</w:t>
      </w:r>
    </w:p>
    <w:p>
      <w:pPr>
        <w:numPr>
          <w:ilvl w:val="0"/>
          <w:numId w:val="17"/>
        </w:numPr>
        <w:ind w:left="0" w:firstLine="480" w:firstLineChars="200"/>
        <w:jc w:val="left"/>
        <w:rPr>
          <w:rFonts w:hint="eastAsia"/>
        </w:rPr>
      </w:pPr>
      <w:r>
        <w:rPr>
          <w:rFonts w:hint="eastAsia"/>
          <w:sz w:val="24"/>
          <w:szCs w:val="24"/>
        </w:rPr>
        <w:t>统筹集约承诺书（签字盖章）；</w:t>
      </w:r>
    </w:p>
    <w:p>
      <w:pPr>
        <w:numPr>
          <w:ilvl w:val="0"/>
          <w:numId w:val="17"/>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17"/>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10"/>
        </w:numPr>
        <w:ind w:hanging="420"/>
        <w:jc w:val="left"/>
        <w:rPr>
          <w:rFonts w:hint="eastAsia"/>
          <w:sz w:val="24"/>
          <w:szCs w:val="24"/>
        </w:rPr>
      </w:pPr>
      <w:bookmarkStart w:id="99" w:name="_Toc150439545"/>
      <w:r>
        <w:rPr>
          <w:rFonts w:hint="eastAsia"/>
          <w:sz w:val="24"/>
          <w:szCs w:val="24"/>
        </w:rPr>
        <w:t>合同履行地点、合同服务期</w:t>
      </w:r>
      <w:bookmarkEnd w:id="99"/>
    </w:p>
    <w:p>
      <w:pPr>
        <w:numPr>
          <w:ilvl w:val="0"/>
          <w:numId w:val="19"/>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19"/>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10"/>
        </w:numPr>
        <w:ind w:hanging="420"/>
        <w:rPr>
          <w:rFonts w:hint="eastAsia"/>
          <w:sz w:val="24"/>
          <w:szCs w:val="24"/>
        </w:rPr>
      </w:pPr>
      <w:bookmarkStart w:id="100" w:name="_Toc150439547"/>
      <w:r>
        <w:rPr>
          <w:rFonts w:hint="eastAsia"/>
          <w:sz w:val="24"/>
          <w:szCs w:val="24"/>
        </w:rPr>
        <w:t>服务范围及内容</w:t>
      </w:r>
      <w:bookmarkEnd w:id="100"/>
    </w:p>
    <w:p>
      <w:pPr>
        <w:ind w:firstLine="480" w:firstLineChars="200"/>
      </w:pPr>
      <w:r>
        <w:rPr>
          <w:rFonts w:hint="eastAsia"/>
          <w:sz w:val="24"/>
          <w:szCs w:val="24"/>
        </w:rPr>
        <w:t>本合同研究开发项目的要求如下：</w:t>
      </w:r>
    </w:p>
    <w:p>
      <w:pPr>
        <w:numPr>
          <w:ilvl w:val="0"/>
          <w:numId w:val="20"/>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20"/>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0"/>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20"/>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0"/>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0"/>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0"/>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21"/>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10"/>
        </w:numPr>
        <w:ind w:hanging="420"/>
        <w:rPr>
          <w:rFonts w:hint="eastAsia"/>
          <w:sz w:val="24"/>
          <w:szCs w:val="24"/>
        </w:rPr>
      </w:pPr>
      <w:bookmarkStart w:id="101" w:name="_Toc150434195"/>
      <w:bookmarkStart w:id="102" w:name="_Toc150434291"/>
      <w:bookmarkStart w:id="103" w:name="_Toc150439548"/>
      <w:bookmarkStart w:id="104" w:name="_Toc150424370"/>
      <w:bookmarkStart w:id="105" w:name="_Toc150439549"/>
      <w:bookmarkEnd w:id="101"/>
      <w:bookmarkEnd w:id="102"/>
      <w:bookmarkEnd w:id="103"/>
      <w:bookmarkEnd w:id="104"/>
      <w:r>
        <w:rPr>
          <w:rFonts w:hint="eastAsia"/>
          <w:sz w:val="24"/>
          <w:szCs w:val="24"/>
        </w:rPr>
        <w:t>乙方的权利与义务</w:t>
      </w:r>
      <w:bookmarkEnd w:id="105"/>
    </w:p>
    <w:p>
      <w:pPr>
        <w:numPr>
          <w:ilvl w:val="0"/>
          <w:numId w:val="22"/>
        </w:numPr>
        <w:ind w:left="0" w:firstLine="480" w:firstLineChars="200"/>
        <w:rPr>
          <w:rFonts w:hint="eastAsia"/>
        </w:rPr>
      </w:pPr>
      <w:r>
        <w:rPr>
          <w:rFonts w:hint="eastAsia"/>
          <w:sz w:val="24"/>
          <w:szCs w:val="24"/>
        </w:rPr>
        <w:t>为保证履行合同，乙方承诺以下事项：</w:t>
      </w:r>
    </w:p>
    <w:p>
      <w:pPr>
        <w:numPr>
          <w:ilvl w:val="0"/>
          <w:numId w:val="23"/>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23"/>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23"/>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23"/>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23"/>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23"/>
        </w:numPr>
        <w:ind w:left="0" w:firstLine="480" w:firstLineChars="200"/>
        <w:rPr>
          <w:rFonts w:hint="eastAsia"/>
          <w:u w:val="single"/>
        </w:rPr>
      </w:pPr>
      <w:r>
        <w:rPr>
          <w:rFonts w:hint="eastAsia"/>
          <w:sz w:val="24"/>
          <w:szCs w:val="24"/>
          <w:u w:val="single"/>
        </w:rPr>
        <w:t xml:space="preserve">                                                                     </w:t>
      </w:r>
    </w:p>
    <w:p>
      <w:pPr>
        <w:numPr>
          <w:ilvl w:val="0"/>
          <w:numId w:val="22"/>
        </w:numPr>
        <w:ind w:left="0" w:firstLine="480" w:firstLineChars="200"/>
        <w:rPr>
          <w:rFonts w:hint="eastAsia"/>
        </w:rPr>
      </w:pPr>
      <w:r>
        <w:rPr>
          <w:rFonts w:hint="eastAsia"/>
          <w:sz w:val="24"/>
          <w:szCs w:val="24"/>
        </w:rPr>
        <w:t>对非驻场软件开发，乙方承诺以下事项：</w:t>
      </w:r>
    </w:p>
    <w:p>
      <w:pPr>
        <w:numPr>
          <w:ilvl w:val="0"/>
          <w:numId w:val="24"/>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24"/>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24"/>
        </w:numPr>
        <w:ind w:left="0" w:firstLine="480" w:firstLineChars="200"/>
        <w:rPr>
          <w:rFonts w:hint="eastAsia"/>
          <w:u w:val="single"/>
        </w:rPr>
      </w:pPr>
      <w:r>
        <w:rPr>
          <w:rFonts w:hint="eastAsia"/>
          <w:sz w:val="24"/>
          <w:szCs w:val="24"/>
          <w:u w:val="single"/>
        </w:rPr>
        <w:t xml:space="preserve">不存在规避监管的情形。                                                </w:t>
      </w:r>
    </w:p>
    <w:p>
      <w:pPr>
        <w:numPr>
          <w:ilvl w:val="0"/>
          <w:numId w:val="22"/>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22"/>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5"/>
        </w:numPr>
        <w:ind w:hanging="5"/>
        <w:jc w:val="left"/>
      </w:pPr>
      <w:r>
        <w:rPr>
          <w:rFonts w:hint="eastAsia"/>
          <w:sz w:val="24"/>
          <w:szCs w:val="24"/>
        </w:rPr>
        <w:t>项目功能清单；</w:t>
      </w:r>
    </w:p>
    <w:p>
      <w:pPr>
        <w:numPr>
          <w:ilvl w:val="0"/>
          <w:numId w:val="25"/>
        </w:numPr>
        <w:ind w:hanging="5"/>
        <w:jc w:val="left"/>
        <w:rPr>
          <w:rFonts w:hint="eastAsia"/>
        </w:rPr>
      </w:pPr>
      <w:r>
        <w:rPr>
          <w:rFonts w:hint="eastAsia"/>
          <w:sz w:val="24"/>
          <w:szCs w:val="24"/>
        </w:rPr>
        <w:t>项目实施方案。</w:t>
      </w:r>
    </w:p>
    <w:p>
      <w:pPr>
        <w:numPr>
          <w:ilvl w:val="0"/>
          <w:numId w:val="22"/>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6"/>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6"/>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6"/>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22"/>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22"/>
        </w:numPr>
        <w:ind w:left="0" w:firstLine="480" w:firstLineChars="200"/>
        <w:rPr>
          <w:rFonts w:hint="eastAsia"/>
        </w:rPr>
      </w:pPr>
      <w:r>
        <w:rPr>
          <w:rFonts w:hint="eastAsia"/>
          <w:sz w:val="24"/>
          <w:szCs w:val="24"/>
        </w:rPr>
        <w:t>乙方应接受甲方对本项目执行工作的监督、检查和评价。</w:t>
      </w:r>
    </w:p>
    <w:p>
      <w:pPr>
        <w:numPr>
          <w:ilvl w:val="0"/>
          <w:numId w:val="22"/>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22"/>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2"/>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22"/>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10"/>
        </w:numPr>
        <w:ind w:left="0" w:firstLine="480" w:firstLineChars="200"/>
        <w:rPr>
          <w:sz w:val="24"/>
          <w:szCs w:val="24"/>
        </w:rPr>
      </w:pPr>
      <w:bookmarkStart w:id="106" w:name="_Toc150434197"/>
      <w:bookmarkStart w:id="107" w:name="_Toc150434293"/>
      <w:bookmarkStart w:id="108" w:name="_Toc150424372"/>
      <w:bookmarkStart w:id="109" w:name="_Toc150439550"/>
      <w:bookmarkStart w:id="110" w:name="_Toc150439565"/>
      <w:bookmarkEnd w:id="106"/>
      <w:bookmarkEnd w:id="107"/>
      <w:bookmarkEnd w:id="108"/>
      <w:bookmarkEnd w:id="109"/>
      <w:r>
        <w:rPr>
          <w:rFonts w:hint="eastAsia"/>
          <w:sz w:val="24"/>
          <w:szCs w:val="24"/>
        </w:rPr>
        <w:t>甲方</w:t>
      </w:r>
      <w:r>
        <w:rPr>
          <w:sz w:val="24"/>
          <w:szCs w:val="24"/>
        </w:rPr>
        <w:t>的权利与义务</w:t>
      </w:r>
      <w:bookmarkEnd w:id="110"/>
    </w:p>
    <w:p>
      <w:pPr>
        <w:numPr>
          <w:ilvl w:val="0"/>
          <w:numId w:val="27"/>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8"/>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8"/>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8"/>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7"/>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7"/>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7"/>
        </w:numPr>
        <w:ind w:left="0" w:firstLine="480" w:firstLineChars="200"/>
        <w:rPr>
          <w:spacing w:val="7"/>
        </w:rPr>
      </w:pPr>
      <w:r>
        <w:rPr>
          <w:rFonts w:hint="eastAsia"/>
          <w:sz w:val="24"/>
          <w:szCs w:val="24"/>
        </w:rPr>
        <w:t>甲方必须遵守国家法律法规及气象部门管理制度的要求。</w:t>
      </w:r>
    </w:p>
    <w:p>
      <w:pPr>
        <w:numPr>
          <w:ilvl w:val="0"/>
          <w:numId w:val="27"/>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10"/>
        </w:numPr>
        <w:ind w:left="0" w:firstLine="480" w:firstLineChars="200"/>
        <w:rPr>
          <w:sz w:val="24"/>
          <w:szCs w:val="24"/>
        </w:rPr>
      </w:pPr>
      <w:r>
        <w:rPr>
          <w:rFonts w:hint="eastAsia"/>
          <w:sz w:val="24"/>
          <w:szCs w:val="24"/>
        </w:rPr>
        <w:t>知识产权归属</w:t>
      </w:r>
    </w:p>
    <w:p>
      <w:pPr>
        <w:numPr>
          <w:ilvl w:val="0"/>
          <w:numId w:val="29"/>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9"/>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29"/>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29"/>
        </w:numPr>
        <w:ind w:left="0" w:firstLine="480" w:firstLineChars="200"/>
      </w:pPr>
      <w:r>
        <w:rPr>
          <w:sz w:val="24"/>
          <w:szCs w:val="24"/>
        </w:rPr>
        <w:t>乙方利用研究开发经费所购置与研究开发工作有关的设备、器材、资料等财产，归甲方所有。</w:t>
      </w:r>
    </w:p>
    <w:p>
      <w:pPr>
        <w:numPr>
          <w:ilvl w:val="0"/>
          <w:numId w:val="29"/>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29"/>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29"/>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10"/>
        </w:numPr>
        <w:ind w:left="0" w:firstLine="480" w:firstLineChars="200"/>
        <w:rPr>
          <w:rFonts w:hint="eastAsia"/>
          <w:sz w:val="24"/>
          <w:szCs w:val="24"/>
        </w:rPr>
      </w:pPr>
      <w:r>
        <w:rPr>
          <w:rFonts w:hint="eastAsia"/>
          <w:sz w:val="24"/>
          <w:szCs w:val="24"/>
        </w:rPr>
        <w:t>项目联系人及相关约定</w:t>
      </w:r>
    </w:p>
    <w:p>
      <w:pPr>
        <w:numPr>
          <w:ilvl w:val="0"/>
          <w:numId w:val="30"/>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31"/>
        </w:numPr>
        <w:ind w:hanging="5"/>
        <w:rPr>
          <w:rFonts w:hint="eastAsia"/>
          <w:u w:val="single"/>
        </w:rPr>
      </w:pPr>
      <w:r>
        <w:rPr>
          <w:rFonts w:hint="eastAsia"/>
          <w:sz w:val="24"/>
          <w:szCs w:val="24"/>
          <w:u w:val="single"/>
        </w:rPr>
        <w:t xml:space="preserve">                                                            ；</w:t>
      </w:r>
    </w:p>
    <w:p>
      <w:pPr>
        <w:numPr>
          <w:ilvl w:val="0"/>
          <w:numId w:val="31"/>
        </w:numPr>
        <w:ind w:hanging="5"/>
        <w:rPr>
          <w:rFonts w:hint="eastAsia"/>
          <w:u w:val="single"/>
        </w:rPr>
      </w:pPr>
      <w:r>
        <w:rPr>
          <w:rFonts w:hint="eastAsia"/>
          <w:sz w:val="24"/>
          <w:szCs w:val="24"/>
          <w:u w:val="single"/>
        </w:rPr>
        <w:t xml:space="preserve">                                                            ； </w:t>
      </w:r>
    </w:p>
    <w:p>
      <w:pPr>
        <w:numPr>
          <w:ilvl w:val="0"/>
          <w:numId w:val="31"/>
        </w:numPr>
        <w:ind w:hanging="5"/>
        <w:rPr>
          <w:u w:val="single"/>
        </w:rPr>
      </w:pPr>
      <w:r>
        <w:rPr>
          <w:rFonts w:hint="eastAsia"/>
          <w:sz w:val="24"/>
          <w:szCs w:val="24"/>
          <w:u w:val="single"/>
        </w:rPr>
        <w:t xml:space="preserve">                                                            ；</w:t>
      </w:r>
    </w:p>
    <w:p>
      <w:pPr>
        <w:numPr>
          <w:ilvl w:val="0"/>
          <w:numId w:val="31"/>
        </w:numPr>
        <w:ind w:hanging="5"/>
        <w:rPr>
          <w:rFonts w:hint="eastAsia"/>
          <w:u w:val="single"/>
        </w:rPr>
      </w:pPr>
      <w:r>
        <w:rPr>
          <w:rFonts w:hint="eastAsia"/>
          <w:sz w:val="24"/>
          <w:szCs w:val="24"/>
          <w:u w:val="single"/>
        </w:rPr>
        <w:t xml:space="preserve">                                                            。</w:t>
      </w:r>
    </w:p>
    <w:p>
      <w:pPr>
        <w:numPr>
          <w:ilvl w:val="0"/>
          <w:numId w:val="30"/>
        </w:numPr>
        <w:ind w:left="0" w:firstLine="480" w:firstLineChars="200"/>
        <w:rPr>
          <w:rFonts w:hint="eastAsia"/>
        </w:rPr>
      </w:pPr>
      <w:r>
        <w:rPr>
          <w:rFonts w:hint="eastAsia"/>
          <w:sz w:val="24"/>
          <w:szCs w:val="24"/>
        </w:rPr>
        <w:t>联系人变更约定</w:t>
      </w:r>
    </w:p>
    <w:p>
      <w:pPr>
        <w:numPr>
          <w:ilvl w:val="0"/>
          <w:numId w:val="32"/>
        </w:numPr>
        <w:ind w:left="5" w:firstLine="415"/>
      </w:pPr>
      <w:r>
        <w:rPr>
          <w:sz w:val="24"/>
          <w:szCs w:val="24"/>
        </w:rPr>
        <w:t>一方变更项目联系人的，应当及时以书面形式通知另一方。未及时通知并影响本合同履行或造成损失的，应承担相应的责任。</w:t>
      </w:r>
    </w:p>
    <w:p>
      <w:pPr>
        <w:numPr>
          <w:ilvl w:val="0"/>
          <w:numId w:val="32"/>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32"/>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10"/>
        </w:numPr>
        <w:ind w:left="0" w:firstLine="480" w:firstLineChars="200"/>
        <w:rPr>
          <w:sz w:val="24"/>
          <w:szCs w:val="24"/>
        </w:rPr>
      </w:pPr>
      <w:bookmarkStart w:id="111" w:name="_Toc150439567"/>
      <w:r>
        <w:rPr>
          <w:rFonts w:hint="eastAsia"/>
          <w:sz w:val="24"/>
          <w:szCs w:val="24"/>
        </w:rPr>
        <w:t>项目交付</w:t>
      </w:r>
      <w:bookmarkEnd w:id="111"/>
    </w:p>
    <w:p>
      <w:pPr>
        <w:numPr>
          <w:ilvl w:val="0"/>
          <w:numId w:val="33"/>
        </w:numPr>
        <w:ind w:left="0" w:firstLine="480" w:firstLineChars="200"/>
        <w:rPr>
          <w:rFonts w:hint="eastAsia"/>
        </w:rPr>
      </w:pPr>
      <w:r>
        <w:rPr>
          <w:rFonts w:hint="eastAsia"/>
          <w:sz w:val="24"/>
          <w:szCs w:val="24"/>
        </w:rPr>
        <w:t>乙方应当按以下方式向甲方交付研究开发成果：</w:t>
      </w:r>
    </w:p>
    <w:p>
      <w:pPr>
        <w:numPr>
          <w:ilvl w:val="0"/>
          <w:numId w:val="34"/>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34"/>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34"/>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33"/>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5"/>
        </w:numPr>
        <w:ind w:left="0" w:firstLine="480" w:firstLineChars="200"/>
        <w:rPr>
          <w:rFonts w:hint="eastAsia"/>
        </w:rPr>
      </w:pPr>
      <w:r>
        <w:rPr>
          <w:rFonts w:hint="eastAsia"/>
          <w:sz w:val="24"/>
          <w:szCs w:val="24"/>
        </w:rPr>
        <w:t>确保达到系统正常运行条件和相关技术标准及业务要求；</w:t>
      </w:r>
    </w:p>
    <w:p>
      <w:pPr>
        <w:numPr>
          <w:ilvl w:val="0"/>
          <w:numId w:val="35"/>
        </w:numPr>
        <w:ind w:left="0" w:firstLine="480" w:firstLineChars="200"/>
        <w:rPr>
          <w:rFonts w:hint="eastAsia"/>
        </w:rPr>
      </w:pPr>
      <w:r>
        <w:rPr>
          <w:rFonts w:hint="eastAsia"/>
          <w:sz w:val="24"/>
          <w:szCs w:val="24"/>
        </w:rPr>
        <w:t>系统数据达到规范要求，运行正常；</w:t>
      </w:r>
    </w:p>
    <w:p>
      <w:pPr>
        <w:numPr>
          <w:ilvl w:val="0"/>
          <w:numId w:val="35"/>
        </w:numPr>
        <w:ind w:left="0" w:firstLine="480" w:firstLineChars="200"/>
        <w:rPr>
          <w:rFonts w:hint="eastAsia"/>
        </w:rPr>
      </w:pPr>
      <w:r>
        <w:rPr>
          <w:rFonts w:hint="eastAsia"/>
          <w:sz w:val="24"/>
          <w:szCs w:val="24"/>
        </w:rPr>
        <w:t>系统运行保证安全稳定；</w:t>
      </w:r>
    </w:p>
    <w:p>
      <w:pPr>
        <w:numPr>
          <w:ilvl w:val="0"/>
          <w:numId w:val="35"/>
        </w:numPr>
        <w:ind w:left="0" w:firstLine="480" w:firstLineChars="200"/>
        <w:rPr>
          <w:rFonts w:hint="eastAsia"/>
        </w:rPr>
      </w:pPr>
      <w:r>
        <w:rPr>
          <w:rFonts w:hint="eastAsia"/>
          <w:sz w:val="24"/>
          <w:szCs w:val="24"/>
        </w:rPr>
        <w:t>平台业务运行机制要完整。</w:t>
      </w:r>
    </w:p>
    <w:p>
      <w:pPr>
        <w:numPr>
          <w:ilvl w:val="0"/>
          <w:numId w:val="33"/>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10"/>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6"/>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7"/>
        </w:numPr>
        <w:ind w:hanging="5"/>
        <w:rPr>
          <w:rFonts w:hint="eastAsia"/>
        </w:rPr>
      </w:pPr>
      <w:r>
        <w:rPr>
          <w:rFonts w:hint="eastAsia"/>
          <w:sz w:val="24"/>
          <w:szCs w:val="24"/>
          <w:u w:val="single"/>
        </w:rPr>
        <w:t xml:space="preserve">                                                            </w:t>
      </w:r>
      <w:r>
        <w:rPr>
          <w:rFonts w:hint="eastAsia"/>
          <w:sz w:val="24"/>
          <w:szCs w:val="24"/>
        </w:rPr>
        <w:t>;</w:t>
      </w:r>
    </w:p>
    <w:p>
      <w:pPr>
        <w:numPr>
          <w:ilvl w:val="0"/>
          <w:numId w:val="37"/>
        </w:numPr>
        <w:ind w:hanging="5"/>
        <w:rPr>
          <w:rFonts w:hint="eastAsia"/>
        </w:rPr>
      </w:pPr>
      <w:r>
        <w:rPr>
          <w:rFonts w:hint="eastAsia"/>
          <w:sz w:val="24"/>
          <w:szCs w:val="24"/>
          <w:u w:val="single"/>
        </w:rPr>
        <w:t xml:space="preserve">                                                            </w:t>
      </w:r>
      <w:r>
        <w:rPr>
          <w:rFonts w:hint="eastAsia"/>
          <w:sz w:val="24"/>
          <w:szCs w:val="24"/>
        </w:rPr>
        <w:t>;</w:t>
      </w:r>
    </w:p>
    <w:p>
      <w:pPr>
        <w:numPr>
          <w:ilvl w:val="0"/>
          <w:numId w:val="37"/>
        </w:numPr>
        <w:ind w:hanging="5"/>
        <w:rPr>
          <w:rFonts w:hint="eastAsia"/>
        </w:rPr>
      </w:pPr>
      <w:r>
        <w:rPr>
          <w:rFonts w:hint="eastAsia"/>
          <w:sz w:val="24"/>
          <w:szCs w:val="24"/>
          <w:u w:val="single"/>
        </w:rPr>
        <w:t xml:space="preserve">                                                            </w:t>
      </w:r>
      <w:r>
        <w:rPr>
          <w:rFonts w:hint="eastAsia"/>
          <w:sz w:val="24"/>
          <w:szCs w:val="24"/>
        </w:rPr>
        <w:t>;</w:t>
      </w:r>
    </w:p>
    <w:p>
      <w:pPr>
        <w:numPr>
          <w:ilvl w:val="0"/>
          <w:numId w:val="37"/>
        </w:numPr>
        <w:ind w:hanging="5"/>
        <w:rPr>
          <w:rFonts w:hint="eastAsia"/>
        </w:rPr>
      </w:pPr>
      <w:r>
        <w:rPr>
          <w:rFonts w:hint="eastAsia"/>
          <w:sz w:val="24"/>
          <w:szCs w:val="24"/>
          <w:u w:val="single"/>
        </w:rPr>
        <w:t xml:space="preserve">                                                            。</w:t>
      </w:r>
    </w:p>
    <w:p>
      <w:pPr>
        <w:numPr>
          <w:ilvl w:val="0"/>
          <w:numId w:val="36"/>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6"/>
        </w:numPr>
        <w:tabs>
          <w:tab w:val="left" w:pos="720"/>
        </w:tabs>
        <w:ind w:left="0" w:firstLine="480" w:firstLineChars="200"/>
        <w:rPr>
          <w:rFonts w:hint="eastAsia"/>
        </w:rPr>
      </w:pPr>
      <w:r>
        <w:rPr>
          <w:rFonts w:hint="eastAsia"/>
          <w:sz w:val="24"/>
          <w:szCs w:val="24"/>
        </w:rPr>
        <w:t>履约保证金或履约保函</w:t>
      </w:r>
    </w:p>
    <w:p>
      <w:pPr>
        <w:numPr>
          <w:ilvl w:val="0"/>
          <w:numId w:val="38"/>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8"/>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8"/>
        </w:numPr>
        <w:tabs>
          <w:tab w:val="left" w:pos="720"/>
        </w:tabs>
        <w:ind w:left="0" w:firstLine="420"/>
        <w:rPr>
          <w:rFonts w:hint="eastAsia"/>
        </w:rPr>
      </w:pPr>
      <w:r>
        <w:rPr>
          <w:rFonts w:hint="eastAsia"/>
          <w:sz w:val="24"/>
          <w:szCs w:val="24"/>
        </w:rPr>
        <w:t>履约保证金应用本合同货币。</w:t>
      </w:r>
    </w:p>
    <w:p>
      <w:pPr>
        <w:numPr>
          <w:ilvl w:val="0"/>
          <w:numId w:val="36"/>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6"/>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39"/>
        </w:numPr>
        <w:tabs>
          <w:tab w:val="left" w:pos="720"/>
        </w:tabs>
        <w:ind w:left="0" w:firstLine="420"/>
        <w:rPr>
          <w:rFonts w:hint="eastAsia"/>
        </w:rPr>
      </w:pPr>
      <w:r>
        <w:rPr>
          <w:rFonts w:hint="eastAsia"/>
          <w:sz w:val="24"/>
          <w:szCs w:val="24"/>
        </w:rPr>
        <w:t>乙方丧失继续完成本合同的基本条件或能力时；</w:t>
      </w:r>
    </w:p>
    <w:p>
      <w:pPr>
        <w:numPr>
          <w:ilvl w:val="0"/>
          <w:numId w:val="39"/>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39"/>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39"/>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10"/>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10"/>
        </w:numPr>
        <w:ind w:left="0" w:firstLine="480" w:firstLineChars="200"/>
        <w:rPr>
          <w:sz w:val="24"/>
          <w:szCs w:val="24"/>
        </w:rPr>
      </w:pPr>
      <w:bookmarkStart w:id="112" w:name="_Toc150439568"/>
      <w:bookmarkStart w:id="113" w:name="_Toc150434311"/>
      <w:bookmarkStart w:id="114" w:name="_Toc150434215"/>
      <w:bookmarkStart w:id="115" w:name="_Toc150424390"/>
      <w:bookmarkStart w:id="116" w:name="_Toc150439569"/>
      <w:bookmarkEnd w:id="112"/>
      <w:bookmarkEnd w:id="113"/>
      <w:bookmarkEnd w:id="114"/>
      <w:bookmarkEnd w:id="115"/>
      <w:r>
        <w:rPr>
          <w:rFonts w:hint="eastAsia"/>
          <w:sz w:val="24"/>
          <w:szCs w:val="24"/>
        </w:rPr>
        <w:t>项目验收</w:t>
      </w:r>
      <w:bookmarkEnd w:id="116"/>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40"/>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40"/>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40"/>
        </w:numPr>
        <w:ind w:left="0" w:firstLine="420"/>
        <w:rPr>
          <w:rFonts w:hint="eastAsia"/>
          <w:u w:val="single"/>
        </w:rPr>
      </w:pPr>
      <w:r>
        <w:rPr>
          <w:rFonts w:hint="eastAsia"/>
          <w:sz w:val="24"/>
          <w:szCs w:val="24"/>
          <w:u w:val="single"/>
        </w:rPr>
        <w:t xml:space="preserve">全部源代码（电子版）及说明；                                   </w:t>
      </w:r>
    </w:p>
    <w:p>
      <w:pPr>
        <w:numPr>
          <w:ilvl w:val="0"/>
          <w:numId w:val="40"/>
        </w:numPr>
        <w:ind w:left="0" w:firstLine="420"/>
        <w:rPr>
          <w:rFonts w:hint="eastAsia"/>
          <w:u w:val="single"/>
        </w:rPr>
      </w:pPr>
      <w:r>
        <w:rPr>
          <w:rFonts w:hint="eastAsia"/>
          <w:sz w:val="24"/>
          <w:szCs w:val="24"/>
          <w:u w:val="single"/>
        </w:rPr>
        <w:t xml:space="preserve">试运行方案、记录、报告、试运行改进报告                         </w:t>
      </w:r>
    </w:p>
    <w:p>
      <w:pPr>
        <w:numPr>
          <w:ilvl w:val="0"/>
          <w:numId w:val="40"/>
        </w:numPr>
        <w:ind w:left="0" w:firstLine="420"/>
        <w:rPr>
          <w:rFonts w:hint="eastAsia"/>
          <w:u w:val="single"/>
        </w:rPr>
      </w:pPr>
      <w:r>
        <w:rPr>
          <w:rFonts w:hint="eastAsia"/>
          <w:sz w:val="24"/>
          <w:szCs w:val="24"/>
          <w:u w:val="single"/>
        </w:rPr>
        <w:t xml:space="preserve">合同验收文件、开发总结报告、交接清单                           </w:t>
      </w:r>
    </w:p>
    <w:p>
      <w:pPr>
        <w:numPr>
          <w:ilvl w:val="0"/>
          <w:numId w:val="40"/>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10"/>
        </w:numPr>
        <w:ind w:left="0" w:firstLine="480" w:firstLineChars="200"/>
        <w:rPr>
          <w:sz w:val="24"/>
          <w:szCs w:val="24"/>
        </w:rPr>
      </w:pPr>
      <w:bookmarkStart w:id="117" w:name="_Toc150439566"/>
      <w:r>
        <w:rPr>
          <w:rFonts w:hint="eastAsia"/>
          <w:sz w:val="24"/>
          <w:szCs w:val="24"/>
        </w:rPr>
        <w:t>质量保证</w:t>
      </w:r>
      <w:bookmarkEnd w:id="117"/>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41"/>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41"/>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41"/>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41"/>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1"/>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10"/>
        </w:numPr>
        <w:ind w:left="0" w:firstLine="480" w:firstLineChars="200"/>
        <w:rPr>
          <w:sz w:val="24"/>
          <w:szCs w:val="24"/>
        </w:rPr>
      </w:pPr>
      <w:bookmarkStart w:id="118" w:name="_Toc150434250"/>
      <w:bookmarkStart w:id="119" w:name="_Toc150424425"/>
      <w:bookmarkStart w:id="120" w:name="_Toc150439603"/>
      <w:bookmarkStart w:id="121" w:name="_Toc150434346"/>
      <w:bookmarkStart w:id="122" w:name="_Toc150439612"/>
      <w:bookmarkEnd w:id="118"/>
      <w:bookmarkEnd w:id="119"/>
      <w:bookmarkEnd w:id="120"/>
      <w:bookmarkEnd w:id="121"/>
      <w:r>
        <w:rPr>
          <w:rFonts w:hint="eastAsia"/>
          <w:sz w:val="24"/>
          <w:szCs w:val="24"/>
        </w:rPr>
        <w:t>保密条款（保密协议）</w:t>
      </w:r>
      <w:bookmarkEnd w:id="122"/>
    </w:p>
    <w:p>
      <w:pPr>
        <w:ind w:firstLine="480" w:firstLineChars="200"/>
        <w:rPr>
          <w:rFonts w:hint="eastAsia"/>
        </w:rPr>
      </w:pPr>
      <w:r>
        <w:rPr>
          <w:rFonts w:hint="eastAsia"/>
          <w:sz w:val="24"/>
          <w:szCs w:val="24"/>
        </w:rPr>
        <w:t>甲方因履行本合同应遵守的保密义务如下：</w:t>
      </w:r>
    </w:p>
    <w:p>
      <w:pPr>
        <w:numPr>
          <w:ilvl w:val="0"/>
          <w:numId w:val="42"/>
        </w:numPr>
        <w:ind w:left="0" w:firstLine="480" w:firstLineChars="200"/>
        <w:rPr>
          <w:rFonts w:hint="eastAsia"/>
        </w:rPr>
      </w:pPr>
      <w:bookmarkStart w:id="123"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42"/>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42"/>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42"/>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123"/>
      <w:r>
        <w:rPr>
          <w:rFonts w:hint="eastAsia"/>
          <w:sz w:val="24"/>
          <w:szCs w:val="24"/>
        </w:rPr>
        <w:t>乙方因履行本合同应遵守的保密义务如下：</w:t>
      </w:r>
    </w:p>
    <w:p>
      <w:pPr>
        <w:numPr>
          <w:ilvl w:val="0"/>
          <w:numId w:val="43"/>
        </w:numPr>
        <w:ind w:left="0" w:firstLine="480" w:firstLineChars="200"/>
        <w:rPr>
          <w:rFonts w:hint="eastAsia"/>
        </w:rPr>
      </w:pPr>
      <w:r>
        <w:rPr>
          <w:rFonts w:hint="eastAsia"/>
          <w:sz w:val="24"/>
          <w:szCs w:val="24"/>
        </w:rPr>
        <w:t>保密内容（包括技术信息和经营信息）：</w:t>
      </w:r>
    </w:p>
    <w:p>
      <w:pPr>
        <w:numPr>
          <w:ilvl w:val="0"/>
          <w:numId w:val="44"/>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4"/>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4"/>
        </w:numPr>
        <w:ind w:left="0" w:firstLine="420"/>
        <w:rPr>
          <w:u w:val="single"/>
        </w:rPr>
      </w:pPr>
      <w:r>
        <w:rPr>
          <w:rFonts w:hint="eastAsia"/>
          <w:sz w:val="24"/>
          <w:szCs w:val="24"/>
          <w:u w:val="single"/>
        </w:rPr>
        <w:t xml:space="preserve">涉及国家秘密和安全的 ，依照有关保密规定执行。                          </w:t>
      </w:r>
    </w:p>
    <w:p>
      <w:pPr>
        <w:numPr>
          <w:ilvl w:val="0"/>
          <w:numId w:val="43"/>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43"/>
        </w:numPr>
        <w:ind w:left="0" w:firstLine="480" w:firstLineChars="200"/>
        <w:rPr>
          <w:rFonts w:hint="eastAsia"/>
        </w:rPr>
      </w:pPr>
      <w:r>
        <w:rPr>
          <w:rFonts w:hint="eastAsia"/>
          <w:sz w:val="24"/>
          <w:szCs w:val="24"/>
        </w:rPr>
        <w:t>保密期限：</w:t>
      </w:r>
      <w:bookmarkStart w:id="124" w:name="_Hlk150343509"/>
      <w:r>
        <w:rPr>
          <w:rFonts w:hint="eastAsia"/>
          <w:sz w:val="24"/>
          <w:szCs w:val="24"/>
          <w:u w:val="single"/>
        </w:rPr>
        <w:t xml:space="preserve">      本条规定持续有效，不因本合同终止或解除而失效  </w:t>
      </w:r>
      <w:bookmarkEnd w:id="124"/>
    </w:p>
    <w:p>
      <w:pPr>
        <w:numPr>
          <w:ilvl w:val="0"/>
          <w:numId w:val="43"/>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10"/>
        </w:numPr>
        <w:ind w:left="0" w:firstLine="480" w:firstLineChars="200"/>
        <w:rPr>
          <w:sz w:val="24"/>
          <w:szCs w:val="24"/>
        </w:rPr>
      </w:pPr>
      <w:bookmarkStart w:id="125" w:name="_Toc150439618"/>
      <w:r>
        <w:rPr>
          <w:rFonts w:hint="eastAsia"/>
          <w:sz w:val="24"/>
          <w:szCs w:val="24"/>
        </w:rPr>
        <w:t>违约</w:t>
      </w:r>
      <w:r>
        <w:rPr>
          <w:sz w:val="24"/>
          <w:szCs w:val="24"/>
        </w:rPr>
        <w:t>责任及赔偿</w:t>
      </w:r>
      <w:bookmarkEnd w:id="125"/>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5"/>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5"/>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5"/>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5"/>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5"/>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5"/>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5"/>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5"/>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10"/>
        </w:numPr>
        <w:ind w:left="0" w:firstLine="480" w:firstLineChars="200"/>
        <w:rPr>
          <w:sz w:val="24"/>
          <w:szCs w:val="24"/>
        </w:rPr>
      </w:pPr>
      <w:bookmarkStart w:id="126" w:name="_Toc150439619"/>
      <w:r>
        <w:rPr>
          <w:rFonts w:hint="eastAsia"/>
          <w:sz w:val="24"/>
          <w:szCs w:val="24"/>
        </w:rPr>
        <w:t>争议的解决</w:t>
      </w:r>
      <w:bookmarkEnd w:id="126"/>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10"/>
        </w:numPr>
        <w:ind w:left="0" w:firstLine="0"/>
        <w:rPr>
          <w:sz w:val="24"/>
          <w:szCs w:val="24"/>
        </w:rPr>
      </w:pPr>
      <w:bookmarkStart w:id="127" w:name="_Toc150439621"/>
      <w:r>
        <w:rPr>
          <w:rFonts w:hint="eastAsia"/>
          <w:sz w:val="24"/>
          <w:szCs w:val="24"/>
        </w:rPr>
        <w:t>不可抗力</w:t>
      </w:r>
      <w:bookmarkEnd w:id="127"/>
    </w:p>
    <w:p>
      <w:pPr>
        <w:numPr>
          <w:ilvl w:val="0"/>
          <w:numId w:val="46"/>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7"/>
        </w:numPr>
        <w:ind w:hanging="5"/>
        <w:rPr>
          <w:rFonts w:hint="eastAsia"/>
        </w:rPr>
      </w:pPr>
      <w:r>
        <w:rPr>
          <w:rFonts w:hint="eastAsia"/>
          <w:sz w:val="24"/>
          <w:szCs w:val="24"/>
        </w:rPr>
        <w:t>本合同项目在现有技术水平条件下具有足够的难度；</w:t>
      </w:r>
    </w:p>
    <w:p>
      <w:pPr>
        <w:numPr>
          <w:ilvl w:val="0"/>
          <w:numId w:val="47"/>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6"/>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6"/>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8"/>
        </w:numPr>
        <w:ind w:hanging="5"/>
        <w:rPr>
          <w:rFonts w:hint="eastAsia"/>
        </w:rPr>
      </w:pPr>
      <w:r>
        <w:rPr>
          <w:rFonts w:hint="eastAsia"/>
          <w:sz w:val="24"/>
          <w:szCs w:val="24"/>
        </w:rPr>
        <w:t>因发生不可抗力或技术风险；</w:t>
      </w:r>
    </w:p>
    <w:p>
      <w:pPr>
        <w:numPr>
          <w:ilvl w:val="0"/>
          <w:numId w:val="48"/>
        </w:numPr>
        <w:ind w:hanging="5"/>
        <w:rPr>
          <w:rFonts w:hint="eastAsia"/>
        </w:rPr>
      </w:pPr>
      <w:r>
        <w:rPr>
          <w:rFonts w:hint="eastAsia"/>
          <w:sz w:val="24"/>
          <w:szCs w:val="24"/>
        </w:rPr>
        <w:t>因一方未按约定履行合同义务支付款项的；</w:t>
      </w:r>
    </w:p>
    <w:p>
      <w:pPr>
        <w:numPr>
          <w:ilvl w:val="0"/>
          <w:numId w:val="48"/>
        </w:numPr>
        <w:ind w:hanging="5"/>
        <w:rPr>
          <w:rFonts w:hint="eastAsia"/>
        </w:rPr>
      </w:pPr>
      <w:r>
        <w:rPr>
          <w:rFonts w:hint="eastAsia"/>
          <w:sz w:val="24"/>
          <w:szCs w:val="24"/>
        </w:rPr>
        <w:t>因一方未按期完成合同约定的项目开发任务。</w:t>
      </w:r>
    </w:p>
    <w:p>
      <w:pPr>
        <w:pStyle w:val="Heading2"/>
        <w:numPr>
          <w:ilvl w:val="0"/>
          <w:numId w:val="10"/>
        </w:numPr>
        <w:ind w:left="0" w:firstLine="480" w:firstLineChars="200"/>
        <w:rPr>
          <w:rFonts w:hint="eastAsia"/>
          <w:sz w:val="24"/>
          <w:szCs w:val="24"/>
        </w:rPr>
      </w:pPr>
      <w:bookmarkStart w:id="128" w:name="_Toc150439624"/>
      <w:r>
        <w:rPr>
          <w:rFonts w:hint="eastAsia"/>
          <w:sz w:val="24"/>
          <w:szCs w:val="24"/>
        </w:rPr>
        <w:t>本合同的变更</w:t>
      </w:r>
      <w:bookmarkEnd w:id="128"/>
    </w:p>
    <w:p>
      <w:pPr>
        <w:numPr>
          <w:ilvl w:val="0"/>
          <w:numId w:val="49"/>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49"/>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10"/>
        </w:numPr>
        <w:ind w:left="0" w:firstLine="480" w:firstLineChars="200"/>
        <w:rPr>
          <w:sz w:val="24"/>
          <w:szCs w:val="24"/>
        </w:rPr>
      </w:pPr>
      <w:bookmarkStart w:id="129" w:name="_Toc150434362"/>
      <w:bookmarkStart w:id="130" w:name="_Toc150434266"/>
      <w:bookmarkStart w:id="131" w:name="_Toc150424441"/>
      <w:bookmarkStart w:id="132" w:name="_Toc150439622"/>
      <w:bookmarkStart w:id="133" w:name="_Toc150439623"/>
      <w:bookmarkEnd w:id="129"/>
      <w:bookmarkEnd w:id="130"/>
      <w:bookmarkEnd w:id="131"/>
      <w:bookmarkEnd w:id="132"/>
      <w:r>
        <w:rPr>
          <w:rFonts w:hint="eastAsia"/>
          <w:sz w:val="24"/>
          <w:szCs w:val="24"/>
        </w:rPr>
        <w:t>其它</w:t>
      </w:r>
      <w:bookmarkEnd w:id="133"/>
    </w:p>
    <w:p>
      <w:pPr>
        <w:ind w:left="420" w:leftChars="200"/>
      </w:pPr>
      <w:r>
        <w:rPr>
          <w:rFonts w:hint="eastAsia"/>
          <w:sz w:val="24"/>
          <w:szCs w:val="24"/>
        </w:rPr>
        <w:t>本合同未尽事宜，由双方协商后按有关程序办理，并以书面形式进行确定。</w:t>
      </w:r>
    </w:p>
    <w:p>
      <w:pPr>
        <w:pStyle w:val="Heading2"/>
        <w:numPr>
          <w:ilvl w:val="0"/>
          <w:numId w:val="10"/>
        </w:numPr>
        <w:ind w:left="0" w:firstLine="480" w:firstLineChars="200"/>
        <w:rPr>
          <w:rFonts w:hint="eastAsia"/>
          <w:sz w:val="24"/>
          <w:szCs w:val="24"/>
        </w:rPr>
      </w:pPr>
      <w:bookmarkStart w:id="134" w:name="_Toc150439626"/>
      <w:r>
        <w:rPr>
          <w:rFonts w:hint="eastAsia"/>
          <w:sz w:val="24"/>
          <w:szCs w:val="24"/>
        </w:rPr>
        <w:t>合同生效</w:t>
      </w:r>
      <w:bookmarkEnd w:id="134"/>
    </w:p>
    <w:p>
      <w:pPr>
        <w:numPr>
          <w:ilvl w:val="0"/>
          <w:numId w:val="50"/>
        </w:numPr>
        <w:ind w:left="0" w:firstLine="480" w:firstLineChars="200"/>
      </w:pPr>
      <w:r>
        <w:rPr>
          <w:rFonts w:hint="eastAsia"/>
          <w:sz w:val="24"/>
          <w:szCs w:val="24"/>
        </w:rPr>
        <w:t>本合同经双方法定代表人或授权代表签字并加盖公章之日起生效，至质保期结束终止。</w:t>
      </w:r>
    </w:p>
    <w:p>
      <w:pPr>
        <w:numPr>
          <w:ilvl w:val="0"/>
          <w:numId w:val="50"/>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15"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135" w:name="_Hlk99802248"/>
    </w:p>
    <w:p>
      <w:pPr>
        <w:jc w:val="center"/>
        <w:rPr>
          <w:rFonts w:hint="eastAsia"/>
          <w:spacing w:val="-16"/>
          <w:sz w:val="44"/>
          <w:szCs w:val="44"/>
        </w:rPr>
      </w:pPr>
      <w:r>
        <w:rPr>
          <w:rFonts w:hint="eastAsia"/>
          <w:spacing w:val="-16"/>
          <w:sz w:val="44"/>
          <w:szCs w:val="44"/>
        </w:rPr>
        <w:t>安全保密承诺书</w:t>
      </w:r>
      <w:bookmarkEnd w:id="135"/>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51"/>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16"/>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046"/>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Pr>
        <w:sectPr>
          <w:type w:val="nextPage"/>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keepNext w:val="0"/>
        <w:keepLines w:val="0"/>
        <w:widowControl/>
        <w:suppressLineNumbers w:val="0"/>
        <w:kinsoku w:val="0"/>
        <w:autoSpaceDE w:val="0"/>
        <w:autoSpaceDN w:val="0"/>
        <w:adjustRightInd w:val="0"/>
        <w:snapToGrid w:val="0"/>
        <w:spacing w:before="0" w:beforeAutospacing="0" w:after="0" w:afterAutospacing="0"/>
        <w:ind w:left="0" w:right="0"/>
        <w:jc w:val="center"/>
        <w:rPr>
          <w:rFonts w:ascii="方正小标宋简体" w:eastAsia="方正小标宋简体" w:hAnsi="方正小标宋简体" w:cs="方正小标宋简体" w:hint="eastAsia"/>
          <w:spacing w:val="-1"/>
          <w:sz w:val="30"/>
          <w:szCs w:val="30"/>
        </w:rPr>
      </w:pPr>
      <w:r>
        <w:rPr>
          <w:rFonts w:ascii="方正小标宋简体" w:eastAsia="方正小标宋简体" w:hAnsi="方正小标宋简体" w:cs="方正小标宋简体" w:hint="eastAsia"/>
          <w:snapToGrid/>
          <w:color w:val="000000"/>
          <w:spacing w:val="-1"/>
          <w:kern w:val="0"/>
          <w:sz w:val="30"/>
          <w:szCs w:val="30"/>
          <w:lang w:val="en-US" w:eastAsia="zh-CN" w:bidi="ar"/>
        </w:rPr>
        <w:t>国家气象中心廉政合同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r>
        <w:rPr>
          <w:rFonts w:ascii="宋体" w:eastAsia="宋体" w:hAnsi="宋体" w:cs="宋体" w:hint="eastAsia"/>
          <w:b/>
          <w:bCs/>
          <w:snapToGrid/>
          <w:color w:val="000000"/>
          <w:spacing w:val="-16"/>
          <w:kern w:val="0"/>
          <w:sz w:val="21"/>
          <w:szCs w:val="21"/>
          <w:lang w:val="en-US" w:eastAsia="zh-CN" w:bidi="ar"/>
        </w:rPr>
        <w:t>主合同名称：                                        合同编号：</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rPr>
      </w:pPr>
      <w:r>
        <w:rPr>
          <w:rFonts w:ascii="宋体" w:eastAsia="宋体" w:hAnsi="宋体" w:cs="宋体" w:hint="eastAsia"/>
          <w:b/>
          <w:bCs/>
          <w:snapToGrid/>
          <w:color w:val="000000"/>
          <w:spacing w:val="2"/>
          <w:kern w:val="0"/>
          <w:sz w:val="21"/>
          <w:szCs w:val="21"/>
          <w:lang w:val="en-US" w:eastAsia="zh-CN" w:bidi="ar"/>
        </w:rPr>
        <w:t>委托人（甲方）: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r>
        <w:rPr>
          <w:rFonts w:ascii="宋体" w:eastAsia="宋体" w:hAnsi="宋体" w:cs="宋体" w:hint="eastAsia"/>
          <w:b/>
          <w:bCs/>
          <w:snapToGrid/>
          <w:color w:val="000000"/>
          <w:spacing w:val="2"/>
          <w:kern w:val="0"/>
          <w:sz w:val="21"/>
          <w:szCs w:val="21"/>
          <w:lang w:val="en-US" w:eastAsia="zh-CN" w:bidi="ar"/>
        </w:rPr>
        <w:t>受托人（乙方）: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kern w:val="0"/>
          <w:sz w:val="21"/>
          <w:szCs w:val="21"/>
          <w:lang w:val="en-US" w:eastAsia="zh-CN" w:bidi="ar"/>
        </w:rPr>
        <w:t>为保护国家、集体和</w:t>
      </w:r>
      <w:r>
        <w:rPr>
          <w:rFonts w:ascii="宋体" w:eastAsia="宋体" w:hAnsi="宋体" w:cs="宋体" w:hint="eastAsia"/>
          <w:snapToGrid/>
          <w:color w:val="000000"/>
          <w:spacing w:val="-1"/>
          <w:kern w:val="0"/>
          <w:sz w:val="21"/>
          <w:szCs w:val="21"/>
          <w:lang w:val="en-US" w:eastAsia="zh-CN" w:bidi="ar"/>
        </w:rPr>
        <w:t>当事人的合法权益，</w:t>
      </w:r>
      <w:r>
        <w:rPr>
          <w:rFonts w:ascii="宋体" w:eastAsia="宋体" w:hAnsi="宋体" w:cs="宋体" w:hint="eastAsia"/>
          <w:snapToGrid/>
          <w:color w:val="000000"/>
          <w:kern w:val="0"/>
          <w:sz w:val="21"/>
          <w:szCs w:val="21"/>
          <w:lang w:val="en-US" w:eastAsia="zh-CN" w:bidi="ar"/>
        </w:rPr>
        <w:t>加强招标采购工作的廉政建设，规范、约束合同双</w:t>
      </w:r>
      <w:r>
        <w:rPr>
          <w:rFonts w:ascii="宋体" w:eastAsia="宋体" w:hAnsi="宋体" w:cs="宋体" w:hint="eastAsia"/>
          <w:snapToGrid/>
          <w:color w:val="000000"/>
          <w:spacing w:val="-1"/>
          <w:kern w:val="0"/>
          <w:sz w:val="21"/>
          <w:szCs w:val="21"/>
          <w:lang w:val="en-US" w:eastAsia="zh-CN" w:bidi="ar"/>
        </w:rPr>
        <w:t>方的行为，防止</w:t>
      </w:r>
      <w:r>
        <w:rPr>
          <w:rFonts w:ascii="宋体" w:eastAsia="宋体" w:hAnsi="宋体" w:cs="宋体" w:hint="eastAsia"/>
          <w:snapToGrid/>
          <w:color w:val="000000"/>
          <w:kern w:val="0"/>
          <w:sz w:val="21"/>
          <w:szCs w:val="21"/>
          <w:lang w:val="en-US" w:eastAsia="zh-CN" w:bidi="ar"/>
        </w:rPr>
        <w:t>发生各种谋取不正当利益的违法违纪行为，</w:t>
      </w:r>
      <w:r>
        <w:rPr>
          <w:rFonts w:ascii="宋体" w:eastAsia="宋体" w:hAnsi="宋体" w:cs="宋体" w:hint="eastAsia"/>
          <w:snapToGrid/>
          <w:color w:val="000000"/>
          <w:spacing w:val="-1"/>
          <w:kern w:val="0"/>
          <w:sz w:val="21"/>
          <w:szCs w:val="21"/>
          <w:lang w:val="en-US" w:eastAsia="zh-CN" w:bidi="ar"/>
        </w:rPr>
        <w:t>根据国家有关法律法规和廉政建设责任制规定，特订立本廉政合同。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spacing w:val="-1"/>
          <w:kern w:val="0"/>
          <w:sz w:val="21"/>
          <w:szCs w:val="21"/>
          <w:lang w:val="en-US" w:eastAsia="zh-CN" w:bidi="ar"/>
        </w:rPr>
        <w:t>本合同适用于《国家气象中心合同管理办法》中规定的重大合同。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rPr>
      </w:pPr>
      <w:r>
        <w:rPr>
          <w:rFonts w:ascii="宋体" w:eastAsia="宋体" w:hAnsi="宋体" w:cs="宋体" w:hint="eastAsia"/>
          <w:b/>
          <w:bCs/>
          <w:snapToGrid/>
          <w:color w:val="000000"/>
          <w:spacing w:val="-1"/>
          <w:kern w:val="0"/>
          <w:sz w:val="21"/>
          <w:szCs w:val="21"/>
          <w:lang w:val="en-US" w:eastAsia="zh-CN" w:bidi="ar"/>
        </w:rPr>
        <w:t>第一条 甲乙双方的责任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（一）应严格遵守国家招标投标、工程建设、合同管理等有关法律法规，以及廉政建设的各项规定。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（二）严格执行双方签订的合同，自觉履行合同规定的权利和义务。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（四）发现对方在业务活动中可能存在违规、违纪、违法行为的，应及时提醒对方，情节严重的，应向其上级主管部门或纪检监察、司法等有关机关举报。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第二条 甲方的责任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（一）甲方及其工作人员不得向乙方和相关单位索要或接受回扣、礼金、有价证券、贵重物品和好处费、感谢费等。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（二）甲方及其工作人员不得在乙方和相关单位报销任何应由甲方或个人支付的费用。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不得要求、暗示或接受乙方和相关单位为个人提供好处便利，应严格遵守中央八项规定精神及其实施细则。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不得参加有可能影响公正执行公务的乙方和相关单位的宴请、健身、娱乐等活动。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不得向乙方介绍或为配偶、子女、亲属参与同甲方项目合同有关的设备、材料、劳务等经济活动。不得以任何理由向乙方和相关单位推荐分包单位和要求乙方购买项目合同规定以外的材料、设备等。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第三条 乙方的责任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（一）乙方及其工作人员不得以任何理由向甲方及其工作人员索要、接受或赠送礼金、有价证券、贵重物品和回扣、好处费、感谢费等。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（二）乙方及其工作人员不得以任何理由为甲方和相关单位报销应由对方或个人支付的费用。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（三）乙方及其工作人员不得接受或暗示为甲方、相关单位或个人提供好处便利，应严格遵守中央八项规定精神及其实施细则。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（四）乙方及其工作人员不得以任何理由为甲方、相关单位或个人组织有可能影响公正执行公务的宴请、健身、娱乐等活动，不得为甲方单位和个人购置或提供通讯工具、交通工具和高档办公用品等。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（五）乙方及其工作人员应严格按监理规程办事，不得为谋取私利向监理人员非法行贿，私下串通，损害甲方利益。同时必须对监理单位和工程监理人员履行向甲方承诺的上述其他廉政义务。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（六）乙方如果发现甲方工作人员或工程监理人员有违反廉政规定的行为，应向甲方组织或上级单位举报。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第四条 违约责任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（一）甲方工作人员有违反本合同第一、二条责任行为的，按照管理权限，依据有关法律法规和规定给予党纪、政纪处分或组织处理；涉嫌犯罪的，移交司法机关追究刑事责任。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（二）乙方工作人员有违反本合同第一、三条责任行为的，按照管理权限，依据有关法律法规和规定给予党纪、政纪处分或组织处理；涉嫌犯罪的，移交司法机关追究刑事责任。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第五条 </w:t>
      </w:r>
      <w:r>
        <w:rPr>
          <w:rFonts w:ascii="宋体" w:eastAsia="宋体" w:hAnsi="宋体" w:cs="宋体" w:hint="eastAsia"/>
          <w:snapToGrid/>
          <w:color w:val="000000"/>
          <w:kern w:val="0"/>
          <w:sz w:val="21"/>
          <w:szCs w:val="21"/>
          <w:lang w:val="en-US" w:eastAsia="zh-CN" w:bidi="ar"/>
        </w:rPr>
        <w:t>本廉政合同作为xxxx合同的附件，与xxxx合同具有同等法律效力。经双方签署后立即生效。</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第六条 </w:t>
      </w:r>
      <w:r>
        <w:rPr>
          <w:rFonts w:ascii="宋体" w:eastAsia="宋体" w:hAnsi="宋体" w:cs="宋体" w:hint="eastAsia"/>
          <w:snapToGrid/>
          <w:color w:val="000000"/>
          <w:kern w:val="0"/>
          <w:sz w:val="21"/>
          <w:szCs w:val="21"/>
          <w:lang w:val="en-US" w:eastAsia="zh-CN" w:bidi="ar"/>
        </w:rPr>
        <w:t>本合同一式四份，由甲乙双方各执一份，送交甲乙双方的监督单位各一份。</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甲方：                                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项目负责人：                          项目负责人：</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委托代理人：                          委托代理人：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日期：    年   月   日                日期：    年    月    日</w:t>
      </w:r>
    </w:p>
    <w:p/>
    <w:p w:rsidR="00A77B3E"/>
    <w:p>
      <w:pPr>
        <w:spacing w:line="360" w:lineRule="auto"/>
        <w:ind w:firstLine="3066" w:firstLineChars="1460"/>
        <w:jc w:val="left"/>
        <w:rPr>
          <w:b/>
          <w:bCs/>
          <w:szCs w:val="21"/>
          <w:highlight w:val="none"/>
        </w:rPr>
      </w:pPr>
      <w:bookmarkEnd w:id="91"/>
    </w:p>
    <w:p>
      <w:pPr>
        <w:rPr>
          <w:rFonts w:ascii="Calibri" w:hAnsi="Calibri"/>
          <w:szCs w:val="22"/>
          <w:highlight w:val="none"/>
        </w:rPr>
      </w:pPr>
    </w:p>
    <w:p>
      <w:pPr>
        <w:spacing w:line="360" w:lineRule="auto"/>
        <w:jc w:val="left"/>
        <w:rPr>
          <w:b/>
          <w:bCs/>
          <w:sz w:val="44"/>
          <w:szCs w:val="44"/>
          <w:highlight w:val="none"/>
        </w:rPr>
      </w:pPr>
    </w:p>
    <w:sectPr>
      <w:headerReference w:type="even" r:id="rId17"/>
      <w:headerReference w:type="default" r:id="rId18"/>
      <w:footerReference w:type="default" r:id="rId19"/>
      <w:headerReference w:type="first" r:id="rId20"/>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方正仿宋">
    <w:altName w:val="仿宋"/>
    <w:charset w:val="86"/>
    <w:family w:val="script"/>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2D6688F"/>
    <w:multiLevelType w:val="multilevel"/>
    <w:tmpl w:val="02D6688F"/>
    <w:lvl w:ilvl="0">
      <w:start w:val="2"/>
      <w:numFmt w:val="decimal"/>
      <w:lvlText w:val="%1."/>
      <w:lvlJc w:val="left"/>
      <w:pPr>
        <w:ind w:left="425" w:hanging="425"/>
      </w:pPr>
      <w:rPr>
        <w:rFonts w:hint="eastAsia"/>
      </w:rPr>
    </w:lvl>
    <w:lvl w:ilvl="1">
      <w:start w:val="2"/>
      <w:numFmt w:val="decimal"/>
      <w:lvlText w:val="%1.%2."/>
      <w:lvlJc w:val="left"/>
      <w:pPr>
        <w:ind w:left="567" w:hanging="567"/>
      </w:pPr>
      <w:rPr>
        <w:rFonts w:hint="eastAsia"/>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7">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DD01FD2"/>
    <w:multiLevelType w:val="multilevel"/>
    <w:tmpl w:val="0DD01FD2"/>
    <w:lvl w:ilvl="0">
      <w:start w:val="1"/>
      <w:numFmt w:val="decimal"/>
      <w:lvlText w:val="%1、"/>
      <w:lvlJc w:val="left"/>
      <w:pPr>
        <w:ind w:left="1280" w:hanging="720"/>
      </w:pPr>
      <w:rPr>
        <w:rFonts w:hint="default"/>
      </w:rPr>
    </w:lvl>
    <w:lvl w:ilvl="1">
      <w:start w:val="1"/>
      <w:numFmt w:val="lowerLetter"/>
      <w:lvlText w:val="%2)"/>
      <w:lvlJc w:val="left"/>
      <w:pPr>
        <w:ind w:left="1440" w:hanging="440"/>
      </w:pPr>
    </w:lvl>
    <w:lvl w:ilvl="2">
      <w:start w:val="1"/>
      <w:numFmt w:val="lowerRoman"/>
      <w:lvlText w:val="%3."/>
      <w:lvlJc w:val="right"/>
      <w:pPr>
        <w:ind w:left="1880" w:hanging="440"/>
      </w:pPr>
    </w:lvl>
    <w:lvl w:ilvl="3">
      <w:start w:val="1"/>
      <w:numFmt w:val="decimal"/>
      <w:lvlText w:val="%4."/>
      <w:lvlJc w:val="left"/>
      <w:pPr>
        <w:ind w:left="2320" w:hanging="440"/>
      </w:pPr>
    </w:lvl>
    <w:lvl w:ilvl="4">
      <w:start w:val="1"/>
      <w:numFmt w:val="lowerLetter"/>
      <w:lvlText w:val="%5)"/>
      <w:lvlJc w:val="left"/>
      <w:pPr>
        <w:ind w:left="2760" w:hanging="440"/>
      </w:pPr>
    </w:lvl>
    <w:lvl w:ilvl="5">
      <w:start w:val="1"/>
      <w:numFmt w:val="lowerRoman"/>
      <w:lvlText w:val="%6."/>
      <w:lvlJc w:val="right"/>
      <w:pPr>
        <w:ind w:left="3200" w:hanging="440"/>
      </w:pPr>
    </w:lvl>
    <w:lvl w:ilvl="6">
      <w:start w:val="1"/>
      <w:numFmt w:val="decimal"/>
      <w:lvlText w:val="%7."/>
      <w:lvlJc w:val="left"/>
      <w:pPr>
        <w:ind w:left="3640" w:hanging="440"/>
      </w:pPr>
    </w:lvl>
    <w:lvl w:ilvl="7">
      <w:start w:val="1"/>
      <w:numFmt w:val="lowerLetter"/>
      <w:lvlText w:val="%8)"/>
      <w:lvlJc w:val="left"/>
      <w:pPr>
        <w:ind w:left="4080" w:hanging="440"/>
      </w:pPr>
    </w:lvl>
    <w:lvl w:ilvl="8">
      <w:start w:val="1"/>
      <w:numFmt w:val="lowerRoman"/>
      <w:lvlText w:val="%9."/>
      <w:lvlJc w:val="right"/>
      <w:pPr>
        <w:ind w:left="4520" w:hanging="440"/>
      </w:pPr>
    </w:lvl>
  </w:abstractNum>
  <w:abstractNum w:abstractNumId="20">
    <w:nsid w:val="10F251FE"/>
    <w:multiLevelType w:val="multilevel"/>
    <w:tmpl w:val="10F251FE"/>
    <w:lvl w:ilvl="0">
      <w:start w:val="1"/>
      <w:numFmt w:val="decimal"/>
      <w:lvlText w:val="%1."/>
      <w:lvlJc w:val="left"/>
      <w:pPr>
        <w:ind w:left="425" w:hanging="425"/>
      </w:p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6002861"/>
    <w:multiLevelType w:val="multilevel"/>
    <w:tmpl w:val="16002861"/>
    <w:lvl w:ilvl="0">
      <w:start w:val="3"/>
      <w:numFmt w:val="decimal"/>
      <w:lvlText w:val="%1."/>
      <w:lvlJc w:val="left"/>
      <w:pPr>
        <w:ind w:left="425" w:hanging="425"/>
      </w:pPr>
      <w:rPr>
        <w:rFonts w:hint="eastAsia"/>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73135A6"/>
    <w:multiLevelType w:val="multilevel"/>
    <w:tmpl w:val="273135A6"/>
    <w:lvl w:ilvl="0">
      <w:start w:val="1"/>
      <w:numFmt w:val="decimal"/>
      <w:lvlText w:val="%1."/>
      <w:lvlJc w:val="left"/>
      <w:pPr>
        <w:ind w:left="2978" w:hanging="425"/>
      </w:pPr>
      <w:rPr>
        <w:rFonts w:ascii="Times New Roman" w:hAnsi="Times New Roman" w:cs="Times New Roman" w:hint="default"/>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C7A993F"/>
    <w:multiLevelType w:val="singleLevel"/>
    <w:tmpl w:val="4C7A993F"/>
    <w:lvl w:ilvl="0">
      <w:start w:val="1"/>
      <w:numFmt w:val="decimal"/>
      <w:lvlText w:val="%1)"/>
      <w:lvlJc w:val="left"/>
      <w:pPr>
        <w:ind w:left="425" w:hanging="425"/>
      </w:pPr>
      <w:rPr>
        <w:rFonts w:hint="default"/>
      </w:rPr>
    </w:lvl>
  </w:abstractNum>
  <w:abstractNum w:abstractNumId="34">
    <w:nsid w:val="4DE62B29"/>
    <w:multiLevelType w:val="multilevel"/>
    <w:tmpl w:val="4DE62B29"/>
    <w:lvl w:ilvl="0">
      <w:start w:val="2"/>
      <w:numFmt w:val="decimal"/>
      <w:lvlText w:val="%1."/>
      <w:lvlJc w:val="left"/>
      <w:pPr>
        <w:ind w:left="425" w:hanging="425"/>
      </w:pPr>
      <w:rPr>
        <w:rFonts w:hint="eastAsia"/>
      </w:rPr>
    </w:lvl>
    <w:lvl w:ilvl="1">
      <w:start w:val="1"/>
      <w:numFmt w:val="decimal"/>
      <w:lvlText w:val="%1.%2."/>
      <w:lvlJc w:val="left"/>
      <w:pPr>
        <w:ind w:left="567" w:hanging="567"/>
      </w:pPr>
      <w:rPr>
        <w:rFonts w:ascii="Times New Roman" w:eastAsia="宋体" w:hAnsi="Times New Roman" w:cs="Times New Roman" w:hint="default"/>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ascii="Times New Roman" w:hAnsi="Times New Roman" w:cs="Times New Roman" w:hint="default"/>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5">
    <w:nsid w:val="57FFC18B"/>
    <w:multiLevelType w:val="singleLevel"/>
    <w:tmpl w:val="57FFC18B"/>
    <w:lvl w:ilvl="0">
      <w:start w:val="1"/>
      <w:numFmt w:val="decimal"/>
      <w:lvlText w:val="%1)"/>
      <w:lvlJc w:val="left"/>
      <w:pPr>
        <w:ind w:left="425" w:hanging="425"/>
      </w:pPr>
      <w:rPr>
        <w:rFonts w:hint="default"/>
      </w:rPr>
    </w:lvl>
  </w:abstractNum>
  <w:abstractNum w:abstractNumId="36">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8">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4BEBB03"/>
    <w:multiLevelType w:val="singleLevel"/>
    <w:tmpl w:val="64BEBB03"/>
    <w:lvl w:ilvl="0">
      <w:start w:val="4"/>
      <w:numFmt w:val="chineseCounting"/>
      <w:suff w:val="nothing"/>
      <w:lvlText w:val="%1、"/>
      <w:lvlJc w:val="left"/>
      <w:rPr>
        <w:rFonts w:hint="eastAsia"/>
      </w:rPr>
    </w:lvl>
  </w:abstractNum>
  <w:abstractNum w:abstractNumId="40">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3">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79F8DDAB"/>
    <w:multiLevelType w:val="singleLevel"/>
    <w:tmpl w:val="79F8DDAB"/>
    <w:lvl w:ilvl="0">
      <w:start w:val="1"/>
      <w:numFmt w:val="decimal"/>
      <w:lvlText w:val="%1)"/>
      <w:lvlJc w:val="left"/>
      <w:pPr>
        <w:ind w:left="425" w:hanging="425"/>
      </w:pPr>
      <w:rPr>
        <w:rFonts w:hint="default"/>
      </w:rPr>
    </w:lvl>
  </w:abstractNum>
  <w:abstractNum w:abstractNumId="47">
    <w:nsid w:val="7BF79D3F"/>
    <w:multiLevelType w:val="singleLevel"/>
    <w:tmpl w:val="7BF79D3F"/>
    <w:lvl w:ilvl="0">
      <w:start w:val="1"/>
      <w:numFmt w:val="decimal"/>
      <w:lvlText w:val="%1)"/>
      <w:lvlJc w:val="left"/>
      <w:pPr>
        <w:ind w:left="425" w:hanging="425"/>
      </w:pPr>
      <w:rPr>
        <w:rFonts w:hint="default"/>
      </w:rPr>
    </w:lvl>
  </w:abstractNum>
  <w:abstractNum w:abstractNumId="48">
    <w:nsid w:val="7FAFA353"/>
    <w:multiLevelType w:val="singleLevel"/>
    <w:tmpl w:val="7FAFA353"/>
    <w:lvl w:ilvl="0">
      <w:start w:val="1"/>
      <w:numFmt w:val="decimal"/>
      <w:lvlText w:val="%1)"/>
      <w:lvlJc w:val="left"/>
      <w:pPr>
        <w:ind w:left="425" w:hanging="425"/>
      </w:pPr>
      <w:rPr>
        <w:rFonts w:hint="default"/>
      </w:rPr>
    </w:lvl>
  </w:abstractNum>
  <w:abstractNum w:abstractNumId="49">
    <w:nsid w:val="7FDAC479"/>
    <w:multiLevelType w:val="singleLevel"/>
    <w:tmpl w:val="7FDAC479"/>
    <w:lvl w:ilvl="0">
      <w:start w:val="1"/>
      <w:numFmt w:val="decimal"/>
      <w:lvlText w:val="%1)"/>
      <w:lvlJc w:val="left"/>
      <w:pPr>
        <w:ind w:left="425" w:hanging="425"/>
      </w:pPr>
      <w:rPr>
        <w:rFonts w:hint="default"/>
      </w:rPr>
    </w:lvl>
  </w:abstractNum>
  <w:abstractNum w:abstractNumId="50">
    <w:nsid w:val="7FF73EAD"/>
    <w:multiLevelType w:val="singleLevel"/>
    <w:tmpl w:val="7FF73EAD"/>
    <w:lvl w:ilvl="0">
      <w:start w:val="1"/>
      <w:numFmt w:val="decimal"/>
      <w:lvlText w:val="%1)"/>
      <w:lvlJc w:val="left"/>
      <w:pPr>
        <w:ind w:left="425" w:hanging="425"/>
      </w:pPr>
      <w:rPr>
        <w:rFonts w:hint="default"/>
      </w:rPr>
    </w:lvl>
  </w:abstractNum>
  <w:abstractNum w:abstractNumId="51">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8"/>
  </w:num>
  <w:num w:numId="4">
    <w:abstractNumId w:val="27"/>
  </w:num>
  <w:num w:numId="5">
    <w:abstractNumId w:val="20"/>
  </w:num>
  <w:num w:numId="6">
    <w:abstractNumId w:val="34"/>
  </w:num>
  <w:num w:numId="7">
    <w:abstractNumId w:val="16"/>
  </w:num>
  <w:num w:numId="8">
    <w:abstractNumId w:val="24"/>
  </w:num>
  <w:num w:numId="9">
    <w:abstractNumId w:val="19"/>
  </w:num>
  <w:num w:numId="10">
    <w:abstractNumId w:val="26"/>
  </w:num>
  <w:num w:numId="11">
    <w:abstractNumId w:val="42"/>
  </w:num>
  <w:num w:numId="12">
    <w:abstractNumId w:val="25"/>
  </w:num>
  <w:num w:numId="13">
    <w:abstractNumId w:val="45"/>
  </w:num>
  <w:num w:numId="14">
    <w:abstractNumId w:val="2"/>
  </w:num>
  <w:num w:numId="15">
    <w:abstractNumId w:val="50"/>
  </w:num>
  <w:num w:numId="16">
    <w:abstractNumId w:val="5"/>
  </w:num>
  <w:num w:numId="17">
    <w:abstractNumId w:val="41"/>
  </w:num>
  <w:num w:numId="18">
    <w:abstractNumId w:val="11"/>
  </w:num>
  <w:num w:numId="19">
    <w:abstractNumId w:val="40"/>
  </w:num>
  <w:num w:numId="20">
    <w:abstractNumId w:val="38"/>
  </w:num>
  <w:num w:numId="21">
    <w:abstractNumId w:val="17"/>
  </w:num>
  <w:num w:numId="22">
    <w:abstractNumId w:val="44"/>
  </w:num>
  <w:num w:numId="23">
    <w:abstractNumId w:val="1"/>
  </w:num>
  <w:num w:numId="24">
    <w:abstractNumId w:val="46"/>
  </w:num>
  <w:num w:numId="25">
    <w:abstractNumId w:val="47"/>
  </w:num>
  <w:num w:numId="26">
    <w:abstractNumId w:val="35"/>
  </w:num>
  <w:num w:numId="27">
    <w:abstractNumId w:val="29"/>
  </w:num>
  <w:num w:numId="28">
    <w:abstractNumId w:val="7"/>
  </w:num>
  <w:num w:numId="29">
    <w:abstractNumId w:val="0"/>
  </w:num>
  <w:num w:numId="30">
    <w:abstractNumId w:val="22"/>
  </w:num>
  <w:num w:numId="31">
    <w:abstractNumId w:val="48"/>
  </w:num>
  <w:num w:numId="32">
    <w:abstractNumId w:val="33"/>
  </w:num>
  <w:num w:numId="33">
    <w:abstractNumId w:val="30"/>
  </w:num>
  <w:num w:numId="34">
    <w:abstractNumId w:val="49"/>
  </w:num>
  <w:num w:numId="35">
    <w:abstractNumId w:val="6"/>
  </w:num>
  <w:num w:numId="36">
    <w:abstractNumId w:val="43"/>
  </w:num>
  <w:num w:numId="37">
    <w:abstractNumId w:val="8"/>
  </w:num>
  <w:num w:numId="38">
    <w:abstractNumId w:val="4"/>
  </w:num>
  <w:num w:numId="39">
    <w:abstractNumId w:val="51"/>
  </w:num>
  <w:num w:numId="40">
    <w:abstractNumId w:val="10"/>
  </w:num>
  <w:num w:numId="41">
    <w:abstractNumId w:val="32"/>
  </w:num>
  <w:num w:numId="42">
    <w:abstractNumId w:val="36"/>
  </w:num>
  <w:num w:numId="43">
    <w:abstractNumId w:val="21"/>
  </w:num>
  <w:num w:numId="44">
    <w:abstractNumId w:val="12"/>
  </w:num>
  <w:num w:numId="45">
    <w:abstractNumId w:val="23"/>
  </w:num>
  <w:num w:numId="46">
    <w:abstractNumId w:val="37"/>
  </w:num>
  <w:num w:numId="47">
    <w:abstractNumId w:val="3"/>
  </w:num>
  <w:num w:numId="48">
    <w:abstractNumId w:val="9"/>
  </w:num>
  <w:num w:numId="49">
    <w:abstractNumId w:val="15"/>
  </w:num>
  <w:num w:numId="50">
    <w:abstractNumId w:val="31"/>
  </w:num>
  <w:num w:numId="51">
    <w:abstractNumId w:val="39"/>
  </w:num>
  <w:num w:numId="5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41"/>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4E9A"/>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619"/>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项目-正文"/>
    <w:basedOn w:val="Normal"/>
    <w:link w:val="-Char"/>
    <w:qFormat/>
    <w:pPr>
      <w:adjustRightInd w:val="0"/>
      <w:snapToGrid w:val="0"/>
      <w:spacing w:line="572" w:lineRule="exact"/>
      <w:ind w:firstLine="200" w:firstLineChars="200"/>
    </w:pPr>
    <w:rPr>
      <w:rFonts w:eastAsia="仿宋_GB2312"/>
      <w:sz w:val="32"/>
      <w:szCs w:val="32"/>
    </w:rPr>
  </w:style>
  <w:style w:type="character" w:customStyle="1" w:styleId="-Char">
    <w:name w:val="项目-正文 Char"/>
    <w:link w:val="-"/>
    <w:qFormat/>
    <w:rPr>
      <w:rFonts w:eastAsia="仿宋_GB2312"/>
      <w:sz w:val="32"/>
      <w:szCs w:val="32"/>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image" Target="media/image1.emf" /><Relationship Id="rId16" Type="http://schemas.openxmlformats.org/officeDocument/2006/relationships/footer" Target="footer7.xml" /><Relationship Id="rId17" Type="http://schemas.openxmlformats.org/officeDocument/2006/relationships/header" Target="header6.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