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甘肃、云南、内蒙、重庆、吉林5省涡动梯度观测系统采购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重庆市气象信息与技术保障中心；云南省大气探测技术保障中心；内蒙古巴彦淖尔市气象局；吉林省气象探测保障中心（吉林省气象仪器计量检定站）；内蒙古自治区赤峰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甘肃、云南、内蒙、重庆、吉林5省涡动梯度观测系统采购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内蒙赤峰市、内蒙巴彦淖尔市、吉林省延边州龙井市、吉林省长春市农安县、重庆市长寿区、云南省保山市腾冲市、甘肃玛曲县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2025年09月15日 00:00:00</w:t>
      </w:r>
      <w:bookmarkEnd w:id="26"/>
      <w:r>
        <w:rPr>
          <w:rFonts w:ascii="宋体" w:hint="eastAsia"/>
          <w:szCs w:val="21"/>
          <w:highlight w:val="none"/>
        </w:rPr>
        <w:t>至</w:t>
      </w:r>
      <w:bookmarkStart w:id="27" w:name="项目公告_signUpLastTime"/>
      <w:r>
        <w:rPr>
          <w:rFonts w:ascii="宋体" w:hint="eastAsia"/>
          <w:szCs w:val="21"/>
          <w:highlight w:val="none"/>
        </w:rPr>
        <w:t>2025年09月22日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中国气象局北区8号楼404组织 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重庆市气象信息与技术保障中心；云南省大气探测技术保障中心；内蒙古巴彦淖尔市气象局；吉林省气象探测保障中心（吉林省气象仪器计量检定站）；内蒙古自治区赤峰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刘冰鑫</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重庆市气象信息与技术保障中心；云南省大气探测技术保障中心；内蒙古巴彦淖尔市气象局；吉林省气象探测保障中心（吉林省气象仪器计量检定站）；内蒙古自治区赤峰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不允许（仅针对以下产品：1、涡动梯度观测系统不允许代理商投标）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设有，核心产品为通量观测仪(水、二氧化碳气体分析仪加三维超声风)</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必须，以下产品需要提供至投标截止日仍有效的《气象专用技术装备使用许可证》：1、通量观测仪(水、二氧化碳气体分析仪加三维超声风)气象专用技术装备使用许可证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（1）标的：涡动梯度观测系统，属于工业行业；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966.000000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966.000000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销售合同必须包括涡动梯度观测系统，每提供1份合同得1分，最多得5分。否则不得分。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针对本项目采购的涡动梯度观测系统，</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针对涡动梯度观测系统设备，每提供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针对涡动梯度观测系统设备，测试报告应涵盖耐水耐尘、盐水喷雾、高低温等内容，每包含一项得1分，最多得3分。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0"/>
        <w:gridCol w:w="712"/>
        <w:gridCol w:w="853"/>
        <w:gridCol w:w="2001"/>
        <w:gridCol w:w="1984"/>
        <w:gridCol w:w="3058"/>
      </w:tblGrid>
      <w:tr>
        <w:tblPrEx>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66" w:type="pct"/>
            <w:vAlign w:val="center"/>
          </w:tcPr>
          <w:p>
            <w:pPr>
              <w:jc w:val="center"/>
              <w:rPr>
                <w:rFonts w:ascii="仿宋" w:eastAsia="仿宋" w:hAnsi="仿宋" w:cs="仿宋" w:hint="eastAsia"/>
                <w:b/>
                <w:bCs/>
              </w:rPr>
            </w:pPr>
            <w:r>
              <w:rPr>
                <w:rFonts w:ascii="仿宋" w:eastAsia="仿宋" w:hAnsi="仿宋" w:cs="仿宋" w:hint="eastAsia"/>
                <w:b/>
                <w:bCs/>
                <w:sz w:val="24"/>
              </w:rPr>
              <w:t>序号</w:t>
            </w:r>
          </w:p>
        </w:tc>
        <w:tc>
          <w:tcPr>
            <w:tcW w:w="1919"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714" w:type="pct"/>
            <w:gridSpan w:val="2"/>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restart"/>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restart"/>
            <w:vAlign w:val="center"/>
          </w:tcPr>
          <w:p>
            <w:pPr>
              <w:rPr>
                <w:rFonts w:ascii="仿宋" w:eastAsia="仿宋" w:hAnsi="仿宋" w:cs="仿宋" w:hint="eastAsia"/>
              </w:rPr>
            </w:pPr>
            <w:r>
              <w:rPr>
                <w:rFonts w:ascii="仿宋" w:eastAsia="仿宋" w:hAnsi="仿宋" w:cs="仿宋" w:hint="eastAsia"/>
                <w:sz w:val="24"/>
              </w:rPr>
              <w:t>涡动梯度观测系统</w:t>
            </w: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通量观测仪(水、二氧化碳气体分析仪加三维超声风)</w:t>
            </w:r>
          </w:p>
        </w:tc>
        <w:tc>
          <w:tcPr>
            <w:tcW w:w="1076" w:type="pct"/>
            <w:vAlign w:val="center"/>
          </w:tcPr>
          <w:p>
            <w:pPr>
              <w:rPr>
                <w:rFonts w:ascii="仿宋" w:eastAsia="仿宋" w:hAnsi="仿宋" w:cs="仿宋" w:hint="eastAsia"/>
              </w:rPr>
            </w:pPr>
            <w:r>
              <w:rPr>
                <w:rFonts w:ascii="仿宋" w:eastAsia="仿宋" w:hAnsi="仿宋" w:cs="仿宋" w:hint="eastAsia"/>
                <w:sz w:val="24"/>
              </w:rPr>
              <w:t>采集系统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有传感器信号防雷保护模块</w:t>
            </w:r>
          </w:p>
          <w:p>
            <w:pPr>
              <w:rPr>
                <w:rFonts w:ascii="仿宋" w:eastAsia="仿宋" w:hAnsi="仿宋" w:cs="仿宋" w:hint="eastAsia"/>
              </w:rPr>
            </w:pPr>
            <w:r>
              <w:rPr>
                <w:rFonts w:ascii="仿宋" w:eastAsia="仿宋" w:hAnsi="仿宋" w:cs="仿宋" w:hint="eastAsia"/>
                <w:sz w:val="24"/>
              </w:rPr>
              <w:t>有无线传输报文功能</w:t>
            </w:r>
          </w:p>
          <w:p>
            <w:pPr>
              <w:rPr>
                <w:rFonts w:ascii="仿宋" w:eastAsia="仿宋" w:hAnsi="仿宋" w:cs="仿宋" w:hint="eastAsia"/>
              </w:rPr>
            </w:pPr>
            <w:r>
              <w:rPr>
                <w:rFonts w:ascii="仿宋" w:eastAsia="仿宋" w:hAnsi="仿宋" w:cs="仿宋" w:hint="eastAsia"/>
                <w:sz w:val="24"/>
              </w:rPr>
              <w:t>在采集器内可保存高频数据文件、通量数据文件、状态监控与下垫面图片资料、温湿度气压传感器数据和系统状态信息（太阳能充电电压电流、蓄电池供电电压电流、门开关）</w:t>
            </w:r>
          </w:p>
          <w:p>
            <w:pPr>
              <w:rPr>
                <w:rFonts w:ascii="仿宋" w:eastAsia="仿宋" w:hAnsi="仿宋" w:cs="仿宋" w:hint="eastAsia"/>
              </w:rPr>
            </w:pPr>
            <w:r>
              <w:rPr>
                <w:rFonts w:ascii="仿宋" w:eastAsia="仿宋" w:hAnsi="仿宋" w:cs="仿宋" w:hint="eastAsia"/>
                <w:sz w:val="24"/>
              </w:rPr>
              <w:t>具有生成并上传需求书XML文件与图片的功能</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包括：三维超声波风、二氧化碳和水汽气体分析仪、空气温度、空气湿度、气压、状态监控和下垫面传感器</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供电系统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使用蓄电池和太阳能板完成系统供电，续航14天</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安装结构</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传感器安装于同一高度、配备采集系统和供电系统机箱</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配套线缆</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传感器线缆与供电线缆</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CO</w:t>
            </w:r>
            <w:r>
              <w:rPr>
                <w:rFonts w:ascii="仿宋" w:eastAsia="仿宋" w:hAnsi="仿宋" w:cs="仿宋" w:hint="eastAsia"/>
                <w:sz w:val="24"/>
                <w:szCs w:val="24"/>
                <w:vertAlign w:val="subscript"/>
              </w:rPr>
              <w:t>2</w:t>
            </w:r>
            <w:r>
              <w:rPr>
                <w:rFonts w:ascii="仿宋" w:eastAsia="仿宋" w:hAnsi="仿宋" w:cs="仿宋" w:hint="eastAsia"/>
                <w:sz w:val="24"/>
                <w:szCs w:val="24"/>
              </w:rPr>
              <w:t>：0.15</w:t>
            </w:r>
            <w:r>
              <w:rPr>
                <w:rFonts w:ascii="仿宋" w:eastAsia="仿宋" w:hAnsi="仿宋" w:cs="仿宋" w:hint="eastAsia"/>
                <w:sz w:val="24"/>
                <w:szCs w:val="24"/>
              </w:rPr>
              <w:t>μ</w:t>
            </w:r>
            <w:r>
              <w:rPr>
                <w:rFonts w:ascii="仿宋" w:eastAsia="仿宋" w:hAnsi="仿宋" w:cs="仿宋" w:hint="eastAsia"/>
                <w:sz w:val="24"/>
                <w:szCs w:val="24"/>
              </w:rPr>
              <w:t>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pStyle w:val="NormalWeb"/>
              <w:shd w:val="clear" w:color="auto" w:fill="FFFFFF"/>
              <w:spacing w:before="0" w:beforeAutospacing="0" w:after="0" w:afterAutospacing="0"/>
              <w:contextualSpacing/>
              <w:rPr>
                <w:rFonts w:ascii="仿宋" w:eastAsia="仿宋" w:hAnsi="仿宋" w:cs="仿宋" w:hint="eastAsia"/>
                <w:b/>
                <w:bCs/>
                <w:sz w:val="24"/>
                <w:szCs w:val="24"/>
                <w:highlight w:val="green"/>
              </w:rPr>
            </w:pPr>
            <w:r>
              <w:rPr>
                <w:rFonts w:ascii="仿宋" w:eastAsia="仿宋" w:hAnsi="仿宋" w:cs="仿宋" w:hint="eastAsia"/>
                <w:sz w:val="24"/>
                <w:szCs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w:t>
            </w:r>
            <w:r>
              <w:rPr>
                <w:rFonts w:ascii="仿宋" w:eastAsia="仿宋" w:hAnsi="仿宋" w:cs="仿宋" w:hint="eastAsia"/>
                <w:sz w:val="24"/>
                <w:szCs w:val="24"/>
              </w:rPr>
              <w:t>±</w:t>
            </w:r>
            <w:r>
              <w:rPr>
                <w:rFonts w:ascii="仿宋" w:eastAsia="仿宋" w:hAnsi="仿宋" w:cs="仿宋" w:hint="eastAsia"/>
                <w:sz w:val="24"/>
                <w:szCs w:val="24"/>
              </w:rPr>
              <w:t>60m/s，Uy风速：</w:t>
            </w:r>
            <w:r>
              <w:rPr>
                <w:rFonts w:ascii="仿宋" w:eastAsia="仿宋" w:hAnsi="仿宋" w:cs="仿宋" w:hint="eastAsia"/>
                <w:sz w:val="24"/>
                <w:szCs w:val="24"/>
              </w:rPr>
              <w:t>±</w:t>
            </w:r>
            <w:r>
              <w:rPr>
                <w:rFonts w:ascii="仿宋" w:eastAsia="仿宋" w:hAnsi="仿宋" w:cs="仿宋" w:hint="eastAsia"/>
                <w:sz w:val="24"/>
                <w:szCs w:val="24"/>
              </w:rPr>
              <w:t>60m/s，Uz风速：</w:t>
            </w:r>
            <w:r>
              <w:rPr>
                <w:rFonts w:ascii="仿宋" w:eastAsia="仿宋" w:hAnsi="仿宋" w:cs="仿宋" w:hint="eastAsia"/>
                <w:sz w:val="24"/>
                <w:szCs w:val="24"/>
              </w:rPr>
              <w:t>±</w:t>
            </w:r>
            <w:r>
              <w:rPr>
                <w:rFonts w:ascii="仿宋" w:eastAsia="仿宋" w:hAnsi="仿宋" w:cs="仿宋" w:hint="eastAsia"/>
                <w:sz w:val="24"/>
                <w:szCs w:val="24"/>
              </w:rPr>
              <w:t>8m/s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气压传感器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rPr>
              <w:t>分辨力：0.1hP</w:t>
            </w:r>
          </w:p>
          <w:p>
            <w:pPr>
              <w:rPr>
                <w:rFonts w:ascii="仿宋" w:eastAsia="仿宋" w:hAnsi="仿宋" w:cs="仿宋" w:hint="eastAsia"/>
              </w:rPr>
            </w:pP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r>
              <w:rPr>
                <w:rFonts w:ascii="仿宋" w:eastAsia="仿宋" w:hAnsi="仿宋" w:cs="仿宋" w:hint="eastAsia"/>
                <w:sz w:val="24"/>
                <w:szCs w:val="24"/>
              </w:rPr>
              <w:t>，相对湿度：0%～100%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分辨力：气温：0.1</w:t>
            </w:r>
            <w:r>
              <w:rPr>
                <w:rFonts w:ascii="仿宋" w:eastAsia="仿宋" w:hAnsi="仿宋" w:cs="仿宋" w:hint="eastAsia"/>
                <w:sz w:val="24"/>
                <w:szCs w:val="24"/>
              </w:rPr>
              <w:t>℃</w:t>
            </w:r>
            <w:r>
              <w:rPr>
                <w:rFonts w:ascii="仿宋" w:eastAsia="仿宋" w:hAnsi="仿宋" w:cs="仿宋" w:hint="eastAsia"/>
                <w:sz w:val="24"/>
                <w:szCs w:val="24"/>
              </w:rPr>
              <w:t>，相对湿度：1%</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#最大允许误差：气温：</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，相对湿度：</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80%）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梯度气象自动观测仪</w:t>
            </w: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智能风测量仪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0～60m/s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（0.5m/s+0.03V）</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0～360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智能气温测量仪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智能湿度测量仪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湿度范围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0～100% 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智能气压测量仪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500 hPa～1100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bottom"/>
          </w:tcPr>
          <w:p>
            <w:pPr>
              <w:snapToGrid w:val="0"/>
              <w:rPr>
                <w:rFonts w:ascii="仿宋" w:eastAsia="仿宋" w:hAnsi="仿宋" w:cs="仿宋" w:hint="eastAsia"/>
              </w:rPr>
            </w:pPr>
            <w:r>
              <w:rPr>
                <w:rFonts w:ascii="仿宋" w:eastAsia="仿宋" w:hAnsi="仿宋" w:cs="仿宋" w:hint="eastAsia"/>
                <w:sz w:val="24"/>
              </w:rPr>
              <w:t>分辨力</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准确性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0.3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四分量-总辐射传感器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温度响应</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#方向性相应误差</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20W/m</w:t>
            </w:r>
            <w:r>
              <w:rPr>
                <w:rFonts w:ascii="仿宋" w:eastAsia="仿宋" w:hAnsi="仿宋" w:cs="仿宋" w:hint="eastAsia"/>
                <w:sz w:val="24"/>
                <w:highlight w:val="yellow"/>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rPr>
            </w:pPr>
            <w:r>
              <w:rPr>
                <w:rFonts w:ascii="仿宋" w:eastAsia="仿宋" w:hAnsi="仿宋" w:cs="仿宋" w:hint="eastAsia"/>
                <w:sz w:val="24"/>
              </w:rPr>
              <w:t>差分模拟量</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四分量-长波辐射传感器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&lt;30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不稳定性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hint="eastAsia"/>
              </w:rPr>
            </w:pPr>
            <w:r>
              <w:rPr>
                <w:rFonts w:ascii="微软雅黑" w:eastAsia="微软雅黑" w:hAnsi="微软雅黑" w:cs="宋体"/>
                <w:kern w:val="0"/>
                <w:sz w:val="20"/>
                <w:szCs w:val="20"/>
              </w:rPr>
              <w:t>差分模拟量</w:t>
            </w:r>
            <w:r>
              <w:rPr>
                <w:rFonts w:ascii="仿宋" w:eastAsia="仿宋" w:hAnsi="仿宋" w:cs="仿宋" w:hint="eastAsia"/>
                <w:sz w:val="24"/>
              </w:rPr>
              <w:t xml:space="preserve"> </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紫外（A+B）辐射传感器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280～400nm（UV AB)</w:t>
            </w:r>
          </w:p>
          <w:p>
            <w:pPr>
              <w:snapToGrid w:val="0"/>
              <w:rPr>
                <w:rFonts w:ascii="仿宋" w:eastAsia="仿宋" w:hAnsi="仿宋" w:cs="仿宋" w:hint="eastAsia"/>
              </w:rPr>
            </w:pPr>
            <w:r>
              <w:rPr>
                <w:rFonts w:ascii="仿宋" w:eastAsia="仿宋" w:hAnsi="仿宋" w:cs="仿宋" w:hint="eastAsia"/>
                <w:sz w:val="24"/>
              </w:rPr>
              <w:t>315～400nm(UV A)</w:t>
            </w:r>
          </w:p>
          <w:p>
            <w:pPr>
              <w:snapToGrid w:val="0"/>
              <w:rPr>
                <w:rFonts w:ascii="仿宋" w:eastAsia="仿宋" w:hAnsi="仿宋" w:cs="仿宋" w:hint="eastAsia"/>
              </w:rPr>
            </w:pPr>
            <w:r>
              <w:rPr>
                <w:rFonts w:ascii="仿宋" w:eastAsia="仿宋" w:hAnsi="仿宋" w:cs="仿宋" w:hint="eastAsia"/>
                <w:sz w:val="24"/>
              </w:rPr>
              <w:t>280～315nm(UV B)</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光合有效辐射传感器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400nm-700nm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方向性响应（天顶角80</w:t>
            </w:r>
            <w:r>
              <w:rPr>
                <w:rFonts w:ascii="仿宋" w:eastAsia="仿宋" w:hAnsi="仿宋" w:cs="仿宋" w:hint="eastAsia"/>
                <w:sz w:val="24"/>
              </w:rPr>
              <w:t>°</w:t>
            </w:r>
            <w:r>
              <w:rPr>
                <w:rFonts w:ascii="仿宋" w:eastAsia="仿宋" w:hAnsi="仿宋" w:cs="仿宋" w:hint="eastAsia"/>
                <w:sz w:val="24"/>
              </w:rPr>
              <w:t>以内）</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温度依存性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智能翻斗式雨量测量仪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0mm/min～4mm/min</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0.4mm（</w:t>
            </w:r>
            <w:r>
              <w:rPr>
                <w:rFonts w:ascii="仿宋" w:eastAsia="仿宋" w:hAnsi="仿宋" w:cs="仿宋" w:hint="eastAsia"/>
                <w:sz w:val="24"/>
              </w:rPr>
              <w:t>≤</w:t>
            </w:r>
            <w:r>
              <w:rPr>
                <w:rFonts w:ascii="仿宋" w:eastAsia="仿宋" w:hAnsi="仿宋" w:cs="仿宋" w:hint="eastAsia"/>
                <w:sz w:val="24"/>
              </w:rPr>
              <w:t>10mm）</w:t>
            </w:r>
          </w:p>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 4％（＞10mm）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snapToGrid w:val="0"/>
              <w:rPr>
                <w:rFonts w:ascii="仿宋" w:eastAsia="仿宋" w:hAnsi="仿宋" w:cs="仿宋" w:hint="eastAsia"/>
              </w:rPr>
            </w:pPr>
            <w:r>
              <w:rPr>
                <w:rFonts w:ascii="仿宋" w:eastAsia="仿宋" w:hAnsi="仿宋" w:cs="仿宋" w:hint="eastAsia"/>
                <w:sz w:val="24"/>
              </w:rPr>
              <w:t>土壤热通量传感器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-800 W/m</w:t>
            </w:r>
            <w:r>
              <w:rPr>
                <w:rFonts w:ascii="仿宋" w:eastAsia="仿宋" w:hAnsi="仿宋" w:cs="仿宋" w:hint="eastAsia"/>
                <w:sz w:val="24"/>
                <w:vertAlign w:val="superscript"/>
              </w:rPr>
              <w:t>2</w:t>
            </w:r>
            <w:r>
              <w:rPr>
                <w:rFonts w:ascii="仿宋" w:eastAsia="仿宋" w:hAnsi="仿宋" w:cs="仿宋" w:hint="eastAsia"/>
                <w:sz w:val="24"/>
              </w:rPr>
              <w:t>~800 W/m</w:t>
            </w:r>
            <w:r>
              <w:rPr>
                <w:rFonts w:ascii="仿宋" w:eastAsia="仿宋" w:hAnsi="仿宋" w:cs="仿宋" w:hint="eastAsia"/>
                <w:sz w:val="24"/>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红外温度传感器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-55</w:t>
            </w:r>
            <w:r>
              <w:rPr>
                <w:rFonts w:ascii="仿宋" w:eastAsia="仿宋" w:hAnsi="仿宋" w:cs="仿宋" w:hint="eastAsia"/>
                <w:sz w:val="24"/>
              </w:rPr>
              <w:t>℃</w:t>
            </w:r>
            <w:r>
              <w:rPr>
                <w:rFonts w:ascii="仿宋" w:eastAsia="仿宋" w:hAnsi="仿宋" w:cs="仿宋" w:hint="eastAsia"/>
                <w:sz w:val="24"/>
              </w:rPr>
              <w:t>～80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#精度</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0.2</w:t>
            </w:r>
            <w:r>
              <w:rPr>
                <w:rFonts w:ascii="仿宋" w:eastAsia="仿宋" w:hAnsi="仿宋" w:cs="仿宋" w:hint="eastAsia"/>
                <w:sz w:val="24"/>
                <w:highlight w:val="yellow"/>
              </w:rPr>
              <w:t>℃</w:t>
            </w:r>
            <w:r>
              <w:rPr>
                <w:rFonts w:ascii="仿宋" w:eastAsia="仿宋" w:hAnsi="仿宋" w:cs="仿宋" w:hint="eastAsia"/>
                <w:sz w:val="24"/>
                <w:highlight w:val="yellow"/>
              </w:rPr>
              <w:t>（-10</w:t>
            </w:r>
            <w:r>
              <w:rPr>
                <w:rFonts w:ascii="仿宋" w:eastAsia="仿宋" w:hAnsi="仿宋" w:cs="仿宋" w:hint="eastAsia"/>
                <w:sz w:val="24"/>
                <w:highlight w:val="yellow"/>
              </w:rPr>
              <w:t>℃</w:t>
            </w:r>
            <w:r>
              <w:rPr>
                <w:rFonts w:ascii="仿宋" w:eastAsia="仿宋" w:hAnsi="仿宋" w:cs="仿宋" w:hint="eastAsia"/>
                <w:sz w:val="24"/>
                <w:highlight w:val="yellow"/>
              </w:rPr>
              <w:t>~65</w:t>
            </w:r>
            <w:r>
              <w:rPr>
                <w:rFonts w:ascii="仿宋" w:eastAsia="仿宋" w:hAnsi="仿宋" w:cs="仿宋" w:hint="eastAsia"/>
                <w:sz w:val="24"/>
                <w:highlight w:val="yellow"/>
              </w:rPr>
              <w:t>℃</w:t>
            </w:r>
            <w:r>
              <w:rPr>
                <w:rFonts w:ascii="仿宋" w:eastAsia="仿宋" w:hAnsi="仿宋" w:cs="仿宋" w:hint="eastAsia"/>
                <w:sz w:val="24"/>
                <w:highlight w:val="yellow"/>
              </w:rPr>
              <w:t>时）</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ind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观测塔</w:t>
            </w:r>
          </w:p>
        </w:tc>
        <w:tc>
          <w:tcPr>
            <w:tcW w:w="2714" w:type="pct"/>
            <w:gridSpan w:val="2"/>
            <w:vAlign w:val="center"/>
          </w:tcPr>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含防雷、结构件、50米观测塔、机箱、横臂、预埋以及必要的线缆。空气温湿度传感器、风速传感器安装高度分别为地上2米、4米、10米、15米、25米、35米、45米、50米，风向传感器安装在10米、50米位置，辐射观测系统地上2米。</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立柱按照防雷要求架设，保证避雷针通过单独的铜导线引入地下避雷铁板上；</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结构安全等级二级，抗震烈度8度设防抗风速25米/秒，抗震烈度8度，适宜温度-35</w:t>
            </w:r>
            <w:r>
              <w:rPr>
                <w:rFonts w:ascii="仿宋" w:eastAsia="仿宋" w:hAnsi="仿宋" w:cs="仿宋" w:hint="eastAsia"/>
                <w:szCs w:val="24"/>
              </w:rPr>
              <w:t>℃</w:t>
            </w:r>
            <w:r>
              <w:rPr>
                <w:rFonts w:ascii="仿宋" w:eastAsia="仿宋" w:hAnsi="仿宋" w:cs="仿宋" w:hint="eastAsia"/>
                <w:szCs w:val="24"/>
              </w:rPr>
              <w:t>-45</w:t>
            </w:r>
            <w:r>
              <w:rPr>
                <w:rFonts w:ascii="仿宋" w:eastAsia="仿宋" w:hAnsi="仿宋" w:cs="仿宋" w:hint="eastAsia"/>
                <w:szCs w:val="24"/>
              </w:rPr>
              <w:t>℃</w:t>
            </w:r>
            <w:r>
              <w:rPr>
                <w:rFonts w:ascii="仿宋" w:eastAsia="仿宋" w:hAnsi="仿宋" w:cs="仿宋" w:hint="eastAsia"/>
                <w:szCs w:val="24"/>
              </w:rPr>
              <w:t>；</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塔顶端采用避雷针设计，整体镀锌。所用型钢、圆钢、钢板、角钢均采用Q235B型钢；</w:t>
            </w:r>
          </w:p>
          <w:p>
            <w:pPr>
              <w:snapToGrid w:val="0"/>
              <w:rPr>
                <w:rFonts w:ascii="仿宋" w:eastAsia="仿宋" w:hAnsi="仿宋" w:cs="仿宋" w:hint="eastAsia"/>
              </w:rPr>
            </w:pPr>
            <w:r>
              <w:rPr>
                <w:rFonts w:ascii="仿宋" w:eastAsia="仿宋" w:hAnsi="仿宋" w:cs="仿宋" w:hint="eastAsia"/>
                <w:sz w:val="24"/>
              </w:rPr>
              <w:t>传感器安装支架：采用不锈钢方管材质，可伸缩，支架固定传感器位置距离立柱最少1.5m</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涡动梯度观测系统</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9,660,000.00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9,660,000.00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1"/>
        <w:gridCol w:w="1701"/>
        <w:gridCol w:w="791"/>
        <w:gridCol w:w="271"/>
        <w:gridCol w:w="618"/>
        <w:gridCol w:w="515"/>
        <w:gridCol w:w="1745"/>
        <w:gridCol w:w="26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赤峰市局(001035031)</w:t>
            </w:r>
          </w:p>
        </w:tc>
        <w:tc>
          <w:tcPr/>
          <w:p>
            <w:r>
              <w:t>涡动梯度观测系统</w:t>
            </w:r>
          </w:p>
        </w:tc>
        <w:tc>
          <w:tcPr/>
          <w:p>
            <w:r>
              <w:t>1</w:t>
            </w:r>
          </w:p>
        </w:tc>
        <w:tc>
          <w:tcPr/>
          <w:p>
            <w:r>
              <w:t>1470000.00</w:t>
            </w:r>
          </w:p>
        </w:tc>
        <w:tc>
          <w:tcPr/>
          <w:p>
            <w:r>
              <w:t xml:space="preserve">1470000.00  </w:t>
            </w:r>
          </w:p>
        </w:tc>
        <w:tc>
          <w:tcPr/>
          <w:p>
            <w:r>
              <w:t>内蒙赤峰市</w:t>
            </w:r>
          </w:p>
        </w:tc>
        <w:tc>
          <w:tcPr/>
          <w:p>
            <w:r>
              <w:t>采购人：内蒙古自治区赤峰市气象局-张志楠，不含基础建设费</w:t>
            </w:r>
          </w:p>
        </w:tc>
      </w:tr>
      <w:tr>
        <w:tblPrEx>
          <w:tblW w:w="5000" w:type="pct"/>
          <w:tblCellMar>
            <w:left w:w="108" w:type="dxa"/>
            <w:right w:w="108" w:type="dxa"/>
          </w:tblCellMar>
        </w:tblPrEx>
        <w:tc>
          <w:tcPr/>
          <w:p>
            <w:r>
              <w:t>2</w:t>
            </w:r>
          </w:p>
        </w:tc>
        <w:tc>
          <w:tcPr/>
          <w:p>
            <w:r>
              <w:t>巴彦淖尔市局(001035035)</w:t>
            </w:r>
          </w:p>
        </w:tc>
        <w:tc>
          <w:tcPr/>
          <w:p>
            <w:r>
              <w:t>涡动梯度观测系统</w:t>
            </w:r>
          </w:p>
        </w:tc>
        <w:tc>
          <w:tcPr/>
          <w:p>
            <w:r>
              <w:t>1</w:t>
            </w:r>
          </w:p>
        </w:tc>
        <w:tc>
          <w:tcPr/>
          <w:p>
            <w:r>
              <w:t>1470000.00</w:t>
            </w:r>
          </w:p>
        </w:tc>
        <w:tc>
          <w:tcPr/>
          <w:p>
            <w:r>
              <w:t xml:space="preserve">1470000.00 </w:t>
            </w:r>
          </w:p>
        </w:tc>
        <w:tc>
          <w:tcPr/>
          <w:p>
            <w:r>
              <w:t>内蒙巴彦淖尔市</w:t>
            </w:r>
          </w:p>
        </w:tc>
        <w:tc>
          <w:tcPr/>
          <w:p>
            <w:r>
              <w:t>采购人：内蒙古巴彦淖尔市气象局-拓砚军，不含基础建设费</w:t>
            </w:r>
          </w:p>
        </w:tc>
      </w:tr>
      <w:tr>
        <w:tblPrEx>
          <w:tblW w:w="5000" w:type="pct"/>
          <w:tblCellMar>
            <w:left w:w="108" w:type="dxa"/>
            <w:right w:w="108" w:type="dxa"/>
          </w:tblCellMar>
        </w:tblPrEx>
        <w:tc>
          <w:tcPr/>
          <w:p>
            <w:r>
              <w:t>3</w:t>
            </w:r>
          </w:p>
        </w:tc>
        <w:tc>
          <w:tcPr/>
          <w:p>
            <w:r>
              <w:t>探测中心(001037017)</w:t>
            </w:r>
          </w:p>
        </w:tc>
        <w:tc>
          <w:tcPr/>
          <w:p>
            <w:r>
              <w:t>涡动梯度观测系统</w:t>
            </w:r>
          </w:p>
        </w:tc>
        <w:tc>
          <w:tcPr/>
          <w:p>
            <w:r>
              <w:t>2</w:t>
            </w:r>
          </w:p>
        </w:tc>
        <w:tc>
          <w:tcPr/>
          <w:p>
            <w:r>
              <w:t>2300000.00</w:t>
            </w:r>
          </w:p>
        </w:tc>
        <w:tc>
          <w:tcPr/>
          <w:p>
            <w:r>
              <w:t xml:space="preserve">2300000.00  </w:t>
            </w:r>
          </w:p>
        </w:tc>
        <w:tc>
          <w:tcPr/>
          <w:p>
            <w:r>
              <w:t>吉林省延边州龙井市、吉林省长春市农安县</w:t>
            </w:r>
          </w:p>
        </w:tc>
        <w:tc>
          <w:tcPr/>
          <w:p>
            <w:r>
              <w:t>采购人：吉林省气象探测保障中心（吉林省气象仪器计量检定站）-王旭，不含铁塔费用，不含基础建设费</w:t>
            </w:r>
          </w:p>
        </w:tc>
      </w:tr>
      <w:tr>
        <w:tblPrEx>
          <w:tblW w:w="5000" w:type="pct"/>
          <w:tblCellMar>
            <w:left w:w="108" w:type="dxa"/>
            <w:right w:w="108" w:type="dxa"/>
          </w:tblCellMar>
        </w:tblPrEx>
        <w:tc>
          <w:tcPr/>
          <w:p>
            <w:r>
              <w:t>4</w:t>
            </w:r>
          </w:p>
        </w:tc>
        <w:tc>
          <w:tcPr/>
          <w:p>
            <w:r>
              <w:t>信息中心(001051012)</w:t>
            </w:r>
          </w:p>
        </w:tc>
        <w:tc>
          <w:tcPr/>
          <w:p>
            <w:r>
              <w:t>涡动梯度观测系统</w:t>
            </w:r>
          </w:p>
        </w:tc>
        <w:tc>
          <w:tcPr/>
          <w:p>
            <w:r>
              <w:t>1</w:t>
            </w:r>
          </w:p>
        </w:tc>
        <w:tc>
          <w:tcPr/>
          <w:p>
            <w:r>
              <w:t>1470000.00</w:t>
            </w:r>
          </w:p>
        </w:tc>
        <w:tc>
          <w:tcPr/>
          <w:p>
            <w:r>
              <w:t xml:space="preserve">1470000.00 </w:t>
            </w:r>
          </w:p>
        </w:tc>
        <w:tc>
          <w:tcPr/>
          <w:p>
            <w:r>
              <w:t>重庆市长寿区</w:t>
            </w:r>
          </w:p>
        </w:tc>
        <w:tc>
          <w:tcPr/>
          <w:p>
            <w:r>
              <w:t>采购人：重庆市气象信息与技术保障中心-鲁小平，不含基础建设费</w:t>
            </w:r>
          </w:p>
        </w:tc>
      </w:tr>
      <w:tr>
        <w:tblPrEx>
          <w:tblW w:w="5000" w:type="pct"/>
          <w:tblCellMar>
            <w:left w:w="108" w:type="dxa"/>
            <w:right w:w="108" w:type="dxa"/>
          </w:tblCellMar>
        </w:tblPrEx>
        <w:tc>
          <w:tcPr/>
          <w:p>
            <w:r>
              <w:t>5</w:t>
            </w:r>
          </w:p>
        </w:tc>
        <w:tc>
          <w:tcPr/>
          <w:p>
            <w:r>
              <w:t>云南省大气探测技术保障中心(001053018)</w:t>
            </w:r>
          </w:p>
        </w:tc>
        <w:tc>
          <w:tcPr/>
          <w:p>
            <w:r>
              <w:t>涡动梯度观测系统</w:t>
            </w:r>
          </w:p>
        </w:tc>
        <w:tc>
          <w:tcPr/>
          <w:p>
            <w:r>
              <w:t>1</w:t>
            </w:r>
          </w:p>
        </w:tc>
        <w:tc>
          <w:tcPr/>
          <w:p>
            <w:r>
              <w:t>1480000.00</w:t>
            </w:r>
          </w:p>
        </w:tc>
        <w:tc>
          <w:tcPr/>
          <w:p>
            <w:r>
              <w:t xml:space="preserve">1480000.00  </w:t>
            </w:r>
          </w:p>
        </w:tc>
        <w:tc>
          <w:tcPr/>
          <w:p>
            <w:r>
              <w:t>云南省保山市腾冲市</w:t>
            </w:r>
          </w:p>
        </w:tc>
        <w:tc>
          <w:tcPr/>
          <w:p>
            <w:r>
              <w:t>采购人：云南省大气探测技术保障中心-解莉燕，含基础建设费</w:t>
            </w:r>
          </w:p>
        </w:tc>
      </w:tr>
      <w:tr>
        <w:tblPrEx>
          <w:tblW w:w="5000" w:type="pct"/>
          <w:tblCellMar>
            <w:left w:w="108" w:type="dxa"/>
            <w:right w:w="108" w:type="dxa"/>
          </w:tblCellMar>
        </w:tblPrEx>
        <w:tc>
          <w:tcPr/>
          <w:p>
            <w:r>
              <w:t>6</w:t>
            </w:r>
          </w:p>
        </w:tc>
        <w:tc>
          <w:tcPr/>
          <w:p>
            <w:r>
              <w:t>信息中心(001056008)</w:t>
            </w:r>
          </w:p>
        </w:tc>
        <w:tc>
          <w:tcPr/>
          <w:p>
            <w:r>
              <w:t>涡动梯度观测系统</w:t>
            </w:r>
          </w:p>
        </w:tc>
        <w:tc>
          <w:tcPr/>
          <w:p>
            <w:r>
              <w:t>1</w:t>
            </w:r>
          </w:p>
        </w:tc>
        <w:tc>
          <w:tcPr/>
          <w:p>
            <w:r>
              <w:t>1470000.00</w:t>
            </w:r>
          </w:p>
        </w:tc>
        <w:tc>
          <w:tcPr/>
          <w:p>
            <w:r>
              <w:t xml:space="preserve">1470000.00 </w:t>
            </w:r>
          </w:p>
        </w:tc>
        <w:tc>
          <w:tcPr/>
          <w:p>
            <w:r>
              <w:t>甘肃玛曲县</w:t>
            </w:r>
          </w:p>
        </w:tc>
        <w:tc>
          <w:tcPr/>
          <w:p>
            <w:r>
              <w:t>采购人：甘肃省气象信息与技术装备保障中心-刘冰鑫，不含基础建设费</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在内蒙、吉林、重庆、云南、甘肃建设涡动梯度观测系统，实现近地层梯度气象观测要素与涡动相关观测融合梯度涡动观测系统。提升生态系统的监测试验能力，提升生态气象要素野外监测与数据获取能力、关键生态气象要素卫星遥感反演精度等能力，为气象业务工作提供数据支持、技术支撑，提升生态气象碳监测与评估服务，满足生态气象学科研究和精细化气象服务需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人</w:t>
      </w:r>
      <w:r>
        <w:rPr>
          <w:rFonts w:ascii="仿宋" w:eastAsia="仿宋" w:hAnsi="仿宋" w:cs="仿宋" w:hint="eastAsia"/>
          <w:sz w:val="28"/>
          <w:szCs w:val="20"/>
          <w:highlight w:val="yellow"/>
          <w:lang w:val="en-US" w:eastAsia="zh-CN"/>
        </w:rPr>
        <w:t>/省</w:t>
      </w:r>
      <w:r>
        <w:rPr>
          <w:rFonts w:ascii="仿宋" w:eastAsia="仿宋" w:hAnsi="仿宋" w:cs="仿宋"/>
          <w:sz w:val="28"/>
          <w:szCs w:val="20"/>
          <w:highlight w:val="yellow"/>
        </w:rPr>
        <w:t>。</w:t>
      </w:r>
      <w:r>
        <w:rPr>
          <w:rFonts w:ascii="仿宋" w:eastAsia="仿宋" w:hAnsi="仿宋" w:cs="仿宋" w:hint="eastAsia"/>
          <w:sz w:val="28"/>
          <w:szCs w:val="20"/>
        </w:rPr>
        <w:t>培训内容包括设</w:t>
      </w:r>
      <w:r>
        <w:rPr>
          <w:rFonts w:ascii="仿宋" w:eastAsia="仿宋" w:hAnsi="仿宋" w:cs="仿宋" w:hint="eastAsia"/>
          <w:sz w:val="28"/>
          <w:szCs w:val="20"/>
        </w:rPr>
        <w:t>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内蒙赤峰市、内蒙巴彦淖尔市、吉林省延边州龙井市、吉林省长春市农安县、重庆市长寿区、云南省保山市腾冲市、甘肃玛曲县</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w:t>
      </w:r>
      <w:r>
        <w:rPr>
          <w:rFonts w:ascii="仿宋" w:eastAsia="仿宋" w:hAnsi="仿宋" w:cs="仿宋" w:hint="eastAsia"/>
          <w:sz w:val="28"/>
          <w:szCs w:val="20"/>
          <w:lang w:eastAsia="zh-CN"/>
        </w:rPr>
        <w:t>需具有较强</w:t>
      </w:r>
      <w:r>
        <w:rPr>
          <w:rFonts w:ascii="仿宋" w:eastAsia="仿宋" w:hAnsi="仿宋" w:cs="仿宋" w:hint="eastAsia"/>
          <w:sz w:val="28"/>
          <w:szCs w:val="20"/>
        </w:rPr>
        <w:t>兼容性，设备数据传输模式、数据格式、数据通讯协议满足国家局下发的</w:t>
      </w:r>
      <w:r>
        <w:rPr>
          <w:rFonts w:ascii="仿宋" w:eastAsia="仿宋" w:hAnsi="仿宋" w:cs="仿宋" w:hint="eastAsia"/>
          <w:sz w:val="28"/>
          <w:szCs w:val="20"/>
          <w:lang w:eastAsia="zh-CN"/>
        </w:rPr>
        <w:t>《</w:t>
      </w:r>
      <w:r>
        <w:rPr>
          <w:rFonts w:ascii="仿宋" w:eastAsia="仿宋" w:hAnsi="仿宋" w:cs="仿宋" w:hint="eastAsia"/>
          <w:color w:val="auto"/>
          <w:sz w:val="28"/>
          <w:szCs w:val="20"/>
          <w:highlight w:val="yellow"/>
        </w:rPr>
        <w:t>通量观测仪（水、二氧化碳气体分析仪加三维超声风）</w:t>
      </w:r>
      <w:r>
        <w:rPr>
          <w:rFonts w:ascii="仿宋" w:eastAsia="仿宋" w:hAnsi="仿宋" w:cs="仿宋" w:hint="eastAsia"/>
          <w:color w:val="auto"/>
          <w:sz w:val="28"/>
          <w:szCs w:val="20"/>
          <w:lang w:eastAsia="zh-CN"/>
        </w:rPr>
        <w:t>》</w:t>
      </w:r>
      <w:r>
        <w:rPr>
          <w:rFonts w:ascii="仿宋" w:eastAsia="仿宋" w:hAnsi="仿宋" w:cs="仿宋" w:hint="eastAsia"/>
          <w:sz w:val="28"/>
          <w:szCs w:val="20"/>
        </w:rPr>
        <w:t>功能规格需求书，设备观测数据通过外网可以接入天擎平台，完全符合甲方相关要求和规范，保证其系统的兼容性和功能的完整性。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无</w:t>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rsidR="002A038B">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2A038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2A038B">
            <w:pPr>
              <w:rPr>
                <w:sz w:val="18"/>
                <w:szCs w:val="18"/>
              </w:rPr>
            </w:pPr>
            <w:r>
              <w:rPr>
                <w:rFonts w:hint="eastAsia"/>
                <w:sz w:val="18"/>
                <w:szCs w:val="18"/>
              </w:rPr>
              <w:t>序号</w:t>
            </w:r>
          </w:p>
        </w:tc>
        <w:tc>
          <w:tcPr>
            <w:tcW w:w="898" w:type="dxa"/>
            <w:vAlign w:val="center"/>
          </w:tcPr>
          <w:p w:rsidR="002A038B">
            <w:pPr>
              <w:jc w:val="center"/>
              <w:rPr>
                <w:sz w:val="18"/>
                <w:szCs w:val="18"/>
              </w:rPr>
            </w:pPr>
            <w:r>
              <w:rPr>
                <w:rFonts w:hint="eastAsia"/>
                <w:sz w:val="18"/>
                <w:szCs w:val="18"/>
              </w:rPr>
              <w:t>对应</w:t>
            </w:r>
          </w:p>
          <w:p w:rsidR="002A038B">
            <w:pPr>
              <w:jc w:val="center"/>
              <w:rPr>
                <w:sz w:val="18"/>
                <w:szCs w:val="18"/>
              </w:rPr>
            </w:pPr>
            <w:r>
              <w:rPr>
                <w:rFonts w:hint="eastAsia"/>
                <w:sz w:val="18"/>
                <w:szCs w:val="18"/>
              </w:rPr>
              <w:t>条款号</w:t>
            </w:r>
          </w:p>
        </w:tc>
        <w:tc>
          <w:tcPr>
            <w:tcW w:w="7347" w:type="dxa"/>
            <w:vAlign w:val="center"/>
          </w:tcPr>
          <w:p w:rsidR="002A038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2A038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2A038B">
            <w:pPr>
              <w:numPr>
                <w:ilvl w:val="0"/>
                <w:numId w:val="14"/>
              </w:numPr>
              <w:rPr>
                <w:rFonts w:ascii="宋体" w:hAnsi="宋体"/>
                <w:sz w:val="18"/>
                <w:szCs w:val="18"/>
              </w:rPr>
            </w:pPr>
          </w:p>
        </w:tc>
        <w:tc>
          <w:tcPr>
            <w:tcW w:w="898" w:type="dxa"/>
            <w:vAlign w:val="center"/>
          </w:tcPr>
          <w:p w:rsidR="002A038B" w:rsidP="00986A52">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2A038B">
            <w:pPr>
              <w:tabs>
                <w:tab w:val="left" w:pos="709"/>
              </w:tabs>
              <w:spacing w:line="360" w:lineRule="auto"/>
              <w:jc w:val="left"/>
              <w:rPr>
                <w:rFonts w:ascii="宋体" w:hAnsi="宋体" w:cs="微软雅黑"/>
                <w:b/>
                <w:color w:val="0000FF"/>
                <w:kern w:val="0"/>
                <w:sz w:val="18"/>
                <w:szCs w:val="18"/>
              </w:rPr>
            </w:pPr>
            <w:r w:rsidRPr="00986A52">
              <w:rPr>
                <w:rFonts w:ascii="宋体" w:hAnsi="宋体" w:cs="微软雅黑" w:hint="eastAsia"/>
                <w:b/>
                <w:color w:val="0000FF"/>
                <w:kern w:val="0"/>
                <w:sz w:val="18"/>
                <w:szCs w:val="18"/>
              </w:rPr>
              <w:t>以下产品需要提供至投标截止日仍有效的《气象专用技术装备使用许可证》：1、通量观测仪(水、二氧化碳气体分析仪加三维</w:t>
            </w:r>
            <w:r w:rsidRPr="00986A52">
              <w:rPr>
                <w:rFonts w:ascii="宋体" w:hAnsi="宋体" w:cs="微软雅黑" w:hint="eastAsia"/>
                <w:b/>
                <w:color w:val="0000FF"/>
                <w:kern w:val="0"/>
                <w:sz w:val="18"/>
                <w:szCs w:val="18"/>
              </w:rPr>
              <w:t>超声风</w:t>
            </w:r>
            <w:r w:rsidRPr="00986A52">
              <w:rPr>
                <w:rFonts w:ascii="宋体" w:hAnsi="宋体" w:cs="微软雅黑" w:hint="eastAsia"/>
                <w:b/>
                <w:color w:val="0000FF"/>
                <w:kern w:val="0"/>
                <w:sz w:val="18"/>
                <w:szCs w:val="18"/>
              </w:rPr>
              <w:t>)气象专用技术装备使用许可证</w:t>
            </w:r>
            <w:r>
              <w:rPr>
                <w:rFonts w:ascii="宋体" w:hAnsi="宋体" w:cs="微软雅黑" w:hint="eastAsia"/>
                <w:b/>
                <w:color w:val="0000FF"/>
                <w:kern w:val="0"/>
                <w:sz w:val="18"/>
                <w:szCs w:val="18"/>
              </w:rPr>
              <w:t>；</w:t>
            </w:r>
          </w:p>
        </w:tc>
      </w:tr>
      <w:tr>
        <w:tblPrEx>
          <w:tblW w:w="8789" w:type="dxa"/>
          <w:tblLayout w:type="fixed"/>
          <w:tblLook w:val="04A0"/>
        </w:tblPrEx>
        <w:trPr>
          <w:cantSplit/>
        </w:trPr>
        <w:tc>
          <w:tcPr>
            <w:tcW w:w="8789" w:type="dxa"/>
            <w:gridSpan w:val="3"/>
            <w:vAlign w:val="center"/>
          </w:tcPr>
          <w:p w:rsidR="002A038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2A038B">
            <w:pPr>
              <w:numPr>
                <w:ilvl w:val="0"/>
                <w:numId w:val="14"/>
              </w:numPr>
              <w:rPr>
                <w:rFonts w:ascii="宋体" w:hAnsi="宋体"/>
                <w:sz w:val="18"/>
                <w:szCs w:val="18"/>
              </w:rPr>
            </w:pPr>
          </w:p>
        </w:tc>
        <w:tc>
          <w:tcPr>
            <w:tcW w:w="898" w:type="dxa"/>
            <w:vAlign w:val="center"/>
          </w:tcPr>
          <w:p w:rsidR="002A038B">
            <w:pPr>
              <w:jc w:val="center"/>
              <w:rPr>
                <w:rFonts w:ascii="宋体" w:hAnsi="宋体"/>
                <w:sz w:val="18"/>
                <w:szCs w:val="18"/>
              </w:rPr>
            </w:pPr>
            <w:r>
              <w:rPr>
                <w:rFonts w:ascii="宋体" w:hAnsi="宋体" w:hint="eastAsia"/>
                <w:sz w:val="18"/>
                <w:szCs w:val="18"/>
              </w:rPr>
              <w:t>第四条。质保服务要求</w:t>
            </w:r>
          </w:p>
        </w:tc>
        <w:tc>
          <w:tcPr>
            <w:tcW w:w="7347" w:type="dxa"/>
            <w:vAlign w:val="center"/>
          </w:tcPr>
          <w:p w:rsidR="002A038B">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承诺提供自验收合格后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年质保服务</w:t>
            </w:r>
          </w:p>
        </w:tc>
      </w:tr>
    </w:tbl>
    <w:p w:rsidR="002A038B">
      <w:pPr>
        <w:spacing w:before="156" w:beforeLines="50" w:line="360" w:lineRule="auto"/>
        <w:ind w:firstLine="420"/>
      </w:pPr>
      <w:r>
        <w:rPr>
          <w:rFonts w:ascii="宋体" w:hAnsi="宋体" w:hint="eastAsia"/>
          <w:szCs w:val="21"/>
        </w:rPr>
        <w:t>注：根据项目具体情况，对投标人有具体要求</w:t>
      </w:r>
      <w:r>
        <w:rPr>
          <w:rFonts w:ascii="宋体" w:hAnsi="宋体" w:hint="eastAsia"/>
          <w:szCs w:val="21"/>
        </w:rPr>
        <w:t>，且投标人必须遵守的，逐条列出。</w:t>
      </w:r>
    </w:p>
    <w:p w:rsidR="00A77B3E"/>
    <w:p w:rsidR="002A038B">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1、合同生效后付款：双方签署合同后15个工作日内，乙方向甲方开具合同总金额的90%即人民币                  元（大写）：          元（小写）的有效发票，甲方在收到发票后15个工作日内向乙方支付； 2、到货、检验后付款：双方签署到货验收报告后7个工作日内，乙方向甲方开具合同总金额的10%即人民币                  元（大写）：          元（小写）的有效发票，甲方在收到发票后15个工作日内向乙方支付。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38B"/>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6A52"/>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W">
    <w:name w:val="W表内"/>
    <w:basedOn w:val="Normal"/>
    <w:qFormat/>
    <w:pPr>
      <w:spacing w:line="240" w:lineRule="atLeast"/>
      <w:jc w:val="center"/>
    </w:pPr>
    <w:rPr>
      <w:rFonts w:eastAsia="仿宋_GB2312"/>
      <w:sz w:val="24"/>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