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bookmarkStart w:id="0" w:name="_GoBack"/>
      <w:bookmarkEnd w:id="0"/>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2025年站网与雷达工程四川普格新一代天气雷达系统建设项目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ZQCD-26062</w:t>
      </w:r>
      <w:bookmarkEnd w:id="2"/>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2026年05月</w:t>
      </w:r>
      <w:bookmarkEnd w:id="3"/>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4"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4"/>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5"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5"/>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2"/>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905C75D">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2.16主要标的信息表</w:t>
      </w:r>
      <w:bookmarkEnd w:id="20"/>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9"/>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四川省气象探测数据中心（四川省气象技术装备中心、四川省气象档案馆）</w:t>
      </w:r>
      <w:bookmarkEnd w:id="21"/>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2025年站网与雷达工程四川普格新一代天气雷达系统建设项目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ZQCD-26062</w:t>
      </w:r>
      <w:bookmarkEnd w:id="23"/>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5" w:name="合同履约期限_contractPerformancePeriod"/>
      <w:r>
        <w:rPr>
          <w:rFonts w:ascii="宋体" w:hAnsi="宋体" w:cs="微软雅黑" w:hint="eastAsia"/>
          <w:b/>
          <w:color w:val="0000FF"/>
          <w:kern w:val="0"/>
          <w:szCs w:val="21"/>
        </w:rPr>
        <w:t>合同签订后180天内交货，完成安装调试并具备验收条件</w:t>
      </w:r>
      <w:bookmarkEnd w:id="25"/>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四川省凉山州普格县</w:t>
      </w:r>
      <w:bookmarkEnd w:id="26"/>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7" w:name="项目公告_openBidTime"/>
      <w:r>
        <w:rPr>
          <w:rFonts w:asciiTheme="minorEastAsia" w:eastAsiaTheme="minorEastAsia" w:hAnsiTheme="minorEastAsia" w:hint="eastAsia"/>
          <w:bCs/>
          <w:szCs w:val="21"/>
          <w:highlight w:val="none"/>
        </w:rPr>
        <w:t>2026年05月14日 14:00:00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卢介然</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010-68406642</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四川省气象探测数据中心（四川省气象技术装备中心、四川省气象档案馆）</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胡春</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028-87341766</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四川省成都市青羊区光华村街20号</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四川省气象探测数据中心（四川省气象技术装备中心、四川省气象档案馆）</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必须，以下产品需要提供至响应截止日仍有效的《气象专用技术装备使用许可证》：S波段双线偏振多普勒天气雷达</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（1）标的：S波段双线偏振多普勒天气雷达，属于  工业  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是，中标服务费：4.8万元。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rPr>
              <w:t>1,450.000000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1,450.000000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pPr>
        <w:adjustRightInd w:val="0"/>
        <w:snapToGrid w:val="0"/>
        <w:spacing w:line="360" w:lineRule="auto"/>
        <w:jc w:val="center"/>
        <w:outlineLvl w:val="1"/>
        <w:rPr>
          <w:rFonts w:hint="default"/>
          <w:b/>
          <w:bCs/>
          <w:sz w:val="30"/>
          <w:szCs w:val="30"/>
        </w:rPr>
      </w:pPr>
      <w:bookmarkStart w:id="48" w:name="插入_采购需求书"/>
      <w:bookmarkStart w:id="49" w:name="插入_采购需求标题"/>
      <w:r>
        <w:rPr>
          <w:rFonts w:hint="default"/>
          <w:b/>
          <w:bCs/>
          <w:sz w:val="30"/>
          <w:szCs w:val="30"/>
        </w:rPr>
        <w:t>第六章  采购需求</w:t>
      </w:r>
      <w:bookmarkEnd w:id="49"/>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（三）技术性能指标                </w:t>
      </w:r>
    </w:p>
    <w:p>
      <w:pPr>
        <w:keepNext/>
        <w:widowControl w:val="0"/>
        <w:jc w:val="center"/>
        <w:rPr>
          <w:rFonts w:ascii="仿宋" w:eastAsia="仿宋" w:hAnsi="仿宋" w:cs="仿宋" w:hint="eastAsia"/>
          <w:sz w:val="28"/>
          <w:szCs w:val="28"/>
        </w:rPr>
      </w:pPr>
      <w:r>
        <w:rPr>
          <w:rFonts w:ascii="仿宋" w:eastAsia="仿宋" w:hAnsi="仿宋" w:cs="仿宋" w:hint="eastAsia"/>
          <w:kern w:val="2"/>
          <w:sz w:val="28"/>
          <w:szCs w:val="28"/>
          <w:lang w:val="en-US" w:eastAsia="zh-CN" w:bidi="ar-SA"/>
        </w:rPr>
        <w:t>表1 S波段双线偏振多普雷天气雷达技术性能指标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59"/>
        <w:gridCol w:w="484"/>
        <w:gridCol w:w="78"/>
        <w:gridCol w:w="147"/>
        <w:gridCol w:w="114"/>
        <w:gridCol w:w="781"/>
        <w:gridCol w:w="69"/>
        <w:gridCol w:w="28"/>
        <w:gridCol w:w="144"/>
        <w:gridCol w:w="1483"/>
        <w:gridCol w:w="2476"/>
        <w:gridCol w:w="174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340"/>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kern w:val="0"/>
              </w:rPr>
            </w:pPr>
            <w:r>
              <w:rPr>
                <w:rFonts w:ascii="仿宋" w:eastAsia="仿宋" w:hAnsi="仿宋" w:cs="仿宋" w:hint="eastAsia"/>
                <w:b/>
                <w:kern w:val="0"/>
                <w:sz w:val="24"/>
                <w:szCs w:val="24"/>
                <w:lang w:val="en-US" w:eastAsia="zh-CN" w:bidi="ar-SA"/>
              </w:rPr>
              <w:t>天线罩技术指标</w:t>
            </w: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2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tcBorders>
              <w:top w:val="single" w:sz="4" w:space="0" w:color="auto"/>
              <w:left w:val="nil"/>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tcBorders>
              <w:top w:val="single" w:sz="4" w:space="0" w:color="auto"/>
              <w:left w:val="single" w:sz="4" w:space="0" w:color="auto"/>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2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天线罩直径(m)</w:t>
            </w:r>
          </w:p>
        </w:tc>
        <w:tc>
          <w:tcPr>
            <w:tcW w:w="247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11.8</w:t>
            </w:r>
          </w:p>
        </w:tc>
        <w:tc>
          <w:tcPr>
            <w:tcW w:w="174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引入波束偏差(</w:t>
            </w:r>
            <w:r>
              <w:rPr>
                <w:rFonts w:ascii="仿宋" w:eastAsia="仿宋" w:hAnsi="仿宋" w:cs="仿宋" w:hint="eastAsia"/>
                <w:kern w:val="0"/>
                <w:sz w:val="24"/>
              </w:rPr>
              <w:t>°</w:t>
            </w:r>
            <w:r>
              <w:rPr>
                <w:rFonts w:ascii="仿宋" w:eastAsia="仿宋" w:hAnsi="仿宋" w:cs="仿宋" w:hint="eastAsia"/>
                <w:kern w:val="0"/>
                <w:sz w:val="24"/>
              </w:rPr>
              <w:t>)</w:t>
            </w: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0.03</w:t>
            </w:r>
          </w:p>
        </w:tc>
        <w:tc>
          <w:tcPr>
            <w:tcW w:w="1746" w:type="dxa"/>
            <w:vMerge w:val="restart"/>
            <w:tcBorders>
              <w:top w:val="single" w:sz="4" w:space="0" w:color="auto"/>
              <w:left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引入波束展宽(</w:t>
            </w:r>
            <w:r>
              <w:rPr>
                <w:rFonts w:ascii="仿宋" w:eastAsia="仿宋" w:hAnsi="仿宋" w:cs="仿宋" w:hint="eastAsia"/>
                <w:kern w:val="0"/>
                <w:sz w:val="24"/>
              </w:rPr>
              <w:t>°</w:t>
            </w:r>
            <w:r>
              <w:rPr>
                <w:rFonts w:ascii="仿宋" w:eastAsia="仿宋" w:hAnsi="仿宋" w:cs="仿宋" w:hint="eastAsia"/>
                <w:kern w:val="0"/>
                <w:sz w:val="24"/>
              </w:rPr>
              <w:t>)</w:t>
            </w: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与天线口径比</w:t>
            </w:r>
          </w:p>
        </w:tc>
        <w:tc>
          <w:tcPr>
            <w:tcW w:w="247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1.3</w:t>
            </w:r>
          </w:p>
        </w:tc>
        <w:tc>
          <w:tcPr>
            <w:tcW w:w="174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引入交叉极化隔离度影响(dB)</w:t>
            </w:r>
          </w:p>
        </w:tc>
        <w:tc>
          <w:tcPr>
            <w:tcW w:w="247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双程射频损失(dB)</w:t>
            </w:r>
          </w:p>
        </w:tc>
        <w:tc>
          <w:tcPr>
            <w:tcW w:w="247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天线技术指标</w:t>
            </w:r>
          </w:p>
        </w:tc>
      </w:tr>
      <w:tr>
        <w:tblPrEx>
          <w:tblW w:w="0" w:type="auto"/>
          <w:jc w:val="center"/>
          <w:tblCellMar>
            <w:top w:w="0" w:type="dxa"/>
            <w:left w:w="108" w:type="dxa"/>
            <w:bottom w:w="0" w:type="dxa"/>
            <w:right w:w="108" w:type="dxa"/>
          </w:tblCellMar>
          <w:tblLook w:val="0000"/>
        </w:tblPrEx>
        <w:trPr>
          <w:cantSplit/>
          <w:trHeight w:val="39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天线反射体直径(m)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8.5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①</w:t>
            </w:r>
            <w:r>
              <w:rPr>
                <w:rFonts w:ascii="仿宋" w:eastAsia="仿宋" w:hAnsi="仿宋" w:cs="仿宋" w:hint="eastAsia"/>
                <w:kern w:val="0"/>
                <w:sz w:val="24"/>
              </w:rPr>
              <w:t xml:space="preserve"> 中心馈电旋转抛物面型；</w:t>
            </w:r>
          </w:p>
          <w:p>
            <w:pPr>
              <w:spacing w:line="280" w:lineRule="exact"/>
              <w:jc w:val="center"/>
              <w:rPr>
                <w:rFonts w:ascii="仿宋" w:eastAsia="仿宋" w:hAnsi="仿宋" w:cs="仿宋" w:hint="eastAsia"/>
                <w:kern w:val="0"/>
              </w:rPr>
            </w:pPr>
            <w:r>
              <w:rPr>
                <w:rFonts w:ascii="仿宋" w:eastAsia="仿宋" w:hAnsi="仿宋" w:cs="仿宋" w:hint="eastAsia"/>
                <w:kern w:val="0"/>
                <w:sz w:val="24"/>
              </w:rPr>
              <w:t>②</w:t>
            </w:r>
            <w:r>
              <w:rPr>
                <w:rFonts w:ascii="仿宋" w:eastAsia="仿宋" w:hAnsi="仿宋" w:cs="仿宋" w:hint="eastAsia"/>
                <w:kern w:val="0"/>
                <w:sz w:val="24"/>
              </w:rPr>
              <w:t xml:space="preserve"> 水平和垂直线极化方式；</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功率增益(dB)</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44.0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9"/>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功率增益偏差(dB)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波束宽度(</w:t>
            </w:r>
            <w:r>
              <w:rPr>
                <w:rFonts w:ascii="仿宋" w:eastAsia="仿宋" w:hAnsi="仿宋" w:cs="仿宋" w:hint="eastAsia"/>
                <w:kern w:val="0"/>
                <w:sz w:val="24"/>
              </w:rPr>
              <w:t>°</w:t>
            </w:r>
            <w:r>
              <w:rPr>
                <w:rFonts w:ascii="仿宋" w:eastAsia="仿宋" w:hAnsi="仿宋" w:cs="仿宋" w:hint="eastAsia"/>
                <w:kern w:val="0"/>
                <w:sz w:val="24"/>
              </w:rPr>
              <w:t>)</w:t>
            </w:r>
          </w:p>
        </w:tc>
        <w:tc>
          <w:tcPr>
            <w:tcW w:w="1111"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水平极化</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垂直极化</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双极化波束宽度差异(</w:t>
            </w:r>
            <w:r>
              <w:rPr>
                <w:rFonts w:ascii="仿宋" w:eastAsia="仿宋" w:hAnsi="仿宋" w:cs="仿宋" w:hint="eastAsia"/>
                <w:kern w:val="0"/>
                <w:sz w:val="24"/>
              </w:rPr>
              <w:t>°</w:t>
            </w:r>
            <w:r>
              <w:rPr>
                <w:rFonts w:ascii="仿宋" w:eastAsia="仿宋" w:hAnsi="仿宋" w:cs="仿宋" w:hint="eastAsia"/>
                <w:kern w:val="0"/>
                <w:sz w:val="24"/>
              </w:rPr>
              <w:t>)</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双极化波束指向一致性(</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第一旁瓣电平(dB)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-29.0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-38.0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rPr>
              <w:t>°</w:t>
            </w:r>
            <w:r>
              <w:rPr>
                <w:rFonts w:ascii="仿宋" w:eastAsia="仿宋" w:hAnsi="仿宋" w:cs="仿宋" w:hint="eastAsia"/>
                <w:kern w:val="0"/>
                <w:sz w:val="24"/>
              </w:rPr>
              <w:t>处</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远端旁瓣电平(dB)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-42.0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rPr>
              <w:t>°</w:t>
            </w:r>
            <w:r>
              <w:rPr>
                <w:rFonts w:ascii="仿宋" w:eastAsia="仿宋" w:hAnsi="仿宋" w:cs="仿宋" w:hint="eastAsia"/>
                <w:kern w:val="0"/>
                <w:sz w:val="24"/>
              </w:rPr>
              <w:t>以外</w:t>
            </w:r>
          </w:p>
        </w:tc>
      </w:tr>
      <w:tr>
        <w:tblPrEx>
          <w:tblW w:w="0" w:type="auto"/>
          <w:jc w:val="center"/>
          <w:tblCellMar>
            <w:top w:w="0" w:type="dxa"/>
            <w:left w:w="108" w:type="dxa"/>
            <w:bottom w:w="0" w:type="dxa"/>
            <w:right w:w="108" w:type="dxa"/>
          </w:tblCellMar>
          <w:tblLook w:val="0000"/>
        </w:tblPrEx>
        <w:trPr>
          <w:cantSplit/>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交叉极化隔离度(dB)</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35.0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双极化正交度(</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90</w:t>
            </w:r>
            <w:r>
              <w:rPr>
                <w:rFonts w:ascii="仿宋" w:eastAsia="仿宋" w:hAnsi="仿宋" w:cs="仿宋" w:hint="eastAsia"/>
                <w:kern w:val="0"/>
                <w:sz w:val="24"/>
              </w:rPr>
              <w:t>±</w:t>
            </w:r>
            <w:r>
              <w:rPr>
                <w:rFonts w:ascii="仿宋" w:eastAsia="仿宋" w:hAnsi="仿宋" w:cs="仿宋" w:hint="eastAsia"/>
                <w:kern w:val="0"/>
                <w:sz w:val="24"/>
              </w:rPr>
              <w:t>0.03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天线座水平度(</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Cs/>
              </w:rPr>
            </w:pPr>
            <w:r>
              <w:rPr>
                <w:rFonts w:ascii="仿宋" w:eastAsia="仿宋" w:hAnsi="仿宋" w:cs="仿宋" w:hint="eastAsia"/>
                <w:b/>
                <w:kern w:val="0"/>
                <w:sz w:val="24"/>
                <w:szCs w:val="24"/>
                <w:lang w:val="en-US" w:eastAsia="zh-CN" w:bidi="ar-SA"/>
              </w:rPr>
              <w:t>馈线系统技术指标</w:t>
            </w: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收发支路馈线损耗(dB)</w:t>
            </w:r>
          </w:p>
        </w:tc>
        <w:tc>
          <w:tcPr>
            <w:tcW w:w="823"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单发</w:t>
            </w:r>
          </w:p>
          <w:p>
            <w:pPr>
              <w:spacing w:line="280" w:lineRule="exact"/>
              <w:jc w:val="center"/>
              <w:rPr>
                <w:rFonts w:ascii="仿宋" w:eastAsia="仿宋" w:hAnsi="仿宋" w:cs="仿宋" w:hint="eastAsia"/>
                <w:kern w:val="0"/>
              </w:rPr>
            </w:pPr>
            <w:r>
              <w:rPr>
                <w:rFonts w:ascii="仿宋" w:eastAsia="仿宋" w:hAnsi="仿宋" w:cs="仿宋" w:hint="eastAsia"/>
                <w:kern w:val="0"/>
                <w:sz w:val="24"/>
              </w:rPr>
              <w:t>双收</w:t>
            </w: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双发</w:t>
            </w:r>
          </w:p>
          <w:p>
            <w:pPr>
              <w:spacing w:line="280" w:lineRule="exact"/>
              <w:jc w:val="center"/>
              <w:rPr>
                <w:rFonts w:ascii="仿宋" w:eastAsia="仿宋" w:hAnsi="仿宋" w:cs="仿宋" w:hint="eastAsia"/>
                <w:kern w:val="0"/>
              </w:rPr>
            </w:pPr>
            <w:r>
              <w:rPr>
                <w:rFonts w:ascii="仿宋" w:eastAsia="仿宋" w:hAnsi="仿宋" w:cs="仿宋" w:hint="eastAsia"/>
                <w:kern w:val="0"/>
                <w:sz w:val="24"/>
              </w:rPr>
              <w:t>双收</w:t>
            </w: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7.0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7.0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水平、垂直极化馈线损耗差异(dB)</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双发双收</w:t>
            </w:r>
          </w:p>
        </w:tc>
      </w:tr>
      <w:tr>
        <w:tblPrEx>
          <w:tblW w:w="0" w:type="auto"/>
          <w:jc w:val="center"/>
          <w:tblCellMar>
            <w:top w:w="0" w:type="dxa"/>
            <w:left w:w="108" w:type="dxa"/>
            <w:bottom w:w="0" w:type="dxa"/>
            <w:right w:w="108" w:type="dxa"/>
          </w:tblCellMar>
          <w:tblLook w:val="0000"/>
        </w:tblPrEx>
        <w:trPr>
          <w:cantSplit/>
          <w:trHeight w:val="135"/>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20"/>
          <w:jc w:val="center"/>
        </w:trPr>
        <w:tc>
          <w:tcPr>
            <w:tcW w:w="2804" w:type="dxa"/>
            <w:gridSpan w:val="9"/>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收发支路损耗差异(dB)</w:t>
            </w:r>
          </w:p>
        </w:tc>
        <w:tc>
          <w:tcPr>
            <w:tcW w:w="1483"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20"/>
          <w:jc w:val="center"/>
        </w:trPr>
        <w:tc>
          <w:tcPr>
            <w:tcW w:w="2804" w:type="dxa"/>
            <w:gridSpan w:val="9"/>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0"/>
          <w:jc w:val="center"/>
        </w:trPr>
        <w:tc>
          <w:tcPr>
            <w:tcW w:w="2804" w:type="dxa"/>
            <w:gridSpan w:val="9"/>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驻波比</w:t>
            </w: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1.5:1</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0"/>
          <w:jc w:val="center"/>
        </w:trPr>
        <w:tc>
          <w:tcPr>
            <w:tcW w:w="2804" w:type="dxa"/>
            <w:gridSpan w:val="9"/>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482"/>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Cs/>
              </w:rPr>
            </w:pPr>
            <w:r>
              <w:rPr>
                <w:rFonts w:ascii="仿宋" w:eastAsia="仿宋" w:hAnsi="仿宋" w:cs="仿宋" w:hint="eastAsia"/>
                <w:b/>
                <w:kern w:val="0"/>
                <w:sz w:val="24"/>
                <w:szCs w:val="24"/>
                <w:lang w:val="en-US" w:eastAsia="zh-CN" w:bidi="ar-SA"/>
              </w:rPr>
              <w:t>伺服系统技术指标</w:t>
            </w:r>
          </w:p>
        </w:tc>
      </w:tr>
      <w:tr>
        <w:tblPrEx>
          <w:tblW w:w="0" w:type="auto"/>
          <w:jc w:val="center"/>
          <w:tblCellMar>
            <w:top w:w="0" w:type="dxa"/>
            <w:left w:w="108" w:type="dxa"/>
            <w:bottom w:w="0" w:type="dxa"/>
            <w:right w:w="108" w:type="dxa"/>
          </w:tblCellMar>
          <w:tblLook w:val="0000"/>
        </w:tblPrEx>
        <w:trPr>
          <w:cantSplit/>
          <w:trHeight w:val="482"/>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控制精度(</w:t>
            </w:r>
            <w:r>
              <w:rPr>
                <w:rFonts w:ascii="仿宋" w:eastAsia="仿宋" w:hAnsi="仿宋" w:cs="仿宋" w:hint="eastAsia"/>
                <w:kern w:val="0"/>
                <w:sz w:val="24"/>
              </w:rPr>
              <w:t>°</w:t>
            </w:r>
            <w:r>
              <w:rPr>
                <w:rFonts w:ascii="仿宋" w:eastAsia="仿宋" w:hAnsi="仿宋" w:cs="仿宋" w:hint="eastAsia"/>
                <w:kern w:val="0"/>
                <w:sz w:val="24"/>
              </w:rPr>
              <w:t>)</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方位角最大误差</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-0.05～0.05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4"/>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俯仰角最大误差</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天线波束指向误差(</w:t>
            </w:r>
            <w:r>
              <w:rPr>
                <w:rFonts w:ascii="仿宋" w:eastAsia="仿宋" w:hAnsi="仿宋" w:cs="仿宋" w:hint="eastAsia"/>
                <w:kern w:val="0"/>
                <w:sz w:val="24"/>
              </w:rPr>
              <w:t>°</w:t>
            </w:r>
            <w:r>
              <w:rPr>
                <w:rFonts w:ascii="仿宋" w:eastAsia="仿宋" w:hAnsi="仿宋" w:cs="仿宋" w:hint="eastAsia"/>
                <w:kern w:val="0"/>
                <w:sz w:val="24"/>
              </w:rPr>
              <w:t>)</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方位角最大误差</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-0.05～0.05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俯仰角最大误差</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restart"/>
            <w:vAlign w:val="center"/>
          </w:tcPr>
          <w:p>
            <w:pPr>
              <w:spacing w:line="280" w:lineRule="exact"/>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天线最大扫描速度(</w:t>
            </w:r>
            <w:r>
              <w:rPr>
                <w:rFonts w:ascii="仿宋" w:eastAsia="仿宋" w:hAnsi="仿宋" w:cs="仿宋" w:hint="eastAsia"/>
                <w:kern w:val="0"/>
                <w:sz w:val="24"/>
              </w:rPr>
              <w:t>°</w:t>
            </w:r>
            <w:r>
              <w:rPr>
                <w:rFonts w:ascii="仿宋" w:eastAsia="仿宋" w:hAnsi="仿宋" w:cs="仿宋" w:hint="eastAsia"/>
                <w:kern w:val="0"/>
                <w:sz w:val="24"/>
              </w:rPr>
              <w:t>/s)</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60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36</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天线最大扫描速度误差</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方位角转动范围(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0.0～360.0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俯仰角转动范围(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-2.00～＋90.00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PPI扫描范围(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0.0～360.0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RHI扫描范围(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扫描加速度(</w:t>
            </w:r>
            <w:r>
              <w:rPr>
                <w:rFonts w:ascii="仿宋" w:eastAsia="仿宋" w:hAnsi="仿宋" w:cs="仿宋" w:hint="eastAsia"/>
                <w:kern w:val="0"/>
                <w:sz w:val="24"/>
              </w:rPr>
              <w:t>°</w:t>
            </w:r>
            <w:r>
              <w:rPr>
                <w:rFonts w:ascii="仿宋" w:eastAsia="仿宋" w:hAnsi="仿宋" w:cs="仿宋" w:hint="eastAsia"/>
                <w:kern w:val="0"/>
                <w:sz w:val="24"/>
              </w:rPr>
              <w:t>/s</w:t>
            </w:r>
            <w:r>
              <w:rPr>
                <w:rFonts w:ascii="仿宋" w:eastAsia="仿宋" w:hAnsi="仿宋" w:cs="仿宋" w:hint="eastAsia"/>
                <w:kern w:val="0"/>
                <w:sz w:val="24"/>
                <w:vertAlign w:val="superscript"/>
              </w:rPr>
              <w:t>2</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运动响应(s)</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俯仰角(0～90</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trHeight w:val="780"/>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p>
            <w:pPr>
              <w:spacing w:line="280" w:lineRule="exact"/>
              <w:jc w:val="center"/>
              <w:rPr>
                <w:rFonts w:ascii="仿宋" w:eastAsia="仿宋" w:hAnsi="仿宋" w:cs="仿宋" w:hint="eastAsia"/>
                <w:kern w:val="0"/>
              </w:rPr>
            </w:pPr>
            <w:r>
              <w:rPr>
                <w:rFonts w:ascii="仿宋" w:eastAsia="仿宋" w:hAnsi="仿宋" w:cs="仿宋" w:hint="eastAsia"/>
                <w:kern w:val="0"/>
                <w:sz w:val="24"/>
              </w:rPr>
              <w:t>(最大转速到停止时间)</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控制字长(bit)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14</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角码数据字长(bit)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14</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trHeight w:val="42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发射系统技术指标</w:t>
            </w:r>
          </w:p>
        </w:tc>
      </w:tr>
      <w:tr>
        <w:tblPrEx>
          <w:tblW w:w="0" w:type="auto"/>
          <w:jc w:val="center"/>
          <w:tblCellMar>
            <w:top w:w="0" w:type="dxa"/>
            <w:left w:w="108" w:type="dxa"/>
            <w:bottom w:w="0" w:type="dxa"/>
            <w:right w:w="108" w:type="dxa"/>
          </w:tblCellMar>
          <w:tblLook w:val="0000"/>
        </w:tblPrEx>
        <w:trPr>
          <w:cantSplit/>
          <w:trHeight w:val="42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工作频率(GHz)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2.7～3.0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68"/>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脉冲重复频率(Hz)</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300～1300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2"/>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300～450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参差脉冲重复频率比</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3/2,4/3,5/4</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4"/>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脉冲宽度(</w:t>
            </w:r>
            <w:r>
              <w:rPr>
                <w:rFonts w:ascii="仿宋" w:eastAsia="仿宋" w:hAnsi="仿宋" w:cs="仿宋" w:hint="eastAsia"/>
                <w:kern w:val="0"/>
                <w:sz w:val="24"/>
              </w:rPr>
              <w:t>μ</w:t>
            </w:r>
            <w:r>
              <w:rPr>
                <w:rFonts w:ascii="仿宋" w:eastAsia="仿宋" w:hAnsi="仿宋" w:cs="仿宋" w:hint="eastAsia"/>
                <w:kern w:val="0"/>
                <w:sz w:val="24"/>
              </w:rPr>
              <w:t>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0.42</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4"/>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0.83</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1.57</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09"/>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4.70</w:t>
            </w:r>
            <w:r>
              <w:rPr>
                <w:rFonts w:ascii="仿宋" w:eastAsia="仿宋" w:hAnsi="仿宋" w:cs="仿宋" w:hint="eastAsia"/>
                <w:kern w:val="0"/>
                <w:sz w:val="24"/>
              </w:rPr>
              <w:t>±</w:t>
            </w:r>
            <w:r>
              <w:rPr>
                <w:rFonts w:ascii="仿宋" w:eastAsia="仿宋" w:hAnsi="仿宋" w:cs="仿宋" w:hint="eastAsia"/>
                <w:kern w:val="0"/>
                <w:sz w:val="24"/>
              </w:rPr>
              <w:t>0.25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5"/>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上升时间(ns)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120～250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5"/>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下降时间(ns)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顶降</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输出峰值功率平均值(kW)</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650</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输出峰值功率波动(dB)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0.3之间</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输出峰值功率波动(dB)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0.4之间</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机内外输出峰值功率最大偏差(dB)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-0.2～0.2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06"/>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谱宽特性</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左频偏(MHz)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-22.95</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距中心频率频谱线衰减量-60dB处</w:t>
            </w:r>
          </w:p>
        </w:tc>
      </w:tr>
      <w:tr>
        <w:tblPrEx>
          <w:tblW w:w="0" w:type="auto"/>
          <w:jc w:val="center"/>
          <w:tblCellMar>
            <w:top w:w="0" w:type="dxa"/>
            <w:left w:w="108" w:type="dxa"/>
            <w:bottom w:w="0" w:type="dxa"/>
            <w:right w:w="108" w:type="dxa"/>
          </w:tblCellMar>
          <w:tblLook w:val="0000"/>
        </w:tblPrEx>
        <w:trPr>
          <w:cantSplit/>
          <w:trHeight w:val="326"/>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右频偏(MHz)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22.95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48"/>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发射机输出端极限改善因子(dB)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58.0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发射机输出端杂噪比(dB)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10.0</w:t>
            </w:r>
          </w:p>
        </w:tc>
        <w:tc>
          <w:tcPr>
            <w:tcW w:w="1746" w:type="dxa"/>
            <w:vAlign w:val="center"/>
          </w:tcPr>
          <w:p>
            <w:pPr>
              <w:spacing w:line="280" w:lineRule="exact"/>
              <w:rPr>
                <w:rFonts w:ascii="仿宋" w:eastAsia="仿宋" w:hAnsi="仿宋" w:cs="仿宋" w:hint="eastAsia"/>
                <w:kern w:val="0"/>
              </w:rPr>
            </w:pPr>
            <w:r>
              <w:rPr>
                <w:rFonts w:ascii="仿宋" w:eastAsia="仿宋" w:hAnsi="仿宋" w:cs="仿宋" w:hint="eastAsia"/>
                <w:kern w:val="0"/>
                <w:sz w:val="24"/>
              </w:rPr>
              <w:t>距离中心频率频谱线60Hz至1/2PRF范围内</w:t>
            </w:r>
          </w:p>
        </w:tc>
      </w:tr>
      <w:tr>
        <w:tblPrEx>
          <w:tblW w:w="0" w:type="auto"/>
          <w:jc w:val="center"/>
          <w:tblCellMar>
            <w:top w:w="0" w:type="dxa"/>
            <w:left w:w="108" w:type="dxa"/>
            <w:bottom w:w="0" w:type="dxa"/>
            <w:right w:w="108" w:type="dxa"/>
          </w:tblCellMar>
          <w:tblLook w:val="0000"/>
        </w:tblPrEx>
        <w:trPr>
          <w:cantSplit/>
          <w:trHeight w:val="428"/>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接收系统技术指标</w:t>
            </w:r>
          </w:p>
        </w:tc>
      </w:tr>
      <w:tr>
        <w:tblPrEx>
          <w:tblW w:w="0" w:type="auto"/>
          <w:jc w:val="center"/>
          <w:tblCellMar>
            <w:top w:w="0" w:type="dxa"/>
            <w:left w:w="108" w:type="dxa"/>
            <w:bottom w:w="0" w:type="dxa"/>
            <w:right w:w="108" w:type="dxa"/>
          </w:tblCellMar>
          <w:tblLook w:val="0000"/>
        </w:tblPrEx>
        <w:trPr>
          <w:cantSplit/>
          <w:trHeight w:val="428"/>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数字中频采样速率(MHz)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48.0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数字中频A/D位数（bit）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16</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2660" w:type="dxa"/>
            <w:gridSpan w:val="8"/>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中频带宽(MHz)</w:t>
            </w: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2.38</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1.20</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0.63</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0.21</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3"/>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接收机噪声系数(dB)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58"/>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双通道噪声系数差异(dB)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机内、机外噪声系数差异(dB)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53"/>
          <w:jc w:val="center"/>
        </w:trPr>
        <w:tc>
          <w:tcPr>
            <w:tcW w:w="2660" w:type="dxa"/>
            <w:gridSpan w:val="8"/>
            <w:vMerge w:val="restart"/>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最小可测功率(dBm)</w:t>
            </w: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-104.0</w:t>
            </w:r>
          </w:p>
        </w:tc>
        <w:tc>
          <w:tcPr>
            <w:tcW w:w="1746" w:type="dxa"/>
            <w:vMerge w:val="restart"/>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w:t>
            </w:r>
          </w:p>
        </w:tc>
      </w:tr>
      <w:tr>
        <w:tblPrEx>
          <w:tblW w:w="0" w:type="auto"/>
          <w:jc w:val="center"/>
          <w:tblCellMar>
            <w:top w:w="0" w:type="dxa"/>
            <w:left w:w="108" w:type="dxa"/>
            <w:bottom w:w="0" w:type="dxa"/>
            <w:right w:w="108" w:type="dxa"/>
          </w:tblCellMar>
          <w:tblLook w:val="0000"/>
        </w:tblPrEx>
        <w:trPr>
          <w:cantSplit/>
          <w:trHeight w:val="347"/>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-107.0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7"/>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-110.0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73"/>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-114.0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频率源射频输出相位噪声(dBc/Hz)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-138.0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10kHz处</w:t>
            </w: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频率源晶振短期(1ms)稳定度</w:t>
            </w:r>
          </w:p>
        </w:tc>
        <w:tc>
          <w:tcPr>
            <w:tcW w:w="2476" w:type="dxa"/>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vertAlign w:val="superscript"/>
              </w:rPr>
              <w:t>-11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20"/>
          <w:jc w:val="center"/>
        </w:trPr>
        <w:tc>
          <w:tcPr>
            <w:tcW w:w="4287" w:type="dxa"/>
            <w:gridSpan w:val="10"/>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接收机线性动态范围(dB)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109</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机外/窄脉冲1</w:t>
            </w: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112</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机外/窄脉冲2</w:t>
            </w: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机外/窄脉冲3</w:t>
            </w:r>
          </w:p>
        </w:tc>
      </w:tr>
      <w:tr>
        <w:tblPrEx>
          <w:tblW w:w="0" w:type="auto"/>
          <w:jc w:val="center"/>
          <w:tblCellMar>
            <w:top w:w="0" w:type="dxa"/>
            <w:left w:w="108" w:type="dxa"/>
            <w:bottom w:w="0" w:type="dxa"/>
            <w:right w:w="108" w:type="dxa"/>
          </w:tblCellMar>
          <w:tblLook w:val="0000"/>
        </w:tblPrEx>
        <w:trPr>
          <w:cantSplit/>
          <w:trHeight w:val="476"/>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89</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机内/窄脉冲1</w:t>
            </w: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92</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机内/窄脉冲2</w:t>
            </w: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95</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机内/窄脉冲3</w:t>
            </w:r>
          </w:p>
        </w:tc>
      </w:tr>
      <w:tr>
        <w:tblPrEx>
          <w:tblW w:w="0" w:type="auto"/>
          <w:jc w:val="center"/>
          <w:tblCellMar>
            <w:top w:w="0" w:type="dxa"/>
            <w:left w:w="108" w:type="dxa"/>
            <w:bottom w:w="0" w:type="dxa"/>
            <w:right w:w="108" w:type="dxa"/>
          </w:tblCellMar>
          <w:tblLook w:val="0000"/>
        </w:tblPrEx>
        <w:trPr>
          <w:cantSplit/>
          <w:trHeight w:val="31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接收机线性动态拟合直线斜率</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1.000</w:t>
            </w:r>
            <w:r>
              <w:rPr>
                <w:rFonts w:ascii="仿宋" w:eastAsia="仿宋" w:hAnsi="仿宋" w:cs="仿宋" w:hint="eastAsia"/>
                <w:kern w:val="0"/>
                <w:sz w:val="24"/>
              </w:rPr>
              <w:t>±</w:t>
            </w:r>
            <w:r>
              <w:rPr>
                <w:rFonts w:ascii="仿宋" w:eastAsia="仿宋" w:hAnsi="仿宋" w:cs="仿宋" w:hint="eastAsia"/>
                <w:kern w:val="0"/>
                <w:sz w:val="24"/>
              </w:rPr>
              <w:t>0.015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r>
      <w:tr>
        <w:tblPrEx>
          <w:tblW w:w="0" w:type="auto"/>
          <w:jc w:val="center"/>
          <w:tblCellMar>
            <w:top w:w="0" w:type="dxa"/>
            <w:left w:w="108" w:type="dxa"/>
            <w:bottom w:w="0" w:type="dxa"/>
            <w:right w:w="108" w:type="dxa"/>
          </w:tblCellMar>
          <w:tblLook w:val="0000"/>
        </w:tblPrEx>
        <w:trPr>
          <w:cantSplit/>
          <w:trHeight w:val="31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接收机线性动态拟合直线均方根误差(dB)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r>
      <w:tr>
        <w:tblPrEx>
          <w:tblW w:w="0" w:type="auto"/>
          <w:jc w:val="center"/>
          <w:tblCellMar>
            <w:top w:w="0" w:type="dxa"/>
            <w:left w:w="108" w:type="dxa"/>
            <w:bottom w:w="0" w:type="dxa"/>
            <w:right w:w="108" w:type="dxa"/>
          </w:tblCellMar>
          <w:tblLook w:val="0000"/>
        </w:tblPrEx>
        <w:trPr>
          <w:trHeight w:val="446"/>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总体技术指标</w:t>
            </w:r>
          </w:p>
        </w:tc>
      </w:tr>
      <w:tr>
        <w:tblPrEx>
          <w:tblW w:w="0" w:type="auto"/>
          <w:jc w:val="center"/>
          <w:tblCellMar>
            <w:top w:w="0" w:type="dxa"/>
            <w:left w:w="108" w:type="dxa"/>
            <w:bottom w:w="0" w:type="dxa"/>
            <w:right w:w="108" w:type="dxa"/>
          </w:tblCellMar>
          <w:tblLook w:val="0000"/>
        </w:tblPrEx>
        <w:trPr>
          <w:trHeight w:val="446"/>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trHeight w:val="349"/>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工作频率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S波段 2.7GHz～3.0GHz范围内可选</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天线扫描范围</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方位角</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0～360</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（无限制）</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俯仰角</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～+90</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（电气及机械限位）</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15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探测距离范围（km）</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盲区</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16"/>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460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5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探测高度（km）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24</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分辨力</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距离(m)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62.5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9"/>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方位角(</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0.01</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俯仰角(</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0.01</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 (dB)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/km)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系统相位噪声(</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系统极限改善因子(dB)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58.0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估算地物对消能力(dB)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实际地物对消能力</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双通道回波强度标定最大误差(dB)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回波强度在线自动标校最大误差(dB)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径向速度测量检验</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径向速度测量最大误差(m/s)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测速范围展宽能力检验(m/s)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速度谱宽测量最大误差(m/s)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双线偏振参数检验</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差分反射率标准差(dB)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差分传播相移标准差(</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测量误差</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距离定位(m)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预热时间(min)</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83"/>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最小可测回波强度(dBZ)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-4.5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1.57</w:t>
            </w:r>
            <w:r>
              <w:rPr>
                <w:rFonts w:ascii="仿宋" w:eastAsia="仿宋" w:hAnsi="仿宋" w:cs="仿宋" w:hint="eastAsia"/>
                <w:kern w:val="0"/>
                <w:sz w:val="24"/>
                <w:szCs w:val="24"/>
                <w:lang w:val="en-US" w:eastAsia="zh-CN" w:bidi="ar-SA"/>
              </w:rPr>
              <w:t>μ</w:t>
            </w:r>
            <w:r>
              <w:rPr>
                <w:rFonts w:ascii="仿宋" w:eastAsia="仿宋" w:hAnsi="仿宋" w:cs="仿宋" w:hint="eastAsia"/>
                <w:kern w:val="0"/>
                <w:sz w:val="24"/>
                <w:szCs w:val="24"/>
                <w:lang w:val="en-US" w:eastAsia="zh-CN" w:bidi="ar-SA"/>
              </w:rPr>
              <w:t>s@ 50km</w:t>
            </w:r>
          </w:p>
        </w:tc>
      </w:tr>
      <w:tr>
        <w:tblPrEx>
          <w:tblW w:w="0" w:type="auto"/>
          <w:jc w:val="center"/>
          <w:tblCellMar>
            <w:top w:w="0" w:type="dxa"/>
            <w:left w:w="108" w:type="dxa"/>
            <w:bottom w:w="0" w:type="dxa"/>
            <w:right w:w="108" w:type="dxa"/>
          </w:tblCellMar>
          <w:tblLook w:val="0000"/>
        </w:tblPrEx>
        <w:trPr>
          <w:cantSplit/>
          <w:trHeight w:val="11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退距离模糊恢复比例</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测量范围</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强度值(dBZ)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-35～80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速度值(m/s)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-48～48</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谱宽值(m/s)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0～16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-7.9～7.9</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36"/>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0～360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2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/km)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-44～6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37"/>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可靠性</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MTBF(h)</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6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方位齿轮轴承(a)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a</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表示</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年</w:t>
            </w:r>
            <w:r>
              <w:rPr>
                <w:rFonts w:ascii="仿宋" w:eastAsia="仿宋" w:hAnsi="仿宋" w:cs="仿宋" w:hint="eastAsia"/>
                <w:kern w:val="0"/>
                <w:sz w:val="24"/>
                <w:szCs w:val="24"/>
                <w:lang w:val="en-US" w:eastAsia="zh-CN" w:bidi="ar-SA"/>
              </w:rPr>
              <w:t>”</w:t>
            </w:r>
          </w:p>
        </w:tc>
      </w:tr>
      <w:tr>
        <w:tblPrEx>
          <w:tblW w:w="0" w:type="auto"/>
          <w:jc w:val="center"/>
          <w:tblCellMar>
            <w:top w:w="0" w:type="dxa"/>
            <w:left w:w="108" w:type="dxa"/>
            <w:bottom w:w="0" w:type="dxa"/>
            <w:right w:w="108" w:type="dxa"/>
          </w:tblCellMar>
          <w:tblLook w:val="0000"/>
        </w:tblPrEx>
        <w:trPr>
          <w:cantSplit/>
          <w:trHeight w:val="10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俯仰齿轮轴承(a)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0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汇流环(a)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8</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7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速调管(h)</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30000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7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功耗(kW)</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输出参数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Z、V、W、ZDR、</w:t>
            </w:r>
            <w:r>
              <w:rPr>
                <w:rFonts w:ascii="仿宋" w:eastAsia="仿宋" w:hAnsi="仿宋" w:cs="仿宋" w:hint="eastAsia"/>
                <w:kern w:val="0"/>
                <w:sz w:val="24"/>
                <w:szCs w:val="24"/>
                <w:lang w:val="en-US" w:eastAsia="zh-CN" w:bidi="ar-SA"/>
              </w:rPr>
              <w:t>Φ</w:t>
            </w:r>
            <w:r>
              <w:rPr>
                <w:rFonts w:ascii="仿宋" w:eastAsia="仿宋" w:hAnsi="仿宋" w:cs="仿宋" w:hint="eastAsia"/>
                <w:kern w:val="0"/>
                <w:sz w:val="24"/>
                <w:szCs w:val="24"/>
                <w:lang w:val="en-US" w:eastAsia="zh-CN" w:bidi="ar-SA"/>
              </w:rPr>
              <w:t>DP、KDP、</w:t>
            </w:r>
            <w:r>
              <w:rPr>
                <w:rFonts w:ascii="仿宋" w:eastAsia="仿宋" w:hAnsi="仿宋" w:cs="仿宋" w:hint="eastAsia"/>
                <w:kern w:val="0"/>
                <w:sz w:val="24"/>
                <w:szCs w:val="24"/>
                <w:lang w:val="en-US" w:eastAsia="zh-CN" w:bidi="ar-SA"/>
              </w:rPr>
              <w:t>ρ</w:t>
            </w:r>
            <w:r>
              <w:rPr>
                <w:rFonts w:ascii="仿宋" w:eastAsia="仿宋" w:hAnsi="仿宋" w:cs="仿宋" w:hint="eastAsia"/>
                <w:kern w:val="0"/>
                <w:sz w:val="24"/>
                <w:szCs w:val="24"/>
                <w:lang w:val="en-US" w:eastAsia="zh-CN" w:bidi="ar-SA"/>
              </w:rPr>
              <w:t>HV、LDR、 SNR</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bl>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1、中标方需提供详细技术服务方案，包括但不限于：设备安装建设规范、设备工作原理、设备部件结构组成、设备操作手册、设备运行维护手册、设备软件使用手册、相关产品算法说明文档等。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2、中标方需提供详细售后服务方案，包括设备售后服务组织机构、人员组成、技术支持文档等。其中，售后服务组织机构设置合理，人员技术能力强，技术文档内容全面。</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（1）中标方在汛期开始前按照招标方技术服务合同等相关要求完成汛前巡检并提供巡检报告，巡检过程中查出的故障和隐患要及时处理解决并形成过程中的详细记录。</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主汛期间若雷达出现故障(雷达无法正常运行),中标方应根据招标方反馈信息通过电话进行指导，若用户4小时无法排除，中标方应在12小时内派出技术人员赶赴现场并通报用户，在24小时内携带相应器件赶到现场，进行维修服务，实际交通不能满足24小时内到达的，中标方应在48小时内携带相应器件赶到现场，进行维修服务。</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（3）非汛期对招标方反馈的雷达故障信息，中标方应在24小时内派出技术人员赶赴现场，需要相关备件应在48小时内携带相应器件赶到现场，进行维修服务。</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w:t>
      </w:r>
      <w:r>
        <w:rPr>
          <w:rFonts w:ascii="仿宋" w:eastAsia="仿宋" w:hAnsi="仿宋" w:cs="仿宋" w:hint="eastAsia"/>
          <w:b/>
          <w:bCs/>
          <w:sz w:val="28"/>
          <w:szCs w:val="20"/>
        </w:rPr>
        <w:t>质保期服务要求</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从雷达验收合格交付用户使用之日起，雷达系统质保期8年*。</w:t>
      </w:r>
      <w:r>
        <w:rPr>
          <w:rFonts w:ascii="仿宋" w:eastAsia="仿宋" w:hAnsi="仿宋" w:cs="仿宋" w:hint="eastAsia"/>
          <w:sz w:val="28"/>
          <w:szCs w:val="20"/>
        </w:rPr>
        <w:t>中标方按照业务运行规范要求执行，确保设备可稳定运行，主要工作包括：汛前巡检（定标）以及雷达系统故障维修等。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完成新一代天气雷达建设、安装、调试工作后，依据《综合观测司关于印发S波段和C波段双线偏振多普勒天气雷达测试大纲的通知》（气测函〔2023〕73号）技术要求及新一代天气雷达系统采购合同执行。雷达出厂测试、现场安装后测试、业务运行准入测试等通过后，按照《综合观测司关于推进雷达工程项目业务验收工作的通知》（气测函〔2022〕121号）等流程要求，组织完成项目业务验收。</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测试期间中标方必须在招标方代表参加的情况下，在公司测试环境里验证相关的硬件和软件能够完全正确运行并满足验收方案要求和技术指标，开展系统功能与系统运行稳定性检验，并形成设备出厂测试报告。如果未能通过出厂测试，将延期重新进行，由此增加的一切费用由中标方承担。</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现场安装后测试应在招标方指定的建设场地对设备进行安装、调试及测试后，在招标方代表参加的情况下，依据验收方案中相关要求和测试大纲进行现场测试并形成现场安装后测试报告。如果未能通过现场安装后测试，将延期重新进行，由此增加的一切费用由中标方承担。</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通过3个月试运行后，中标方配合招标方开展业务运行准入测试，在招标方代表参加的情况下，依据验收方案中相关要求和测试大纲进行业务运行准入测试并形成测试报告。如果未能通过现场测试，将延期重新进行，由此增加的一切费用由中标方承担。</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sectPr>
          <w:footerReference w:type="even" r:id="rId8"/>
          <w:footerReference w:type="default" r:id="rId9"/>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outlineLvl w:val="9"/>
        <w:rPr>
          <w:rFonts w:ascii="Times New Roman" w:hAnsi="Times New Roman" w:hint="default"/>
          <w:bCs w:val="0"/>
          <w:snapToGrid/>
        </w:rPr>
      </w:pPr>
      <w:r>
        <w:rPr>
          <w:rFonts w:ascii="仿宋" w:eastAsia="仿宋" w:hAnsi="仿宋" w:cs="仿宋" w:hint="eastAsia"/>
          <w:sz w:val="28"/>
          <w:szCs w:val="20"/>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37"/>
        <w:gridCol w:w="1230"/>
        <w:gridCol w:w="881"/>
        <w:gridCol w:w="1225"/>
        <w:gridCol w:w="1396"/>
        <w:gridCol w:w="881"/>
        <w:gridCol w:w="2411"/>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0" w:name="货物一览表_index"/>
            <w:r>
              <w:rPr>
                <w:rFonts w:asciiTheme="minorEastAsia" w:eastAsiaTheme="minorEastAsia" w:hAnsiTheme="minorEastAsia" w:cstheme="minorEastAsia" w:hint="eastAsia"/>
                <w:kern w:val="0"/>
                <w:szCs w:val="21"/>
              </w:rPr>
              <w:t>序号</w:t>
            </w:r>
            <w:bookmarkEnd w:id="50"/>
          </w:p>
        </w:tc>
        <w:tc>
          <w:tcPr>
            <w:tcW w:w="1135" w:type="dxa"/>
          </w:tcPr>
          <w:p w14:paraId="6B7F00AC">
            <w:pPr>
              <w:autoSpaceDE w:val="0"/>
              <w:jc w:val="center"/>
              <w:rPr>
                <w:rFonts w:asciiTheme="minorEastAsia" w:hAnsiTheme="minorEastAsia" w:cstheme="minorEastAsia"/>
                <w:kern w:val="0"/>
                <w:szCs w:val="21"/>
              </w:rPr>
            </w:pPr>
            <w:bookmarkStart w:id="51" w:name="货物一览表_goodsName"/>
            <w:r>
              <w:rPr>
                <w:rFonts w:asciiTheme="minorEastAsia" w:eastAsiaTheme="minorEastAsia" w:hAnsiTheme="minorEastAsia" w:cstheme="minorEastAsia" w:hint="eastAsia"/>
                <w:kern w:val="0"/>
                <w:szCs w:val="21"/>
              </w:rPr>
              <w:t>设备名称</w:t>
            </w:r>
            <w:bookmarkEnd w:id="51"/>
          </w:p>
        </w:tc>
        <w:tc>
          <w:tcPr>
            <w:tcW w:w="965" w:type="dxa"/>
          </w:tcPr>
          <w:p w14:paraId="7B8390AF">
            <w:pPr>
              <w:autoSpaceDE w:val="0"/>
              <w:jc w:val="center"/>
              <w:rPr>
                <w:rFonts w:asciiTheme="minorEastAsia" w:hAnsiTheme="minorEastAsia" w:cstheme="minorEastAsia"/>
                <w:kern w:val="0"/>
                <w:szCs w:val="21"/>
              </w:rPr>
            </w:pPr>
            <w:bookmarkStart w:id="52" w:name="货物一览表_nums"/>
            <w:r>
              <w:rPr>
                <w:rFonts w:asciiTheme="minorEastAsia" w:eastAsiaTheme="minorEastAsia" w:hAnsiTheme="minorEastAsia" w:cstheme="minorEastAsia" w:hint="eastAsia"/>
                <w:kern w:val="0"/>
                <w:szCs w:val="21"/>
              </w:rPr>
              <w:t>采购数量</w:t>
            </w:r>
            <w:bookmarkEnd w:id="52"/>
          </w:p>
        </w:tc>
        <w:tc>
          <w:tcPr>
            <w:tcW w:w="1062" w:type="dxa"/>
          </w:tcPr>
          <w:p w14:paraId="72F33D6D">
            <w:pPr>
              <w:autoSpaceDE w:val="0"/>
              <w:jc w:val="center"/>
              <w:rPr>
                <w:rFonts w:asciiTheme="minorEastAsia" w:hAnsiTheme="minorEastAsia" w:cstheme="minorEastAsia"/>
                <w:kern w:val="0"/>
                <w:szCs w:val="21"/>
              </w:rPr>
            </w:pPr>
            <w:bookmarkStart w:id="53" w:name="货物一览表_units"/>
            <w:r>
              <w:rPr>
                <w:rFonts w:asciiTheme="minorEastAsia" w:eastAsiaTheme="minorEastAsia" w:hAnsiTheme="minorEastAsia" w:cstheme="minorEastAsia" w:hint="eastAsia"/>
                <w:kern w:val="0"/>
                <w:szCs w:val="21"/>
              </w:rPr>
              <w:t>计量单位</w:t>
            </w:r>
            <w:bookmarkEnd w:id="53"/>
          </w:p>
        </w:tc>
        <w:tc>
          <w:tcPr>
            <w:tcW w:w="1220" w:type="dxa"/>
          </w:tcPr>
          <w:p w14:paraId="24892D20">
            <w:pPr>
              <w:autoSpaceDE w:val="0"/>
              <w:jc w:val="center"/>
              <w:rPr>
                <w:rFonts w:asciiTheme="minorEastAsia" w:hAnsiTheme="minorEastAsia" w:cstheme="minorEastAsia"/>
                <w:kern w:val="0"/>
                <w:szCs w:val="21"/>
              </w:rPr>
            </w:pPr>
            <w:bookmarkStart w:id="54" w:name="货物一览表_procurementBudget"/>
            <w:r>
              <w:rPr>
                <w:rFonts w:asciiTheme="minorEastAsia" w:eastAsiaTheme="minorEastAsia" w:hAnsiTheme="minorEastAsia" w:cstheme="minorEastAsia" w:hint="eastAsia"/>
                <w:kern w:val="0"/>
                <w:szCs w:val="21"/>
              </w:rPr>
              <w:t>采购预算（元）</w:t>
            </w:r>
            <w:bookmarkEnd w:id="54"/>
          </w:p>
        </w:tc>
        <w:tc>
          <w:tcPr>
            <w:tcW w:w="1329" w:type="dxa"/>
          </w:tcPr>
          <w:p w14:paraId="27138270">
            <w:pPr>
              <w:autoSpaceDE w:val="0"/>
              <w:jc w:val="center"/>
              <w:rPr>
                <w:rFonts w:asciiTheme="minorEastAsia" w:hAnsiTheme="minorEastAsia" w:cstheme="minorEastAsia" w:hint="eastAsia"/>
                <w:kern w:val="0"/>
                <w:szCs w:val="21"/>
              </w:rPr>
            </w:pPr>
            <w:bookmarkStart w:id="5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6" w:name="货物一览表_remark"/>
            <w:r>
              <w:rPr>
                <w:rFonts w:asciiTheme="minorEastAsia" w:eastAsiaTheme="minorEastAsia" w:hAnsiTheme="minorEastAsia" w:cstheme="minorEastAsia" w:hint="eastAsia"/>
                <w:kern w:val="0"/>
                <w:szCs w:val="21"/>
              </w:rPr>
              <w:t>备注</w:t>
            </w:r>
            <w:bookmarkEnd w:id="5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S波段新一代天气雷达系统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14,500,000.00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采购1部S波段新一代天气雷达</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14,500,000.00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60"/>
        <w:gridCol w:w="885"/>
        <w:gridCol w:w="596"/>
        <w:gridCol w:w="260"/>
        <w:gridCol w:w="593"/>
        <w:gridCol w:w="536"/>
        <w:gridCol w:w="843"/>
        <w:gridCol w:w="454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数据中心(001016051)</w:t>
            </w:r>
          </w:p>
        </w:tc>
        <w:tc>
          <w:tcPr/>
          <w:p>
            <w:r>
              <w:t>S波段新一代天气雷达系统</w:t>
            </w:r>
          </w:p>
        </w:tc>
        <w:tc>
          <w:tcPr/>
          <w:p>
            <w:r>
              <w:t>1</w:t>
            </w:r>
          </w:p>
        </w:tc>
        <w:tc>
          <w:tcPr/>
          <w:p>
            <w:r>
              <w:t>14500000.00</w:t>
            </w:r>
          </w:p>
        </w:tc>
        <w:tc>
          <w:tcPr/>
          <w:p>
            <w:r>
              <w:t xml:space="preserve">14500000.00  </w:t>
            </w:r>
          </w:p>
        </w:tc>
        <w:tc>
          <w:tcPr/>
          <w:p>
            <w:r>
              <w:t>四川省凉山州普格县</w:t>
            </w:r>
          </w:p>
        </w:tc>
        <w:tc>
          <w:tcPr/>
          <w:p>
            <w:r>
              <w:t>四川省气象探测数据中心（四川省气象技术装备中心、四川省气象档案馆）；陈中钰；18010521893；雷达主机设备1450万</w:t>
            </w:r>
          </w:p>
        </w:tc>
      </w:tr>
    </w:tbl>
    <w:p w:rsidR="00A77B3E"/>
    <w:p w14:paraId="51954372">
      <w:pPr>
        <w:spacing w:line="360" w:lineRule="auto"/>
        <w:rPr>
          <w:rFonts w:ascii="宋体" w:hAnsi="宋体"/>
          <w:szCs w:val="21"/>
        </w:rPr>
      </w:pPr>
      <w:bookmarkEnd w:id="5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DE33CD" w14:paraId="418AFB45" w14:textId="7777777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DE33CD" w14:paraId="7F6DB9E3" w14:textId="7777777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DE33CD" w14:paraId="5DE94F7A" w14:textId="77777777">
      <w:pPr>
        <w:ind w:firstLine="560" w:firstLineChars="200"/>
        <w:rPr>
          <w:rFonts w:ascii="仿宋" w:eastAsia="仿宋" w:hAnsi="仿宋" w:cs="仿宋"/>
          <w:sz w:val="28"/>
          <w:szCs w:val="20"/>
        </w:rPr>
      </w:pPr>
      <w:r>
        <w:rPr>
          <w:rFonts w:ascii="仿宋" w:eastAsia="仿宋" w:hAnsi="仿宋" w:cs="仿宋" w:hint="eastAsia"/>
          <w:sz w:val="28"/>
          <w:szCs w:val="20"/>
        </w:rPr>
        <w:t>采购人可根据需要对项目概况、项目目标以及与前期项目的关系进行介绍，以使投标人更清晰地了解项目的总体要求和相关信息。</w:t>
      </w:r>
    </w:p>
    <w:p w:rsidR="00DE33CD" w14:paraId="40B7F1CF"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DE33CD" w14:paraId="66B7419E"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w:t>
      </w:r>
      <w:r>
        <w:rPr>
          <w:rFonts w:ascii="仿宋" w:eastAsia="仿宋" w:hAnsi="仿宋" w:cs="仿宋" w:hint="eastAsia"/>
          <w:sz w:val="28"/>
          <w:szCs w:val="20"/>
        </w:rPr>
        <w:t>术能力强，技术文档内容全面。</w:t>
      </w:r>
    </w:p>
    <w:p w:rsidR="00DE33CD" w14:paraId="1583050D"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DE33CD" w14:paraId="2315C892" w14:textId="7777777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DE33CD" w14:paraId="3BA163B4"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8</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15</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DE33CD" w14:paraId="25222842"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DE33CD" w14:paraId="728221D3" w14:textId="77777777">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rPr>
        <w:t>四川省凉山州普格县</w:t>
      </w:r>
      <w:r>
        <w:rPr>
          <w:rFonts w:ascii="仿宋" w:eastAsia="仿宋" w:hAnsi="仿宋" w:cs="仿宋" w:hint="eastAsia"/>
          <w:sz w:val="28"/>
          <w:szCs w:val="20"/>
        </w:rPr>
        <w:t>（运输相关费用由供应商负责），并负责安装调试。</w:t>
      </w:r>
    </w:p>
    <w:p w:rsidR="00DE33CD" w14:paraId="16B53586" w14:textId="77777777">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18</w:t>
      </w:r>
      <w:r>
        <w:rPr>
          <w:rFonts w:ascii="仿宋" w:eastAsia="仿宋" w:hAnsi="仿宋" w:cs="仿宋" w:hint="eastAsia"/>
          <w:sz w:val="28"/>
          <w:szCs w:val="20"/>
        </w:rPr>
        <w:t>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DE33CD" w14:paraId="4565892B" w14:textId="7777777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w:t>
      </w:r>
      <w:r>
        <w:rPr>
          <w:rFonts w:ascii="仿宋" w:eastAsia="仿宋" w:hAnsi="仿宋" w:cs="仿宋" w:hint="eastAsia"/>
          <w:sz w:val="28"/>
          <w:szCs w:val="20"/>
        </w:rPr>
        <w:t>人员的，可提供聘用合同）。</w:t>
      </w:r>
    </w:p>
    <w:p w:rsidR="00DE33CD" w14:paraId="0CEB6874"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DE33CD" w14:paraId="00465C61" w14:textId="77777777">
      <w:pPr>
        <w:ind w:firstLine="560" w:firstLineChars="200"/>
        <w:rPr>
          <w:rFonts w:ascii="仿宋" w:eastAsia="仿宋" w:hAnsi="仿宋" w:cs="仿宋"/>
          <w:sz w:val="28"/>
          <w:szCs w:val="20"/>
        </w:rPr>
      </w:pPr>
      <w:r>
        <w:rPr>
          <w:rFonts w:ascii="仿宋" w:eastAsia="仿宋" w:hAnsi="仿宋" w:cs="仿宋" w:hint="eastAsia"/>
          <w:sz w:val="28"/>
          <w:szCs w:val="20"/>
        </w:rPr>
        <w:t>投标产品硬件需兼容性强，投标人对台站现有的运行设备型号有较强的兼容性，设备数据传输模式、数据格式、数据通讯协议满足国家</w:t>
      </w:r>
      <w:r>
        <w:rPr>
          <w:rFonts w:ascii="仿宋" w:eastAsia="仿宋" w:hAnsi="仿宋" w:cs="仿宋" w:hint="eastAsia"/>
          <w:sz w:val="28"/>
          <w:szCs w:val="20"/>
        </w:rPr>
        <w:t>气象</w:t>
      </w:r>
      <w:r>
        <w:rPr>
          <w:rFonts w:ascii="仿宋" w:eastAsia="仿宋" w:hAnsi="仿宋" w:cs="仿宋" w:hint="eastAsia"/>
          <w:sz w:val="28"/>
          <w:szCs w:val="20"/>
        </w:rPr>
        <w:t>局下发相关要求，设备观测数据完全符合甲方相关要求和规范，保证其系统的兼容性和功能的完整性。</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14:paraId="6262D8D5">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58" w:name="投标被拒绝条款专用部分_JJTK"/>
      <w:r>
        <w:rPr>
          <w:rFonts w:ascii="Times New Roman" w:eastAsia="宋体" w:hAnsi="Times New Roman" w:cs="Times New Roman" w:hint="eastAsia"/>
          <w:b/>
          <w:sz w:val="30"/>
          <w:szCs w:val="30"/>
        </w:rPr>
        <w:t>第七章  响应被拒绝条款专用部分</w:t>
      </w:r>
    </w:p>
    <w:p w14:paraId="0FEE3C9A">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以外，其它内容均不得在协商中作为拒绝响应的条件。下表具体内容以采购中心编制的采购文件为准。响应人若不符合下表任何要求之一的，将导致响应被拒绝。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3382700C">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6961423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7522C9CE">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C2B97E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1C14D17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D3F6B4B">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41715D9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02DE1C2">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3FB88D69">
            <w:pPr>
              <w:numPr>
                <w:ilvl w:val="0"/>
                <w:numId w:val="11"/>
              </w:numPr>
              <w:rPr>
                <w:rFonts w:ascii="宋体" w:eastAsia="宋体" w:hAnsi="宋体" w:cs="Times New Roman"/>
                <w:sz w:val="18"/>
                <w:szCs w:val="18"/>
              </w:rPr>
            </w:pPr>
          </w:p>
        </w:tc>
        <w:tc>
          <w:tcPr>
            <w:tcW w:w="898" w:type="dxa"/>
            <w:vAlign w:val="center"/>
          </w:tcPr>
          <w:p w14:paraId="73FF3185">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7DF9097A">
            <w:pPr>
              <w:tabs>
                <w:tab w:val="left" w:pos="709"/>
              </w:tabs>
              <w:spacing w:line="360" w:lineRule="auto"/>
              <w:jc w:val="left"/>
              <w:rPr>
                <w:rFonts w:ascii="宋体" w:eastAsia="宋体" w:hAnsi="宋体" w:cs="微软雅黑"/>
                <w:b/>
                <w:color w:val="0000FF"/>
                <w:kern w:val="0"/>
                <w:sz w:val="18"/>
                <w:szCs w:val="18"/>
              </w:rPr>
            </w:pPr>
            <w:r>
              <w:rPr>
                <w:rFonts w:ascii="宋体" w:hAnsi="宋体" w:cs="微软雅黑" w:hint="eastAsia"/>
                <w:b/>
                <w:color w:val="0000FF"/>
                <w:kern w:val="0"/>
                <w:sz w:val="18"/>
                <w:szCs w:val="18"/>
                <w:highlight w:val="none"/>
              </w:rPr>
              <w:t>投标人应具有以下到投标截止日仍在有效期内的资质：1、</w:t>
            </w:r>
            <w:r>
              <w:rPr>
                <w:rFonts w:ascii="宋体" w:hAnsi="宋体" w:cs="微软雅黑" w:hint="eastAsia"/>
                <w:b/>
                <w:color w:val="0000FF"/>
                <w:kern w:val="0"/>
                <w:sz w:val="18"/>
                <w:szCs w:val="18"/>
                <w:highlight w:val="none"/>
                <w:lang w:val="en-US" w:eastAsia="zh-CN"/>
              </w:rPr>
              <w:t>S波段双线偏振多普勒天气雷达气象专用技术装备使用许可证。</w:t>
            </w:r>
          </w:p>
        </w:tc>
      </w:tr>
      <w:tr w14:paraId="7FA29F71">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7C62835E">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276A8DC2">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08ABE6D7">
            <w:pPr>
              <w:numPr>
                <w:ilvl w:val="0"/>
                <w:numId w:val="11"/>
              </w:numPr>
              <w:rPr>
                <w:rFonts w:ascii="宋体" w:eastAsia="宋体" w:hAnsi="宋体" w:cs="Times New Roman"/>
                <w:sz w:val="18"/>
                <w:szCs w:val="18"/>
              </w:rPr>
            </w:pPr>
          </w:p>
        </w:tc>
        <w:tc>
          <w:tcPr>
            <w:tcW w:w="898" w:type="dxa"/>
            <w:vAlign w:val="center"/>
          </w:tcPr>
          <w:p w14:paraId="506C10F3">
            <w:pPr>
              <w:jc w:val="center"/>
              <w:rPr>
                <w:rFonts w:ascii="宋体" w:eastAsia="宋体" w:hAnsi="宋体" w:cs="Times New Roman"/>
                <w:sz w:val="18"/>
                <w:szCs w:val="18"/>
              </w:rPr>
            </w:pPr>
            <w:r>
              <w:rPr>
                <w:rFonts w:ascii="宋体" w:hAnsi="宋体" w:hint="eastAsia"/>
                <w:sz w:val="18"/>
                <w:szCs w:val="18"/>
                <w:highlight w:val="none"/>
                <w:lang w:val="en-US" w:eastAsia="zh-CN"/>
              </w:rPr>
              <w:t>4.3质保服务要求</w:t>
            </w:r>
          </w:p>
        </w:tc>
        <w:tc>
          <w:tcPr>
            <w:tcW w:w="7347" w:type="dxa"/>
            <w:vAlign w:val="center"/>
          </w:tcPr>
          <w:p w14:paraId="59258E38">
            <w:pPr>
              <w:tabs>
                <w:tab w:val="left" w:pos="709"/>
              </w:tabs>
              <w:spacing w:line="360" w:lineRule="auto"/>
              <w:jc w:val="left"/>
              <w:rPr>
                <w:rFonts w:ascii="宋体" w:eastAsia="宋体" w:hAnsi="宋体" w:cs="Times New Roman"/>
                <w:sz w:val="18"/>
                <w:szCs w:val="18"/>
              </w:rPr>
            </w:pPr>
            <w:r>
              <w:rPr>
                <w:rFonts w:ascii="宋体" w:hAnsi="宋体" w:cs="微软雅黑" w:hint="eastAsia"/>
                <w:b/>
                <w:color w:val="0000FF"/>
                <w:kern w:val="0"/>
                <w:sz w:val="18"/>
                <w:szCs w:val="18"/>
                <w:highlight w:val="none"/>
                <w:lang w:val="en-US" w:eastAsia="zh-CN"/>
              </w:rPr>
              <w:t>从雷达验收合格交付用户使用之日起，雷达系统质保期8年，中标方按照业务运行规范要求执行，确保设备可稳定运行，主要工作包括：汛前巡检（定标）以及雷达系统故障维修等。</w:t>
            </w:r>
          </w:p>
        </w:tc>
      </w:tr>
    </w:tbl>
    <w:p w14:paraId="0B6B7839">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B4AD5AF"/>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10"/>
          <w:footerReference w:type="default" r:id="rId11"/>
          <w:pgSz w:w="11906" w:h="16838"/>
          <w:pgMar w:top="1440" w:right="1800" w:bottom="1440" w:left="1800" w:header="851" w:footer="992" w:gutter="0"/>
          <w:cols w:num="1" w:space="425"/>
          <w:docGrid w:type="lines" w:linePitch="312" w:charSpace="0"/>
        </w:sectPr>
      </w:pPr>
      <w:bookmarkEnd w:id="58"/>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14:paraId="086355A9">
      <w:pPr>
        <w:spacing w:line="360" w:lineRule="auto"/>
        <w:ind w:firstLine="3066" w:firstLineChars="1460"/>
        <w:jc w:val="left"/>
        <w:rPr>
          <w:rFonts w:ascii="Times New Roman" w:eastAsia="宋体" w:hAnsi="Times New Roman" w:cs="Times New Roman"/>
          <w:b/>
          <w:bCs/>
          <w:szCs w:val="21"/>
        </w:rPr>
      </w:pPr>
      <w:bookmarkStart w:id="59" w:name="采购公告合同部分_ZBGGHT"/>
      <w:r>
        <w:rPr>
          <w:rFonts w:ascii="Times New Roman" w:eastAsia="宋体" w:hAnsi="Times New Roman" w:cs="Times New Roman" w:hint="eastAsia"/>
          <w:b/>
          <w:bCs/>
          <w:szCs w:val="21"/>
        </w:rPr>
        <w:t>第八章  采购合同</w:t>
      </w:r>
    </w:p>
    <w:p w14:paraId="4C57B1C9">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14:paraId="7A8887F6">
      <w:pPr>
        <w:widowControl/>
        <w:jc w:val="center"/>
        <w:rPr>
          <w:rFonts w:ascii="宋体" w:eastAsia="微软雅黑" w:hAnsi="宋体" w:cs="宋体"/>
          <w:b/>
          <w:bCs/>
          <w:color w:val="595959"/>
          <w:spacing w:val="-20"/>
          <w:kern w:val="44"/>
          <w:sz w:val="48"/>
          <w:szCs w:val="48"/>
          <w:lang w:val="zh-CN"/>
        </w:rPr>
      </w:pPr>
    </w:p>
    <w:p w14:paraId="2737B50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4230CAE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7C5B1E99">
      <w:pPr>
        <w:rPr>
          <w:rFonts w:ascii="宋体" w:eastAsia="宋体" w:hAnsi="宋体" w:cs="宋体"/>
          <w:b/>
          <w:bCs/>
          <w:spacing w:val="-20"/>
          <w:kern w:val="44"/>
          <w:sz w:val="40"/>
          <w:szCs w:val="40"/>
        </w:rPr>
      </w:pPr>
    </w:p>
    <w:p w14:paraId="05FC6CAD">
      <w:pPr>
        <w:rPr>
          <w:rFonts w:ascii="宋体" w:eastAsia="宋体" w:hAnsi="宋体" w:cs="宋体"/>
          <w:b/>
          <w:bCs/>
          <w:spacing w:val="-20"/>
          <w:kern w:val="44"/>
          <w:sz w:val="40"/>
          <w:szCs w:val="40"/>
        </w:rPr>
      </w:pPr>
    </w:p>
    <w:p w14:paraId="62F0F2C2">
      <w:pPr>
        <w:rPr>
          <w:rFonts w:ascii="宋体" w:eastAsia="宋体" w:hAnsi="宋体" w:cs="宋体"/>
          <w:b/>
          <w:bCs/>
          <w:spacing w:val="-20"/>
          <w:kern w:val="44"/>
          <w:sz w:val="40"/>
          <w:szCs w:val="40"/>
        </w:rPr>
      </w:pPr>
    </w:p>
    <w:p w14:paraId="560577B0">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79EABEF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17AB1E02">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0E9530B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73BE82FB">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424F4C3F">
      <w:pPr>
        <w:rPr>
          <w:rFonts w:ascii="Times New Roman" w:eastAsia="宋体" w:hAnsi="Times New Roman" w:cs="Times New Roman"/>
          <w:szCs w:val="20"/>
        </w:rPr>
      </w:pPr>
    </w:p>
    <w:p w14:paraId="0A4366FB">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050552AA">
      <w:pPr>
        <w:rPr>
          <w:rFonts w:ascii="Times New Roman" w:eastAsia="黑体" w:hAnsi="Times New Roman" w:cs="Times New Roman"/>
          <w:sz w:val="44"/>
          <w:szCs w:val="44"/>
        </w:rPr>
      </w:pPr>
    </w:p>
    <w:p w14:paraId="4B1FABD1">
      <w:pPr>
        <w:rPr>
          <w:rFonts w:ascii="Times New Roman" w:eastAsia="黑体" w:hAnsi="Times New Roman" w:cs="Times New Roman"/>
          <w:sz w:val="44"/>
          <w:szCs w:val="44"/>
        </w:rPr>
      </w:pPr>
    </w:p>
    <w:p w14:paraId="6B9FB279">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3A575B3D">
      <w:pPr>
        <w:ind w:firstLine="640" w:firstLineChars="200"/>
        <w:rPr>
          <w:rFonts w:ascii="仿宋_GB2312" w:eastAsia="仿宋_GB2312" w:hAnsi="仿宋_GB2312" w:cs="仿宋_GB2312"/>
          <w:sz w:val="32"/>
          <w:szCs w:val="32"/>
        </w:rPr>
      </w:pPr>
    </w:p>
    <w:p w14:paraId="31A9BFD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BDE409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5F255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1F57E485">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176EBF01">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0"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0"/>
    </w:p>
    <w:p w14:paraId="1B2696C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4372D571">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7E54153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EB8A86B">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7A87AF7">
      <w:pPr>
        <w:spacing w:line="400" w:lineRule="exact"/>
        <w:rPr>
          <w:rFonts w:ascii="Times New Roman" w:eastAsia="宋体" w:hAnsi="Times New Roman" w:cs="Times New Roman"/>
          <w:szCs w:val="20"/>
        </w:rPr>
      </w:pPr>
    </w:p>
    <w:p w14:paraId="025CA8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14C00A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7F58C1">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4255DC68">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752DF3B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57E833E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476D1C8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06240CC1">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5B0E5035">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03FD31A1">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06E35D2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09FF2396">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062620CB">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624E3DD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1ABC334B">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4F35D2E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3ED98348">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5277D541">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3F20CB3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49CBC485">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22E8ACA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46D81834">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1C54AB55">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A5AE018">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6F676EDB">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DACBA63">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FF787AB">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4BE5D45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16371F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072254E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08B8AEAD">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5892D30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6F16E839">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74E4510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0AD964B">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02FABEDC">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0F743E64">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1349141F">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4B2F1E19">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18A381D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E9817F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DE0E30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357036D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2E0A682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4851AE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06CE353C">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690EA5D9">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D4F30B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AE69BC1">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71507633">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7FE7A532">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0F6A4B5">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02B530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2563D0D4">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2EF90DED">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C6524C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781299D">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6FC1238">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4016DB93">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CBE7B63">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2D965399">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46984E0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46D73305">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086BC0E8">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518CF383">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1</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签订合同后，甲方向乙方支付合同总额的90%；（2）现场验收后，甲方向乙方支付合同总额的10%</w:t>
      </w:r>
      <w:r>
        <w:rPr>
          <w:rFonts w:ascii="宋体" w:eastAsia="宋体" w:hAnsi="宋体" w:cs="Times New Roman" w:hint="eastAsia"/>
          <w:szCs w:val="21"/>
          <w:u w:val="single"/>
        </w:rPr>
        <w:t xml:space="preserve">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14:paraId="34B79959">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146A2C2B">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7310645">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6479F176">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BF4B249">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AA0142F">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4B65786A">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履约保函</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14:paraId="63F89940">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合同总价5%</w:t>
      </w:r>
      <w:r>
        <w:rPr>
          <w:rFonts w:ascii="宋体" w:eastAsia="宋体" w:hAnsi="宋体" w:cs="宋体" w:hint="eastAsia"/>
          <w:bCs/>
          <w:sz w:val="21"/>
          <w:highlight w:val="none"/>
          <w:u w:val="single"/>
        </w:rPr>
        <w:t xml:space="preserve">               </w:t>
      </w:r>
    </w:p>
    <w:p w14:paraId="40F291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业务验收起96月</w:t>
      </w:r>
      <w:r>
        <w:rPr>
          <w:rFonts w:ascii="宋体" w:hAnsi="宋体" w:cs="宋体" w:hint="eastAsia"/>
          <w:bCs/>
          <w:szCs w:val="21"/>
          <w:highlight w:val="none"/>
          <w:u w:val="single"/>
        </w:rPr>
        <w:t xml:space="preserve">               </w:t>
      </w:r>
    </w:p>
    <w:p w14:paraId="5F359D1B">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19C08443">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02B8ADA2">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229CC00D">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4D6B86C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0AE52062">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09AA4A3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2B88DBE">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70BB1F1A">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9D0DBF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2BD215A">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77A0924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5381C560">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484B2E7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72EC883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B58C1C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F5FA720">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5C50DF9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1AEE2918">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6D73BAA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161EF7FD">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6C1BC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3687CE4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60A8458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7D11B0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3C1B7CE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24F6E6A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10B6872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7B16FE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01235C4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5DD90773">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291DB5F">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69444F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403DD6C8">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263DF91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CDC1D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459E28A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1CFF191C">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302E7EF2">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26BACD7B">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704F37B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68E8B941">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5D0F5C7B">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054154B2">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0E0B2C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3F5180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BD1DF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04803887">
            <w:pPr>
              <w:adjustRightInd w:val="0"/>
              <w:snapToGrid w:val="0"/>
              <w:spacing w:line="300" w:lineRule="exact"/>
              <w:jc w:val="center"/>
              <w:rPr>
                <w:rFonts w:ascii="Times New Roman" w:eastAsia="宋体" w:hAnsi="Times New Roman" w:cs="Times New Roman"/>
                <w:spacing w:val="20"/>
                <w:szCs w:val="21"/>
              </w:rPr>
            </w:pPr>
          </w:p>
        </w:tc>
      </w:tr>
      <w:tr w14:paraId="225859BB">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0EDE373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6B17DA74">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33B07E9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5ECFB98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053A231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5ABF6838">
            <w:pPr>
              <w:adjustRightInd w:val="0"/>
              <w:snapToGrid w:val="0"/>
              <w:spacing w:line="300" w:lineRule="exact"/>
              <w:jc w:val="center"/>
              <w:rPr>
                <w:rFonts w:ascii="Times New Roman" w:eastAsia="宋体" w:hAnsi="Times New Roman" w:cs="Times New Roman"/>
                <w:szCs w:val="21"/>
              </w:rPr>
            </w:pPr>
          </w:p>
        </w:tc>
      </w:tr>
      <w:tr w14:paraId="5D4D40F2">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26D35016">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1D626D2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B149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679A5C67">
            <w:pPr>
              <w:adjustRightInd w:val="0"/>
              <w:snapToGrid w:val="0"/>
              <w:spacing w:line="300" w:lineRule="exact"/>
              <w:jc w:val="center"/>
              <w:rPr>
                <w:rFonts w:ascii="Times New Roman" w:eastAsia="宋体" w:hAnsi="Times New Roman" w:cs="Times New Roman"/>
                <w:spacing w:val="20"/>
                <w:szCs w:val="21"/>
              </w:rPr>
            </w:pPr>
          </w:p>
        </w:tc>
      </w:tr>
      <w:tr w14:paraId="6670CF9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9ACFFC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01D1EC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057A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2561AFFE">
            <w:pPr>
              <w:adjustRightInd w:val="0"/>
              <w:snapToGrid w:val="0"/>
              <w:spacing w:line="300" w:lineRule="exact"/>
              <w:jc w:val="center"/>
              <w:rPr>
                <w:rFonts w:ascii="Times New Roman" w:eastAsia="宋体" w:hAnsi="Times New Roman" w:cs="Times New Roman"/>
                <w:spacing w:val="20"/>
                <w:szCs w:val="21"/>
              </w:rPr>
            </w:pPr>
          </w:p>
        </w:tc>
      </w:tr>
      <w:tr w14:paraId="426AFB2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AAED5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EC9D33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503D1B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341C644B">
            <w:pPr>
              <w:adjustRightInd w:val="0"/>
              <w:snapToGrid w:val="0"/>
              <w:spacing w:line="300" w:lineRule="exact"/>
              <w:jc w:val="center"/>
              <w:rPr>
                <w:rFonts w:ascii="Times New Roman" w:eastAsia="宋体" w:hAnsi="Times New Roman" w:cs="Times New Roman"/>
                <w:spacing w:val="20"/>
                <w:szCs w:val="21"/>
              </w:rPr>
            </w:pPr>
          </w:p>
        </w:tc>
      </w:tr>
      <w:tr w14:paraId="77A8472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F3A0D3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4684BC7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50497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688E7BF8">
            <w:pPr>
              <w:adjustRightInd w:val="0"/>
              <w:snapToGrid w:val="0"/>
              <w:spacing w:line="300" w:lineRule="exact"/>
              <w:jc w:val="center"/>
              <w:rPr>
                <w:rFonts w:ascii="Times New Roman" w:eastAsia="宋体" w:hAnsi="Times New Roman" w:cs="Times New Roman"/>
                <w:spacing w:val="20"/>
                <w:szCs w:val="21"/>
              </w:rPr>
            </w:pPr>
          </w:p>
        </w:tc>
      </w:tr>
      <w:tr w14:paraId="021B16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7357E7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BE80EF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259772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6668089F">
            <w:pPr>
              <w:adjustRightInd w:val="0"/>
              <w:snapToGrid w:val="0"/>
              <w:spacing w:line="300" w:lineRule="exact"/>
              <w:jc w:val="center"/>
              <w:rPr>
                <w:rFonts w:ascii="Times New Roman" w:eastAsia="宋体" w:hAnsi="Times New Roman" w:cs="Times New Roman"/>
                <w:spacing w:val="20"/>
                <w:szCs w:val="21"/>
              </w:rPr>
            </w:pPr>
          </w:p>
        </w:tc>
      </w:tr>
      <w:tr w14:paraId="45486F1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1715A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35E52F8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2615C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01504F58">
            <w:pPr>
              <w:adjustRightInd w:val="0"/>
              <w:snapToGrid w:val="0"/>
              <w:spacing w:line="300" w:lineRule="exact"/>
              <w:jc w:val="center"/>
              <w:rPr>
                <w:rFonts w:ascii="Times New Roman" w:eastAsia="宋体" w:hAnsi="Times New Roman" w:cs="Times New Roman"/>
                <w:spacing w:val="20"/>
                <w:szCs w:val="21"/>
              </w:rPr>
            </w:pPr>
          </w:p>
        </w:tc>
      </w:tr>
      <w:tr w14:paraId="058662B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7B3092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08FB441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316450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2F3AD2D1">
            <w:pPr>
              <w:adjustRightInd w:val="0"/>
              <w:snapToGrid w:val="0"/>
              <w:spacing w:line="300" w:lineRule="exact"/>
              <w:jc w:val="center"/>
              <w:rPr>
                <w:rFonts w:ascii="Times New Roman" w:eastAsia="宋体" w:hAnsi="Times New Roman" w:cs="Times New Roman"/>
                <w:spacing w:val="20"/>
                <w:szCs w:val="21"/>
              </w:rPr>
            </w:pPr>
          </w:p>
        </w:tc>
      </w:tr>
      <w:tr w14:paraId="79C7C91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4871D1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16DA2664">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02CC2E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5262EE28">
            <w:pPr>
              <w:adjustRightInd w:val="0"/>
              <w:snapToGrid w:val="0"/>
              <w:spacing w:line="300" w:lineRule="exact"/>
              <w:jc w:val="center"/>
              <w:rPr>
                <w:rFonts w:ascii="Times New Roman" w:eastAsia="宋体" w:hAnsi="Times New Roman" w:cs="Times New Roman"/>
                <w:spacing w:val="20"/>
                <w:szCs w:val="21"/>
              </w:rPr>
            </w:pPr>
          </w:p>
        </w:tc>
      </w:tr>
      <w:tr w14:paraId="5020BE4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2B176DB">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E301403">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6D51F5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746610B3">
            <w:pPr>
              <w:adjustRightInd w:val="0"/>
              <w:snapToGrid w:val="0"/>
              <w:spacing w:line="300" w:lineRule="exact"/>
              <w:jc w:val="center"/>
              <w:rPr>
                <w:rFonts w:ascii="Times New Roman" w:eastAsia="宋体" w:hAnsi="Times New Roman" w:cs="Times New Roman"/>
                <w:spacing w:val="20"/>
                <w:szCs w:val="21"/>
              </w:rPr>
            </w:pPr>
          </w:p>
        </w:tc>
      </w:tr>
      <w:tr w14:paraId="18DEBE3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2BAB8B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4CCEEF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6F10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768699A6">
            <w:pPr>
              <w:adjustRightInd w:val="0"/>
              <w:snapToGrid w:val="0"/>
              <w:spacing w:line="300" w:lineRule="exact"/>
              <w:jc w:val="center"/>
              <w:rPr>
                <w:rFonts w:ascii="Times New Roman" w:eastAsia="宋体" w:hAnsi="Times New Roman" w:cs="Times New Roman"/>
                <w:spacing w:val="20"/>
                <w:szCs w:val="21"/>
              </w:rPr>
            </w:pPr>
          </w:p>
        </w:tc>
      </w:tr>
      <w:tr w14:paraId="0D03BB3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D78DE5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623437C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4563E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4623D254">
            <w:pPr>
              <w:adjustRightInd w:val="0"/>
              <w:snapToGrid w:val="0"/>
              <w:spacing w:line="300" w:lineRule="exact"/>
              <w:jc w:val="center"/>
              <w:rPr>
                <w:rFonts w:ascii="Times New Roman" w:eastAsia="宋体" w:hAnsi="Times New Roman" w:cs="Times New Roman"/>
                <w:spacing w:val="20"/>
                <w:szCs w:val="21"/>
              </w:rPr>
            </w:pPr>
          </w:p>
        </w:tc>
      </w:tr>
      <w:tr w14:paraId="79AD851F">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2328785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7BBECD43">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1" w:name="_Toc27624"/>
      <w:r>
        <w:rPr>
          <w:rFonts w:ascii="黑体" w:eastAsia="黑体" w:hAnsi="黑体" w:cs="Times New Roman" w:hint="eastAsia"/>
          <w:sz w:val="28"/>
          <w:szCs w:val="28"/>
        </w:rPr>
        <w:t>第二节 政府采购合同通用条款</w:t>
      </w:r>
      <w:bookmarkEnd w:id="61"/>
    </w:p>
    <w:p w14:paraId="0F9EA1E8">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349D568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5877203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2B302A6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6F6224A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AD0EF8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63114B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2D0E0FA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682FE8E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6F4BE6C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38900AFB">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84CB9B0">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7BCA5CF5">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67283C14">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28C76D5B">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39CE5F0F">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04495B1">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38B624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148ACC7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0E2921A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54C440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3AF5AB1C">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6BDAEE4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0BF4E39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449C58E3">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449D5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6BE03B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66666B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3E126D19">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23952E1D">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2C247EE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59105F31">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011524F">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6F3F626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4E5B0DF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4DEC7D6C">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10ED0D2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D606B7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EBBAC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21D7F858">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646061B2">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9334E7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566744A">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6AAEED5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101C7B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6F5C6B3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3781B4D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12C7F4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3A3ED8B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4D31E5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C359EBA">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02B71370">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1EFE99E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501062A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1F7065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393D4CB9">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58DB4DE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2"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2"/>
      <w:r>
        <w:rPr>
          <w:rFonts w:ascii="宋体" w:eastAsia="宋体" w:hAnsi="宋体" w:cs="Times New Roman" w:hint="eastAsia"/>
          <w:szCs w:val="21"/>
        </w:rPr>
        <w:t>。</w:t>
      </w:r>
    </w:p>
    <w:p w14:paraId="22CC7A46">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6177C870">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1439449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7510B46">
      <w:pPr>
        <w:numPr>
          <w:ilvl w:val="1"/>
          <w:numId w:val="8"/>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24EA72F5">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4FAC127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1E89E10C">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2FA2C96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154E4DB5">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69A6EDE4">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07E297C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370DCA8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6D641D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D303AE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0F94E6E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78931636">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6F0A36F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28F51C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A00E06D">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61F1963">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5CD5861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2EE7A3DE">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09ED82A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9AAFC4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53B3394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2631185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9F41D6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6A3D5B0D">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8A66E9F">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59BA6AC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5A0F1C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2894225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02A92E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18D9791">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5ECC7AA">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0C3257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1394224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6798B7A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15CF54DB">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66EB167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571EE401">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6F6FF0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539EF41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8E43BB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7123E33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9A44C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70F1E6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F700CC">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519DC9F3">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B8F4531">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78CFE31A">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0FE2C4F9">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5E9313B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C8BDD9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4D79D4A3">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F405FF">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345938C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11BD621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2EE599C0">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4A01BDD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7D2156ED">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38DF523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1CF53B5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3B929DC9">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08ABD342">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153B83CF">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63" w:name="_Toc20313"/>
    </w:p>
    <w:p w14:paraId="06A3540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01E11C54">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6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298CE2EE">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5EA406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B8EB70">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44D2242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79816FD7">
            <w:pPr>
              <w:adjustRightInd w:val="0"/>
              <w:snapToGrid w:val="0"/>
              <w:jc w:val="left"/>
              <w:rPr>
                <w:rFonts w:ascii="宋体" w:eastAsia="宋体" w:hAnsi="宋体" w:cs="Times New Roman"/>
                <w:szCs w:val="21"/>
              </w:rPr>
            </w:pPr>
          </w:p>
        </w:tc>
      </w:tr>
      <w:tr w14:paraId="66311C0A">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6D3C29E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6CCD07">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632A938C">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3DF9B528">
            <w:pPr>
              <w:adjustRightInd w:val="0"/>
              <w:snapToGrid w:val="0"/>
              <w:jc w:val="left"/>
              <w:rPr>
                <w:rFonts w:ascii="宋体" w:eastAsia="宋体" w:hAnsi="宋体" w:cs="Times New Roman"/>
                <w:szCs w:val="21"/>
              </w:rPr>
            </w:pPr>
          </w:p>
        </w:tc>
      </w:tr>
      <w:tr w14:paraId="7D5AB52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B81CC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58B71CC">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2C97845F">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57029D66">
            <w:pPr>
              <w:adjustRightInd w:val="0"/>
              <w:snapToGrid w:val="0"/>
              <w:jc w:val="left"/>
              <w:rPr>
                <w:rFonts w:ascii="宋体" w:eastAsia="宋体" w:hAnsi="宋体" w:cs="Times New Roman"/>
                <w:szCs w:val="21"/>
              </w:rPr>
            </w:pPr>
          </w:p>
        </w:tc>
      </w:tr>
      <w:tr w14:paraId="797396A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5A16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DDA7B8F">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434388A1">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1C5E9FD8">
            <w:pPr>
              <w:adjustRightInd w:val="0"/>
              <w:snapToGrid w:val="0"/>
              <w:jc w:val="left"/>
              <w:rPr>
                <w:rFonts w:ascii="宋体" w:eastAsia="宋体" w:hAnsi="宋体" w:cs="Times New Roman"/>
                <w:szCs w:val="21"/>
              </w:rPr>
            </w:pPr>
          </w:p>
        </w:tc>
      </w:tr>
      <w:tr w14:paraId="16417AE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1729EC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8C2D794">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1B05AC75">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07EE2F51">
            <w:pPr>
              <w:adjustRightInd w:val="0"/>
              <w:snapToGrid w:val="0"/>
              <w:jc w:val="left"/>
              <w:rPr>
                <w:rFonts w:ascii="宋体" w:eastAsia="宋体" w:hAnsi="宋体" w:cs="Times New Roman"/>
                <w:szCs w:val="21"/>
              </w:rPr>
            </w:pPr>
          </w:p>
        </w:tc>
      </w:tr>
      <w:tr w14:paraId="254A61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AF4FE4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2A3584A">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5BDFAF32">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268975AF">
            <w:pPr>
              <w:adjustRightInd w:val="0"/>
              <w:snapToGrid w:val="0"/>
              <w:jc w:val="left"/>
              <w:rPr>
                <w:rFonts w:ascii="宋体" w:eastAsia="宋体" w:hAnsi="宋体" w:cs="Times New Roman"/>
                <w:szCs w:val="21"/>
              </w:rPr>
            </w:pPr>
          </w:p>
        </w:tc>
      </w:tr>
      <w:tr w14:paraId="5A5FA328">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007DB76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C595596">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3B79AD9F">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51D5C11">
            <w:pPr>
              <w:rPr>
                <w:rFonts w:ascii="Times New Roman" w:eastAsia="宋体" w:hAnsi="Times New Roman" w:cs="Times New Roman"/>
                <w:szCs w:val="20"/>
              </w:rPr>
            </w:pPr>
          </w:p>
        </w:tc>
      </w:tr>
      <w:tr w14:paraId="6DE8A192">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7D949386">
            <w:pPr>
              <w:adjustRightInd w:val="0"/>
              <w:snapToGrid w:val="0"/>
              <w:jc w:val="center"/>
              <w:rPr>
                <w:rFonts w:ascii="宋体" w:eastAsia="宋体" w:hAnsi="宋体" w:cs="Times New Roman"/>
                <w:szCs w:val="21"/>
              </w:rPr>
            </w:pPr>
          </w:p>
        </w:tc>
        <w:tc>
          <w:tcPr>
            <w:tcW w:w="1742" w:type="dxa"/>
            <w:vAlign w:val="center"/>
          </w:tcPr>
          <w:p w14:paraId="25AB683D">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71C9A509">
            <w:pPr>
              <w:rPr>
                <w:rFonts w:ascii="Times New Roman" w:eastAsia="宋体" w:hAnsi="Times New Roman" w:cs="Times New Roman"/>
                <w:szCs w:val="20"/>
              </w:rPr>
            </w:pPr>
          </w:p>
        </w:tc>
      </w:tr>
      <w:tr w14:paraId="2FF8DD9B">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0B1EC0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A329367">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6C12B12A">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7448AFC6">
            <w:pPr>
              <w:rPr>
                <w:rFonts w:ascii="Times New Roman" w:eastAsia="宋体" w:hAnsi="Times New Roman" w:cs="Times New Roman"/>
                <w:szCs w:val="20"/>
              </w:rPr>
            </w:pPr>
          </w:p>
        </w:tc>
      </w:tr>
      <w:tr w14:paraId="6E7A9404">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1CA7B05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0F5576F">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027396B8">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07ED5F3B">
            <w:pPr>
              <w:rPr>
                <w:rFonts w:ascii="Times New Roman" w:eastAsia="宋体" w:hAnsi="Times New Roman" w:cs="Times New Roman"/>
                <w:szCs w:val="20"/>
              </w:rPr>
            </w:pPr>
          </w:p>
        </w:tc>
      </w:tr>
      <w:tr w14:paraId="345DC0E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2B300E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2C904EA">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46F94109">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4CEF7AB1">
            <w:pPr>
              <w:autoSpaceDE w:val="0"/>
              <w:autoSpaceDN w:val="0"/>
              <w:adjustRightInd w:val="0"/>
              <w:snapToGrid w:val="0"/>
              <w:ind w:firstLine="420" w:firstLineChars="200"/>
              <w:jc w:val="left"/>
              <w:rPr>
                <w:rFonts w:ascii="宋体" w:eastAsia="宋体" w:hAnsi="宋体" w:cs="Times New Roman"/>
                <w:szCs w:val="21"/>
              </w:rPr>
            </w:pPr>
          </w:p>
        </w:tc>
      </w:tr>
      <w:tr w14:paraId="2ADFACC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3B3B8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08BBC69">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3BA59669">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6F3DCE7A">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28BA6039">
            <w:pPr>
              <w:adjustRightInd w:val="0"/>
              <w:snapToGrid w:val="0"/>
              <w:jc w:val="left"/>
              <w:rPr>
                <w:rFonts w:ascii="宋体" w:eastAsia="宋体" w:hAnsi="宋体" w:cs="Times New Roman"/>
                <w:szCs w:val="21"/>
              </w:rPr>
            </w:pPr>
          </w:p>
        </w:tc>
      </w:tr>
      <w:tr w14:paraId="7A53F1D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832A7">
            <w:pPr>
              <w:snapToGrid w:val="0"/>
              <w:jc w:val="center"/>
              <w:rPr>
                <w:rFonts w:ascii="宋体" w:eastAsia="宋体" w:hAnsi="宋体" w:cs="宋体"/>
                <w:szCs w:val="21"/>
              </w:rPr>
            </w:pPr>
            <w:r>
              <w:rPr>
                <w:rFonts w:ascii="宋体" w:eastAsia="宋体" w:hAnsi="宋体" w:cs="宋体" w:hint="eastAsia"/>
                <w:szCs w:val="21"/>
              </w:rPr>
              <w:t>第二节</w:t>
            </w:r>
          </w:p>
          <w:p w14:paraId="53E55BA4">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61157FA">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254118BC">
            <w:pPr>
              <w:adjustRightInd w:val="0"/>
              <w:snapToGrid w:val="0"/>
              <w:jc w:val="left"/>
              <w:rPr>
                <w:rFonts w:ascii="宋体" w:eastAsia="宋体" w:hAnsi="宋体" w:cs="Times New Roman"/>
                <w:szCs w:val="21"/>
              </w:rPr>
            </w:pPr>
          </w:p>
        </w:tc>
      </w:tr>
      <w:tr w14:paraId="6ECB39E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0AA1B18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3E96E3">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62FE14F1">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57E349A3">
            <w:pPr>
              <w:adjustRightInd w:val="0"/>
              <w:snapToGrid w:val="0"/>
              <w:jc w:val="left"/>
              <w:rPr>
                <w:rFonts w:ascii="宋体" w:eastAsia="宋体" w:hAnsi="宋体" w:cs="Times New Roman"/>
                <w:szCs w:val="21"/>
              </w:rPr>
            </w:pPr>
          </w:p>
        </w:tc>
      </w:tr>
      <w:tr w14:paraId="67D1A263">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5BEE39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980EC4A">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2E4001C9">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0D13F284">
            <w:pPr>
              <w:adjustRightInd w:val="0"/>
              <w:snapToGrid w:val="0"/>
              <w:jc w:val="left"/>
              <w:rPr>
                <w:rFonts w:ascii="宋体" w:eastAsia="宋体" w:hAnsi="宋体" w:cs="Times New Roman"/>
                <w:szCs w:val="21"/>
              </w:rPr>
            </w:pPr>
          </w:p>
        </w:tc>
      </w:tr>
      <w:tr w14:paraId="336D130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BC3C3B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B3CBBF">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127D3B1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4A340DB8">
            <w:pPr>
              <w:adjustRightInd w:val="0"/>
              <w:snapToGrid w:val="0"/>
              <w:jc w:val="left"/>
              <w:rPr>
                <w:rFonts w:ascii="宋体" w:eastAsia="宋体" w:hAnsi="宋体" w:cs="Times New Roman"/>
                <w:szCs w:val="21"/>
              </w:rPr>
            </w:pPr>
          </w:p>
        </w:tc>
      </w:tr>
      <w:tr w14:paraId="25B5C1E3">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BE1FA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8C64933">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669EF3D5">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7F097305">
            <w:pPr>
              <w:adjustRightInd w:val="0"/>
              <w:snapToGrid w:val="0"/>
              <w:jc w:val="left"/>
              <w:rPr>
                <w:rFonts w:ascii="宋体" w:eastAsia="宋体" w:hAnsi="宋体" w:cs="Times New Roman"/>
                <w:szCs w:val="21"/>
              </w:rPr>
            </w:pPr>
          </w:p>
        </w:tc>
      </w:tr>
      <w:tr w14:paraId="39D8474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D98DE9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2727374">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6DB7AA3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7F8F53F6">
            <w:pPr>
              <w:adjustRightInd w:val="0"/>
              <w:snapToGrid w:val="0"/>
              <w:jc w:val="left"/>
              <w:rPr>
                <w:rFonts w:ascii="宋体" w:eastAsia="宋体" w:hAnsi="宋体" w:cs="Times New Roman"/>
                <w:szCs w:val="21"/>
              </w:rPr>
            </w:pPr>
          </w:p>
        </w:tc>
      </w:tr>
      <w:tr w14:paraId="73F434B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67DB97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ADD0DD2">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6937C21D">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98C3558">
            <w:pPr>
              <w:adjustRightInd w:val="0"/>
              <w:snapToGrid w:val="0"/>
              <w:jc w:val="left"/>
              <w:rPr>
                <w:rFonts w:ascii="宋体" w:eastAsia="宋体" w:hAnsi="宋体" w:cs="Times New Roman"/>
                <w:szCs w:val="21"/>
              </w:rPr>
            </w:pPr>
          </w:p>
        </w:tc>
      </w:tr>
      <w:tr w14:paraId="03BA364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D1C4C9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B60CAB">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339EC96C">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3306EA5C">
            <w:pPr>
              <w:adjustRightInd w:val="0"/>
              <w:snapToGrid w:val="0"/>
              <w:jc w:val="left"/>
              <w:rPr>
                <w:rFonts w:ascii="宋体" w:eastAsia="宋体" w:hAnsi="宋体" w:cs="Times New Roman"/>
                <w:szCs w:val="21"/>
              </w:rPr>
            </w:pPr>
          </w:p>
        </w:tc>
      </w:tr>
      <w:tr w14:paraId="71BE414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1B3B6A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118306">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195A03F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04AF1529">
            <w:pPr>
              <w:adjustRightInd w:val="0"/>
              <w:snapToGrid w:val="0"/>
              <w:jc w:val="left"/>
              <w:rPr>
                <w:rFonts w:ascii="宋体" w:eastAsia="宋体" w:hAnsi="宋体" w:cs="Times New Roman"/>
                <w:szCs w:val="21"/>
                <w:u w:val="single"/>
              </w:rPr>
            </w:pPr>
          </w:p>
        </w:tc>
      </w:tr>
      <w:tr w14:paraId="473808E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9E441C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6CDF5B">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1ED4864A">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0C638690">
            <w:pPr>
              <w:adjustRightInd w:val="0"/>
              <w:snapToGrid w:val="0"/>
              <w:jc w:val="left"/>
              <w:rPr>
                <w:rFonts w:ascii="宋体" w:eastAsia="宋体" w:hAnsi="宋体" w:cs="Times New Roman"/>
                <w:szCs w:val="21"/>
                <w:u w:val="single"/>
              </w:rPr>
            </w:pPr>
          </w:p>
        </w:tc>
      </w:tr>
      <w:tr w14:paraId="03C57514">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605970A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FC01B80">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599E078">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13280426">
            <w:pPr>
              <w:adjustRightInd w:val="0"/>
              <w:snapToGrid w:val="0"/>
              <w:jc w:val="left"/>
              <w:rPr>
                <w:rFonts w:ascii="宋体" w:eastAsia="宋体" w:hAnsi="宋体" w:cs="Times New Roman"/>
                <w:szCs w:val="21"/>
                <w:u w:val="single"/>
              </w:rPr>
            </w:pPr>
          </w:p>
        </w:tc>
      </w:tr>
      <w:tr w14:paraId="12135F25">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623E77C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792D1E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7D233DE6">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79807C45">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4003C46C">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75E20F7F">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64E84AEF">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347A34D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64E8DFD">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0F9919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733727A2">
            <w:pPr>
              <w:adjustRightInd w:val="0"/>
              <w:snapToGrid w:val="0"/>
              <w:jc w:val="left"/>
              <w:rPr>
                <w:rFonts w:ascii="宋体" w:eastAsia="宋体" w:hAnsi="宋体" w:cs="Times New Roman"/>
                <w:szCs w:val="21"/>
              </w:rPr>
            </w:pPr>
          </w:p>
        </w:tc>
      </w:tr>
    </w:tbl>
    <w:p w14:paraId="314DE75D">
      <w:pPr>
        <w:rPr>
          <w:rFonts w:ascii="Times New Roman" w:eastAsia="宋体" w:hAnsi="Times New Roman" w:cs="Times New Roman"/>
          <w:szCs w:val="20"/>
        </w:rPr>
      </w:pPr>
    </w:p>
    <w:p w14:paraId="79293EF8">
      <w:pPr>
        <w:rPr>
          <w:rFonts w:ascii="Times New Roman" w:eastAsia="宋体" w:hAnsi="Times New Roman" w:cs="Times New Roman"/>
          <w:b/>
          <w:bCs/>
          <w:sz w:val="44"/>
          <w:szCs w:val="44"/>
        </w:rPr>
      </w:pPr>
    </w:p>
    <w:p w14:paraId="127499B5">
      <w:pPr>
        <w:spacing w:before="156" w:beforeLines="50" w:line="360" w:lineRule="auto"/>
        <w:ind w:firstLine="420"/>
        <w:rPr>
          <w:rFonts w:ascii="宋体" w:eastAsia="宋体" w:hAnsi="宋体" w:cs="Times New Roman"/>
          <w:szCs w:val="21"/>
        </w:rPr>
      </w:pPr>
    </w:p>
    <w:p w14:paraId="468F6C3C"/>
    <w:p w:rsidR="00A77B3E"/>
    <w:p w14:paraId="0D9A9C79">
      <w:pPr>
        <w:spacing w:line="360" w:lineRule="auto"/>
        <w:ind w:firstLine="3066" w:firstLineChars="1460"/>
        <w:jc w:val="left"/>
        <w:rPr>
          <w:rFonts w:ascii="Times New Roman" w:eastAsia="宋体" w:hAnsi="Times New Roman" w:cs="Times New Roman"/>
          <w:b/>
          <w:bCs/>
          <w:szCs w:val="21"/>
        </w:rPr>
      </w:pPr>
      <w:bookmarkEnd w:id="59"/>
    </w:p>
    <w:sectPr>
      <w:headerReference w:type="even" r:id="rId12"/>
      <w:headerReference w:type="default" r:id="rId13"/>
      <w:footerReference w:type="default" r:id="rId14"/>
      <w:headerReference w:type="first" r:id="rId15"/>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200001F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3"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left"/>
      <w:rPr>
        <w:rFonts w:ascii="Times New Roman" w:hAnsi="Times New Roman" w:cs="Times New Roman"/>
        <w:sz w:val="18"/>
        <w:szCs w:val="18"/>
      </w:rPr>
    </w:pPr>
    <w:r>
      <w:rPr>
        <w:rFonts w:ascii="Times New Roman" w:eastAsia="方正仿宋" w:hAnsi="Times New Roman" w:cs="Times New Roman"/>
        <w:kern w:val="2"/>
        <w:sz w:val="18"/>
        <w:szCs w:val="18"/>
        <w:lang w:val="en-US" w:eastAsia="zh-CN" w:bidi="ar-SA"/>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outside;mso-position-horizontal-relative:margin;mso-wrap-style:none;position:absolute;v-text-anchor:top;z-index:251659264" filled="f" stroked="f">
          <v:fill o:detectmouseclick="t"/>
          <o:lock v:ext="edit" aspectratio="f"/>
          <v:textbox style="layout-flow:horizontal;mso-fit-shape-to-text:t" inset="0,0,0,0">
            <w:txbxContent>
              <w:p>
                <w:pPr>
                  <w:snapToGrid w:val="0"/>
                  <w:rPr>
                    <w:rFonts w:ascii="宋体" w:eastAsia="宋体" w:hAnsi="宋体" w:cs="宋体" w:hint="eastAsia"/>
                    <w:sz w:val="28"/>
                    <w:szCs w:val="28"/>
                  </w:rPr>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8</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left"/>
      <w:rPr>
        <w:rFonts w:ascii="Times New Roman" w:hAnsi="Times New Roman" w:cs="Times New Roman"/>
        <w:sz w:val="18"/>
        <w:szCs w:val="18"/>
      </w:rPr>
    </w:pPr>
    <w:r>
      <w:rPr>
        <w:rFonts w:ascii="Times New Roman" w:eastAsia="方正仿宋" w:hAnsi="Times New Roman" w:cs="Times New Roman"/>
        <w:kern w:val="2"/>
        <w:sz w:val="18"/>
        <w:szCs w:val="18"/>
        <w:lang w:val="en-US" w:eastAsia="zh-CN" w:bidi="ar-SA"/>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outside;mso-position-horizontal-relative:margin;mso-wrap-style:none;position:absolute;v-text-anchor:top;z-index:251658240" filled="f" stroked="f">
          <v:fill o:detectmouseclick="t"/>
          <o:lock v:ext="edit" aspectratio="f"/>
          <v:textbox style="layout-flow:horizontal;mso-fit-shape-to-text:t" inset="0,0,0,0">
            <w:txbxContent>
              <w:p>
                <w:pPr>
                  <w:snapToGrid w:val="0"/>
                  <w:rPr>
                    <w:rFonts w:ascii="宋体" w:eastAsia="宋体" w:hAnsi="宋体" w:cs="宋体" w:hint="eastAsia"/>
                    <w:sz w:val="28"/>
                    <w:szCs w:val="28"/>
                  </w:rPr>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7</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7CA5BF">
    <w:pPr>
      <w:pStyle w:val="Footer"/>
      <w:jc w:val="center"/>
    </w:pPr>
    <w:r>
      <w:fldChar w:fldCharType="begin"/>
    </w:r>
    <w:r>
      <w:instrText xml:space="preserve"> PAGE   \* MERGEFORMAT </w:instrText>
    </w:r>
    <w:r>
      <w:fldChar w:fldCharType="separate"/>
    </w:r>
    <w:r>
      <w:rPr>
        <w:lang w:val="zh-CN"/>
      </w:rPr>
      <w:t>44</w:t>
    </w:r>
    <w:r>
      <w:fldChar w:fldCharType="end"/>
    </w:r>
  </w:p>
  <w:p w14:paraId="3314FD2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3908AB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E638C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4"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DF1DC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5"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E33CD"/>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4.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5.xml" /><Relationship Id="rId15" Type="http://schemas.openxmlformats.org/officeDocument/2006/relationships/header" Target="head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2026-02-02T10:36:11Z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