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云南省人工影响天气水资源保障工程（机动集成作业系统建设）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ZQCD-26102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云南省气象局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云南省人工影响天气水资源保障工程（机动集成作业系统建设）</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ZQCD-26102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合同签订后180天内交货、完成安装调试并具备验收条件。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招标方指定地点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2026年06月18日 00:00:00</w:t>
      </w:r>
      <w:bookmarkEnd w:id="26"/>
      <w:r>
        <w:rPr>
          <w:rFonts w:ascii="宋体" w:hint="eastAsia"/>
          <w:szCs w:val="21"/>
          <w:highlight w:val="none"/>
        </w:rPr>
        <w:t>至</w:t>
      </w:r>
      <w:bookmarkStart w:id="27" w:name="项目公告_signUpLastTime"/>
      <w:r>
        <w:rPr>
          <w:rFonts w:ascii="宋体" w:hint="eastAsia"/>
          <w:szCs w:val="21"/>
          <w:highlight w:val="none"/>
        </w:rPr>
        <w:t>2026年06月26日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2026年07月17日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云南省气象局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何建松</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0871-64189206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云南省昆明市西山区西昌路77号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云南省气象局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允许（仅针对以下产品：所有标的允许代理商投标）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设有，核心产品为无人机作业单元</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必须，以下产品需要提供至投标截止日仍有效的《气象专用技术装备使用许可证》：1、便携式自动气象站，2、激光云高仪，3、全固态Ka波段双偏振云雷达</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标的：云南省人工影响天气水资源保障工程（机动集成作业系统建设），属于工业；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是，中标服务费：17.1万元。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5,147.640000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5,147.640000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(3)</w:t>
            </w:r>
          </w:p>
        </w:tc>
        <w:tc>
          <w:tcPr/>
          <w:p>
            <w:r>
              <w:t>评审标准：</w:t>
            </w:r>
          </w:p>
          <w:p>
            <w:r>
              <w:t>每提供1份全固态Ka波段双偏振云雷达销售合同得1分，每提供1份无人机作业单元销售合同得1分，每提供1份x波段相控阵雷达销售合同得1分，最多得3分。（同一合同同时包括上述多种设备的，可重复计算）</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(1)</w:t>
            </w:r>
          </w:p>
        </w:tc>
        <w:tc>
          <w:tcPr/>
          <w:p>
            <w:r>
              <w:t>评审标准：</w:t>
            </w:r>
          </w:p>
          <w:p>
            <w:r>
              <w:t>一档0分</w:t>
              <w:cr/>
              <w:t>二档0.25分</w:t>
              <w:cr/>
              <w:t>三档0.5分</w:t>
              <w:cr/>
              <w:t>四档1分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(1)</w:t>
            </w:r>
          </w:p>
        </w:tc>
        <w:tc>
          <w:tcPr/>
          <w:p>
            <w:r>
              <w:t>评审标准：</w:t>
            </w:r>
          </w:p>
          <w:p>
            <w:r>
              <w:t>一档0分</w:t>
              <w:cr/>
              <w:t>二档0.25分</w:t>
              <w:cr/>
              <w:t>三档0.5分</w:t>
              <w:cr/>
              <w:t>四档1分</w:t>
            </w:r>
          </w:p>
          <w:p>
            <w:r>
              <w:t>评审标准说明：</w:t>
            </w:r>
          </w:p>
          <w:p>
            <w:r>
              <w:t>投标人应提供培训方案，包含培训计划、课时安排、配备的专职人员或讲师、培训内容、方式方法及达到的目标。具体标准评分如下：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针对全固态Ka波段双偏振云雷达、无人机作业单元设备、x波段相控阵雷达，承诺每提前10天交货的得1分，最多得1分。否则不得分。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1、针对全固态Ka波段双偏振云雷达，每提供1份用户证明材料得1 分；</w:t>
              <w:cr/>
              <w:t>2、针对无人机作业单元设备，每提供 1份用户证明材料得1 分；</w:t>
              <w:cr/>
              <w:t>3、针对x波段相控阵雷达，每提供1份用户证明材料得1 分。</w:t>
              <w:cr/>
              <w:t>本项满分3分。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2、除项目经理外至少8人具有2年及以上相关工作经验的，得1分；其他不得分。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(44)</w:t>
            </w:r>
          </w:p>
        </w:tc>
        <w:tc>
          <w:tcPr/>
          <w:p>
            <w:r>
              <w:t>评审标准：</w:t>
            </w:r>
          </w:p>
          <w:p>
            <w:r>
              <w:t>投标产品须满足采购需求书的各项指标，标注▲的重要指标共44项，每满足1项（如有多个下级指标，则每个下级指标均应满足）得1分，满分44分。</w:t>
            </w:r>
          </w:p>
          <w:p>
            <w:r>
              <w:t>评审标准说明：</w:t>
            </w:r>
          </w:p>
          <w:p>
            <w:r>
              <w:t>需提供技术文档。响应且满足招标文件第七章详细技术指标要求，标注▲的重要指标需提供第三方出具的并加盖投标人公章的测试报告作为证明材料以及第七章该项指标所要求的证明材料。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(4)</w:t>
            </w:r>
          </w:p>
        </w:tc>
        <w:tc>
          <w:tcPr/>
          <w:p>
            <w:r>
              <w:t>评审标准：</w:t>
            </w:r>
          </w:p>
          <w:p>
            <w:r>
              <w:t>一档0分</w:t>
              <w:cr/>
              <w:t>二档1分</w:t>
              <w:cr/>
              <w:t>三档2分</w:t>
              <w:cr/>
              <w:t>四档4分</w:t>
            </w:r>
          </w:p>
          <w:p>
            <w:r>
              <w:t>评审标准说明：</w:t>
            </w:r>
          </w:p>
          <w:p>
            <w:r>
              <w:t>根据投标人提供的技术方案进行评分，完整的技术方案包含针对探测模组、指挥模组、作业模组、作业保障模组的本地化技术方案（包含但不限于以上内容），具体评分标准如下：</w:t>
              <w:cr/>
              <w:t>一档：未提供技术方案。</w:t>
              <w:cr/>
              <w:t>二档：技术方案能按照招标文件的格式进行响应，技术响应比较浅显，缺乏针对性。</w:t>
              <w:cr/>
              <w:t xml:space="preserve">三档：技术方案基本能按照招标文件的要求进行响应，有一定针对性，基本满足采购文件的需求。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根据投标人提供的能证明投标产品技术性能的第三方测试报告（包括测试内容、测试方法、测试结论等，其中测试内容应包括但不限于标注#的重要指标），由评审委员会根据技术性能指标，主观综合评判。</w:t>
              <w:cr/>
              <w:t>一档：未提供或者投标产品综合技术性能不能满足采购文件要求。</w:t>
              <w:cr/>
              <w:t>二档：投标产品综合技术性能满足采购文件基本要求。</w:t>
              <w:cr/>
              <w:t>三档：投标产品综合技术性能满足且部分优于采购文件要求。</w:t>
              <w:cr/>
              <w:t>四档：投标产品综合技术性能满足且总体上优于采购文件要求。</w:t>
              <w:cr/>
              <w:t>注：应提供能证明投标产品技术性能的第三方测试报告，并加盖投标人公章。</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投标产品软件兼容性强，观测数据能接入采购人现有气象数据平台（天工平台）得2分。否则不得分。</w:t>
            </w:r>
          </w:p>
          <w:p>
            <w:r>
              <w:t>评审标准说明：</w:t>
            </w:r>
          </w:p>
          <w:p>
            <w:r>
              <w:t>需提供用户证明或详细可行的接入方案。</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spacing w:line="360" w:lineRule="auto"/>
        <w:ind w:firstLine="420" w:firstLineChars="200"/>
        <w:rPr>
          <w:rFonts w:ascii="宋体" w:hAnsi="宋体"/>
          <w:szCs w:val="21"/>
        </w:rPr>
      </w:pPr>
      <w:r>
        <w:rPr>
          <w:rFonts w:ascii="宋体" w:hAnsi="宋体" w:hint="eastAsia"/>
          <w:szCs w:val="21"/>
        </w:rPr>
        <w:t>本次招标内容为云南省人工影响天气水资源保障工程（机动集成作业系统建设）部分，包括探测模组、指挥模组、作业模组和作业保障模组四部分内容。</w:t>
      </w:r>
    </w:p>
    <w:p>
      <w:pPr>
        <w:spacing w:line="360" w:lineRule="auto"/>
        <w:ind w:firstLine="420" w:firstLineChars="200"/>
        <w:rPr>
          <w:rFonts w:ascii="宋体" w:hAnsi="宋体"/>
          <w:szCs w:val="21"/>
        </w:rPr>
      </w:pPr>
      <w:r>
        <w:rPr>
          <w:rFonts w:ascii="宋体" w:hAnsi="宋体" w:hint="eastAsia"/>
          <w:szCs w:val="21"/>
        </w:rPr>
        <w:t>机动集成作业系统能够为重大服务、重要应急等提供一站式系统化人工影响天气保障，该系统由探测模组、指挥模组、作业模组和作业保障模组组成。可根据本省实际情况选择车载式或方舱式建设，可根据实际需求适当增加探测模组和无人机作业单元。其机动能力可通过等级公路、乡村土路等快速抵达现场，形成保障能力。</w:t>
      </w:r>
    </w:p>
    <w:p>
      <w:pPr>
        <w:spacing w:line="360" w:lineRule="auto"/>
        <w:ind w:firstLine="420" w:firstLineChars="200"/>
        <w:rPr>
          <w:rFonts w:ascii="宋体" w:hAnsi="宋体"/>
          <w:szCs w:val="21"/>
        </w:rPr>
      </w:pPr>
      <w:r>
        <w:rPr>
          <w:rFonts w:ascii="宋体" w:hAnsi="宋体" w:hint="eastAsia"/>
          <w:szCs w:val="21"/>
        </w:rPr>
        <w:t>探测模组主要由载车平台、方舱、X 波段相控阵雷达、激光云高仪、毫米波测云雷达以及小型旋翼无人机组成。指挥模组配套作业指挥平台和通信设备，主要由载车平台、方舱、气象信息处理和显控席位、人工影响天气决策支持数据接收处理分析平台及供电系统等组成。作业模组由移动式火箭发射装置、无人机作业单元、无人机探测设备、无线安全锁定发控器、液压转运平台、弹药临时储运箱、火箭作业安全监控终端及作业设备储运方舱等设备组成。作业保障模组由方舱、车载监控子系统、工作生活单元组成。</w:t>
      </w:r>
    </w:p>
    <w:p>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p>
      <w:pPr>
        <w:spacing w:line="360" w:lineRule="auto"/>
        <w:ind w:firstLine="420" w:firstLineChars="200"/>
        <w:rPr>
          <w:rFonts w:ascii="宋体" w:hAnsi="宋体"/>
          <w:szCs w:val="21"/>
        </w:rPr>
      </w:pPr>
      <w:r>
        <w:rPr>
          <w:rFonts w:ascii="宋体" w:hAnsi="宋体" w:hint="eastAsia"/>
          <w:szCs w:val="21"/>
        </w:rPr>
        <w:t>三、技术性能指标</w:t>
      </w:r>
    </w:p>
    <w:p>
      <w:pPr>
        <w:spacing w:line="360" w:lineRule="auto"/>
        <w:ind w:firstLine="420" w:firstLineChars="200"/>
        <w:outlineLvl w:val="1"/>
        <w:rPr>
          <w:rFonts w:ascii="宋体" w:hAnsi="宋体"/>
          <w:b/>
          <w:bCs/>
          <w:szCs w:val="21"/>
        </w:rPr>
      </w:pPr>
      <w:r>
        <w:rPr>
          <w:rFonts w:ascii="宋体" w:hAnsi="宋体" w:hint="eastAsia"/>
          <w:b/>
          <w:bCs/>
          <w:szCs w:val="21"/>
        </w:rPr>
        <w:t>1.探测模组（车载式）</w:t>
      </w:r>
    </w:p>
    <w:p>
      <w:pPr>
        <w:spacing w:line="360" w:lineRule="auto"/>
        <w:ind w:firstLine="420" w:firstLineChars="200"/>
        <w:outlineLvl w:val="2"/>
        <w:rPr>
          <w:rFonts w:ascii="宋体" w:hAnsi="宋体"/>
          <w:b/>
          <w:bCs/>
          <w:szCs w:val="21"/>
        </w:rPr>
      </w:pPr>
      <w:bookmarkStart w:id="60" w:name="OLE_LINK16"/>
      <w:r>
        <w:rPr>
          <w:rFonts w:ascii="宋体" w:hAnsi="宋体" w:hint="eastAsia"/>
          <w:b/>
          <w:bCs/>
          <w:szCs w:val="21"/>
        </w:rPr>
        <w:t>1.1二类汽车底盘（数量2套）</w:t>
      </w:r>
    </w:p>
    <w:p>
      <w:pPr>
        <w:spacing w:line="360" w:lineRule="auto"/>
        <w:ind w:firstLine="420" w:firstLineChars="200"/>
        <w:rPr>
          <w:rFonts w:ascii="宋体" w:hAnsi="宋体"/>
          <w:szCs w:val="21"/>
        </w:rPr>
      </w:pPr>
      <w:r>
        <w:rPr>
          <w:rFonts w:ascii="宋体" w:hAnsi="宋体" w:hint="eastAsia"/>
          <w:szCs w:val="21"/>
        </w:rPr>
        <w:t>具备高强度车架结构，能承载车身、动力系统及改装设备的重量，同时通过发动机、传动系统实现自主行驶，满足基本的移动需求。</w:t>
      </w:r>
    </w:p>
    <w:p>
      <w:pPr>
        <w:spacing w:line="360" w:lineRule="auto"/>
        <w:ind w:firstLine="420" w:firstLineChars="200"/>
        <w:rPr>
          <w:rFonts w:ascii="宋体" w:hAnsi="宋体"/>
          <w:szCs w:val="21"/>
        </w:rPr>
      </w:pPr>
      <w:r>
        <w:rPr>
          <w:rFonts w:ascii="宋体" w:hAnsi="宋体" w:hint="eastAsia"/>
          <w:szCs w:val="21"/>
        </w:rPr>
        <w:t>应满足以下要求:</w:t>
      </w:r>
    </w:p>
    <w:p>
      <w:pPr>
        <w:spacing w:line="360" w:lineRule="auto"/>
        <w:ind w:firstLine="420" w:firstLineChars="200"/>
        <w:rPr>
          <w:rFonts w:ascii="宋体" w:hAnsi="宋体"/>
          <w:szCs w:val="21"/>
        </w:rPr>
      </w:pPr>
      <w:r>
        <w:rPr>
          <w:rFonts w:ascii="宋体" w:hAnsi="宋体" w:hint="eastAsia"/>
          <w:szCs w:val="21"/>
        </w:rPr>
        <w:t>(1)最高车速(km/h):≥95</w:t>
      </w:r>
    </w:p>
    <w:p>
      <w:pPr>
        <w:spacing w:line="360" w:lineRule="auto"/>
        <w:ind w:firstLine="420" w:firstLineChars="200"/>
        <w:rPr>
          <w:rFonts w:ascii="宋体" w:hAnsi="宋体"/>
          <w:szCs w:val="21"/>
        </w:rPr>
      </w:pPr>
      <w:r>
        <w:rPr>
          <w:rFonts w:ascii="宋体" w:hAnsi="宋体" w:hint="eastAsia"/>
          <w:szCs w:val="21"/>
        </w:rPr>
        <w:t>(2)最低稳定车速(km/h):≥4</w:t>
      </w:r>
    </w:p>
    <w:p>
      <w:pPr>
        <w:spacing w:line="360" w:lineRule="auto"/>
        <w:ind w:firstLine="420" w:firstLineChars="200"/>
        <w:rPr>
          <w:rFonts w:ascii="宋体" w:hAnsi="宋体"/>
          <w:szCs w:val="21"/>
        </w:rPr>
      </w:pPr>
      <w:r>
        <w:rPr>
          <w:rFonts w:ascii="宋体" w:hAnsi="宋体" w:hint="eastAsia"/>
          <w:szCs w:val="21"/>
        </w:rPr>
        <w:t>(3)最大爬坡度(%):≥50(山区省(区、市)执行此要求。其余各省可根据本省(区、市)地形地貌进行调整，原则上最大爬坡度(%):≥30)</w:t>
      </w:r>
    </w:p>
    <w:p>
      <w:pPr>
        <w:spacing w:line="360" w:lineRule="auto"/>
        <w:ind w:firstLine="420" w:firstLineChars="200"/>
        <w:rPr>
          <w:rFonts w:ascii="宋体" w:hAnsi="宋体"/>
          <w:szCs w:val="21"/>
        </w:rPr>
      </w:pPr>
      <w:r>
        <w:rPr>
          <w:rFonts w:ascii="宋体" w:hAnsi="宋体" w:hint="eastAsia"/>
          <w:szCs w:val="21"/>
        </w:rPr>
        <w:t>(4)公路续驶里程(km):≥600</w:t>
      </w:r>
    </w:p>
    <w:bookmarkEnd w:id="60"/>
    <w:p>
      <w:pPr>
        <w:spacing w:line="360" w:lineRule="auto"/>
        <w:ind w:firstLine="420" w:firstLineChars="200"/>
        <w:outlineLvl w:val="2"/>
        <w:rPr>
          <w:rFonts w:ascii="宋体" w:hAnsi="宋体"/>
          <w:b/>
          <w:bCs/>
          <w:szCs w:val="21"/>
        </w:rPr>
      </w:pPr>
      <w:r>
        <w:rPr>
          <w:rFonts w:ascii="宋体" w:hAnsi="宋体" w:hint="eastAsia"/>
          <w:b/>
          <w:bCs/>
          <w:szCs w:val="21"/>
        </w:rPr>
        <w:t>1.2电动调平支腿（数量2套）</w:t>
      </w:r>
    </w:p>
    <w:p>
      <w:pPr>
        <w:spacing w:line="360" w:lineRule="auto"/>
        <w:ind w:firstLine="420" w:firstLineChars="200"/>
        <w:rPr>
          <w:rFonts w:ascii="宋体" w:hAnsi="宋体"/>
          <w:szCs w:val="21"/>
        </w:rPr>
      </w:pPr>
      <w:r>
        <w:rPr>
          <w:rFonts w:ascii="宋体" w:hAnsi="宋体" w:hint="eastAsia"/>
          <w:szCs w:val="21"/>
        </w:rPr>
        <w:t>能够检测车体水平状态，并具有自动和手动调平能力。调平系统具备限位报警、过流报警等功能;具备水平姿态角及工作状态或故障的实时显示功能;在紧急情况下有急停按钮，在系统失电时具备长期锁定能力。</w:t>
      </w:r>
    </w:p>
    <w:p>
      <w:pPr>
        <w:spacing w:line="360" w:lineRule="auto"/>
        <w:ind w:firstLine="420" w:firstLineChars="200"/>
        <w:outlineLvl w:val="2"/>
        <w:rPr>
          <w:rFonts w:ascii="宋体" w:hAnsi="宋体"/>
          <w:b/>
          <w:bCs/>
          <w:szCs w:val="21"/>
        </w:rPr>
      </w:pPr>
      <w:bookmarkStart w:id="61" w:name="OLE_LINK17"/>
      <w:r>
        <w:rPr>
          <w:rFonts w:ascii="宋体" w:hAnsi="宋体" w:hint="eastAsia"/>
          <w:b/>
          <w:bCs/>
          <w:szCs w:val="21"/>
        </w:rPr>
        <w:t>1.3副车架（数量2套）</w:t>
      </w:r>
    </w:p>
    <w:p>
      <w:pPr>
        <w:spacing w:line="360" w:lineRule="auto"/>
        <w:ind w:firstLine="420" w:firstLineChars="200"/>
        <w:rPr>
          <w:rFonts w:ascii="宋体" w:hAnsi="宋体"/>
          <w:szCs w:val="21"/>
        </w:rPr>
      </w:pPr>
      <w:r>
        <w:rPr>
          <w:rFonts w:ascii="宋体" w:hAnsi="宋体" w:hint="eastAsia"/>
          <w:szCs w:val="21"/>
        </w:rPr>
        <w:t>副车架纵梁采用高强度方管及高强汽车大梁板折弯压制成型的横梁焊而成。副车架上面铺设花纹铝板，副车架平台上焊接四个旋锁位座，锁位尺寸严格按照标准布置(如不考虑自卸式方舱可忽略旋锁位座)。</w:t>
      </w:r>
    </w:p>
    <w:bookmarkEnd w:id="61"/>
    <w:p>
      <w:pPr>
        <w:spacing w:line="360" w:lineRule="auto"/>
        <w:ind w:firstLine="420" w:firstLineChars="200"/>
        <w:outlineLvl w:val="2"/>
        <w:rPr>
          <w:rFonts w:ascii="宋体" w:hAnsi="宋体"/>
          <w:b/>
          <w:bCs/>
          <w:szCs w:val="21"/>
        </w:rPr>
      </w:pPr>
      <w:bookmarkStart w:id="62" w:name="OLE_LINK18"/>
      <w:r>
        <w:rPr>
          <w:rFonts w:ascii="宋体" w:hAnsi="宋体" w:hint="eastAsia"/>
          <w:b/>
          <w:bCs/>
          <w:szCs w:val="21"/>
        </w:rPr>
        <w:t>1.4工具箱</w:t>
      </w:r>
      <w:bookmarkStart w:id="63" w:name="OLE_LINK12"/>
      <w:r>
        <w:rPr>
          <w:rFonts w:ascii="宋体" w:hAnsi="宋体" w:hint="eastAsia"/>
          <w:b/>
          <w:bCs/>
          <w:szCs w:val="21"/>
        </w:rPr>
        <w:t>（数量2套）</w:t>
      </w:r>
      <w:bookmarkEnd w:id="63"/>
    </w:p>
    <w:p>
      <w:pPr>
        <w:spacing w:line="360" w:lineRule="auto"/>
        <w:ind w:firstLine="420" w:firstLineChars="200"/>
        <w:rPr>
          <w:rFonts w:ascii="宋体" w:hAnsi="宋体"/>
          <w:szCs w:val="21"/>
        </w:rPr>
      </w:pPr>
      <w:r>
        <w:rPr>
          <w:rFonts w:ascii="宋体" w:hAnsi="宋体" w:hint="eastAsia"/>
          <w:szCs w:val="21"/>
        </w:rPr>
        <w:t>箱体以优质冷轧钢板为材料，折弯成框架，通过满焊成型，门板与门框的封闭结构有水密作用，并镶嵌有水气密封条;箱体锁具采用圆柱锁，锁体为不锈钢结构。箱体及其框架涂覆工艺同副车架结构。</w:t>
      </w:r>
    </w:p>
    <w:bookmarkEnd w:id="62"/>
    <w:p>
      <w:pPr>
        <w:spacing w:line="360" w:lineRule="auto"/>
        <w:ind w:firstLine="420" w:firstLineChars="200"/>
        <w:outlineLvl w:val="2"/>
        <w:rPr>
          <w:rFonts w:ascii="宋体" w:hAnsi="宋体"/>
          <w:b/>
          <w:bCs/>
          <w:szCs w:val="21"/>
        </w:rPr>
      </w:pPr>
      <w:bookmarkStart w:id="64" w:name="OLE_LINK19"/>
      <w:r>
        <w:rPr>
          <w:rFonts w:ascii="宋体" w:hAnsi="宋体" w:hint="eastAsia"/>
          <w:b/>
          <w:bCs/>
          <w:szCs w:val="21"/>
        </w:rPr>
        <w:t>1.5车载式/移动式方舱组成要求</w:t>
      </w:r>
    </w:p>
    <w:p>
      <w:pPr>
        <w:spacing w:line="360" w:lineRule="auto"/>
        <w:ind w:firstLine="420" w:firstLineChars="200"/>
        <w:rPr>
          <w:rFonts w:ascii="宋体" w:hAnsi="宋体"/>
          <w:szCs w:val="21"/>
        </w:rPr>
      </w:pPr>
      <w:r>
        <w:rPr>
          <w:rFonts w:ascii="宋体" w:hAnsi="宋体" w:hint="eastAsia"/>
          <w:szCs w:val="21"/>
        </w:rPr>
        <w:t>方舱主要由设备舱、工作舱、空调系统、供电系统、录像设备、方舱升降机构(适用于移动式方舱)、电动天窗、方舱调平仪和便携式大气参数探测设备存储舱等组成。方舱外形尺寸需满足设备探测要求，保证探测设备工作时不会相互影响。方舱内部配置大屏显示器，转接口，2人操作座席≥1组，打印机和储存柜，会议桌，5孔电源插座≥3，并预留的外部设备信息采集接。</w:t>
      </w:r>
    </w:p>
    <w:bookmarkEnd w:id="64"/>
    <w:p>
      <w:pPr>
        <w:spacing w:line="360" w:lineRule="auto"/>
        <w:ind w:firstLine="420" w:firstLineChars="200"/>
        <w:outlineLvl w:val="2"/>
        <w:rPr>
          <w:rFonts w:ascii="宋体" w:hAnsi="宋体"/>
          <w:b/>
          <w:bCs/>
          <w:szCs w:val="21"/>
        </w:rPr>
      </w:pPr>
      <w:bookmarkStart w:id="65" w:name="OLE_LINK20"/>
      <w:r>
        <w:rPr>
          <w:rFonts w:ascii="宋体" w:hAnsi="宋体" w:hint="eastAsia"/>
          <w:b/>
          <w:bCs/>
          <w:szCs w:val="21"/>
        </w:rPr>
        <w:t>1.6方舱主箱体（数量2套）</w:t>
      </w:r>
    </w:p>
    <w:p>
      <w:pPr>
        <w:spacing w:line="360" w:lineRule="auto"/>
        <w:ind w:firstLine="420" w:firstLineChars="200"/>
        <w:rPr>
          <w:rFonts w:ascii="宋体" w:hAnsi="宋体"/>
          <w:szCs w:val="21"/>
        </w:rPr>
      </w:pPr>
      <w:r>
        <w:rPr>
          <w:rFonts w:ascii="宋体" w:hAnsi="宋体" w:hint="eastAsia"/>
          <w:szCs w:val="21"/>
        </w:rPr>
        <w:t>采用直角方舱，外形宽度≤2438mm，配备8个角安装方舱角件，厢体按钢骨架铝合金蒙皮进行制作，外蒙皮选用厚度≥2mm铝板，选用高密度的阻燃聚氨酯泡沫作为夹芯层(隔热芯材)，大板中所用的骨架为钢骨架焊接而成，内外蒙皮与骨架粘接固定，厢体骨架整体防腐处理，以保证骨架的防腐能力。内饰型材及外包型材、门结构采用铝型材。各开孔和承重处均设置骨架的预埋件，满足车厢的承重要求和安装要求。</w:t>
      </w:r>
    </w:p>
    <w:bookmarkEnd w:id="65"/>
    <w:p>
      <w:pPr>
        <w:spacing w:line="360" w:lineRule="auto"/>
        <w:ind w:firstLine="420" w:firstLineChars="200"/>
        <w:outlineLvl w:val="2"/>
        <w:rPr>
          <w:rFonts w:ascii="宋体" w:hAnsi="宋体"/>
          <w:b/>
          <w:bCs/>
          <w:szCs w:val="21"/>
        </w:rPr>
      </w:pPr>
      <w:bookmarkStart w:id="66" w:name="OLE_LINK21"/>
      <w:r>
        <w:rPr>
          <w:rFonts w:ascii="宋体" w:hAnsi="宋体" w:hint="eastAsia"/>
          <w:b/>
          <w:bCs/>
          <w:szCs w:val="21"/>
        </w:rPr>
        <w:t>1.7方舱主箱体配套设施（数量2套）</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145"/>
        <w:gridCol w:w="5901"/>
        <w:gridCol w:w="719"/>
        <w:gridCol w:w="757"/>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699"/>
        </w:trPr>
        <w:tc>
          <w:tcPr>
            <w:tcW w:w="672" w:type="pct"/>
            <w:vAlign w:val="center"/>
          </w:tcPr>
          <w:p>
            <w:pPr>
              <w:rPr>
                <w:rFonts w:ascii="宋体" w:hAnsi="宋体"/>
                <w:szCs w:val="21"/>
              </w:rPr>
            </w:pPr>
            <w:bookmarkStart w:id="67" w:name="_Hlk214009838"/>
            <w:r>
              <w:rPr>
                <w:rFonts w:ascii="宋体" w:hAnsi="宋体" w:hint="eastAsia"/>
                <w:szCs w:val="21"/>
              </w:rPr>
              <w:t>设施名称</w:t>
            </w:r>
          </w:p>
        </w:tc>
        <w:tc>
          <w:tcPr>
            <w:tcW w:w="3462" w:type="pct"/>
            <w:vAlign w:val="center"/>
          </w:tcPr>
          <w:p>
            <w:pPr>
              <w:jc w:val="center"/>
              <w:rPr>
                <w:rFonts w:ascii="宋体" w:hAnsi="宋体"/>
                <w:szCs w:val="21"/>
              </w:rPr>
            </w:pPr>
            <w:r>
              <w:rPr>
                <w:rFonts w:ascii="宋体" w:hAnsi="宋体" w:hint="eastAsia"/>
                <w:szCs w:val="21"/>
              </w:rPr>
              <w:t>功能要求</w:t>
            </w:r>
          </w:p>
        </w:tc>
        <w:tc>
          <w:tcPr>
            <w:tcW w:w="422" w:type="pct"/>
            <w:vAlign w:val="center"/>
          </w:tcPr>
          <w:p>
            <w:pPr>
              <w:jc w:val="center"/>
              <w:rPr>
                <w:rFonts w:ascii="宋体" w:hAnsi="宋体"/>
                <w:szCs w:val="21"/>
              </w:rPr>
            </w:pPr>
            <w:r>
              <w:rPr>
                <w:rFonts w:ascii="宋体" w:hAnsi="宋体" w:hint="eastAsia"/>
                <w:szCs w:val="21"/>
              </w:rPr>
              <w:t>数量</w:t>
            </w:r>
          </w:p>
        </w:tc>
        <w:tc>
          <w:tcPr>
            <w:tcW w:w="444" w:type="pct"/>
            <w:vAlign w:val="center"/>
          </w:tcPr>
          <w:p>
            <w:pPr>
              <w:jc w:val="center"/>
              <w:rPr>
                <w:rFonts w:ascii="宋体" w:hAnsi="宋体"/>
                <w:szCs w:val="21"/>
              </w:rPr>
            </w:pPr>
            <w:r>
              <w:rPr>
                <w:rFonts w:ascii="宋体" w:hAnsi="宋体" w:hint="eastAsia"/>
                <w:szCs w:val="21"/>
              </w:rPr>
              <w:t>单位</w:t>
            </w:r>
          </w:p>
        </w:tc>
      </w:tr>
      <w:bookmarkEnd w:id="67"/>
      <w:tr>
        <w:tblPrEx>
          <w:tblW w:w="5000" w:type="pct"/>
          <w:tblInd w:w="0" w:type="dxa"/>
          <w:tblCellMar>
            <w:top w:w="0" w:type="dxa"/>
            <w:left w:w="108" w:type="dxa"/>
            <w:bottom w:w="0" w:type="dxa"/>
            <w:right w:w="108" w:type="dxa"/>
          </w:tblCellMar>
        </w:tblPrEx>
        <w:trPr>
          <w:trHeight w:val="699"/>
        </w:trPr>
        <w:tc>
          <w:tcPr>
            <w:tcW w:w="672" w:type="pct"/>
            <w:vAlign w:val="center"/>
          </w:tcPr>
          <w:p>
            <w:pPr>
              <w:rPr>
                <w:rFonts w:ascii="宋体" w:hAnsi="宋体"/>
                <w:szCs w:val="21"/>
              </w:rPr>
            </w:pPr>
            <w:bookmarkStart w:id="68" w:name="_Hlk225325179"/>
            <w:r>
              <w:rPr>
                <w:rFonts w:ascii="宋体" w:hAnsi="宋体" w:hint="eastAsia"/>
                <w:szCs w:val="21"/>
              </w:rPr>
              <w:t>舱体自卸举升机构</w:t>
            </w:r>
          </w:p>
        </w:tc>
        <w:tc>
          <w:tcPr>
            <w:tcW w:w="3462" w:type="pct"/>
            <w:vAlign w:val="center"/>
          </w:tcPr>
          <w:p>
            <w:pPr>
              <w:rPr>
                <w:rFonts w:ascii="宋体" w:hAnsi="宋体"/>
                <w:szCs w:val="21"/>
              </w:rPr>
            </w:pPr>
            <w:r>
              <w:rPr>
                <w:rFonts w:ascii="宋体" w:hAnsi="宋体" w:hint="eastAsia"/>
                <w:szCs w:val="21"/>
              </w:rPr>
              <w:t>配备1套舱体自卸举升机构。</w:t>
            </w:r>
          </w:p>
          <w:p>
            <w:pPr>
              <w:rPr>
                <w:rFonts w:ascii="宋体" w:hAnsi="宋体"/>
                <w:szCs w:val="21"/>
              </w:rPr>
            </w:pPr>
            <w:r>
              <w:rPr>
                <w:rFonts w:ascii="宋体" w:hAnsi="宋体" w:hint="eastAsia"/>
                <w:szCs w:val="21"/>
              </w:rPr>
              <w:t>a）额定提升重量：满足舱体设计使用重量要求，并具备30%以上冗余能力；</w:t>
            </w:r>
          </w:p>
          <w:p>
            <w:pPr>
              <w:rPr>
                <w:rFonts w:ascii="宋体" w:hAnsi="宋体"/>
                <w:szCs w:val="21"/>
              </w:rPr>
            </w:pPr>
            <w:r>
              <w:rPr>
                <w:rFonts w:ascii="宋体" w:hAnsi="宋体" w:hint="eastAsia"/>
                <w:szCs w:val="21"/>
              </w:rPr>
              <w:t>b）额定举升高度：≥1500mm；</w:t>
            </w:r>
          </w:p>
          <w:p>
            <w:pPr>
              <w:rPr>
                <w:rFonts w:ascii="宋体" w:hAnsi="宋体"/>
                <w:szCs w:val="21"/>
              </w:rPr>
            </w:pPr>
            <w:r>
              <w:rPr>
                <w:rFonts w:ascii="宋体" w:hAnsi="宋体" w:hint="eastAsia"/>
                <w:szCs w:val="21"/>
              </w:rPr>
              <w:t>c）升降时间(单程)：≤15min；</w:t>
            </w:r>
          </w:p>
          <w:p>
            <w:pPr>
              <w:rPr>
                <w:rFonts w:ascii="宋体" w:hAnsi="宋体"/>
                <w:szCs w:val="21"/>
              </w:rPr>
            </w:pPr>
            <w:r>
              <w:rPr>
                <w:rFonts w:ascii="宋体" w:hAnsi="宋体" w:hint="eastAsia"/>
                <w:szCs w:val="21"/>
              </w:rPr>
              <w:t>d）调平时间：≤3min（6m长方舱所需时间）；</w:t>
            </w:r>
          </w:p>
          <w:p>
            <w:pPr>
              <w:rPr>
                <w:rFonts w:ascii="宋体" w:hAnsi="宋体"/>
                <w:szCs w:val="21"/>
              </w:rPr>
            </w:pPr>
            <w:r>
              <w:rPr>
                <w:rFonts w:ascii="宋体" w:hAnsi="宋体" w:hint="eastAsia"/>
                <w:szCs w:val="21"/>
              </w:rPr>
              <w:t>e）调平精度：≤0.1度；</w:t>
            </w:r>
          </w:p>
          <w:p>
            <w:pPr>
              <w:rPr>
                <w:rFonts w:ascii="宋体" w:hAnsi="宋体"/>
                <w:szCs w:val="21"/>
              </w:rPr>
            </w:pPr>
            <w:r>
              <w:rPr>
                <w:rFonts w:ascii="宋体" w:hAnsi="宋体" w:hint="eastAsia"/>
                <w:szCs w:val="21"/>
              </w:rPr>
              <w:t>f）</w:t>
            </w:r>
            <w:r>
              <w:rPr>
                <w:rFonts w:ascii="宋体" w:hAnsi="宋体" w:cs="宋体" w:hint="eastAsia"/>
                <w:szCs w:val="21"/>
              </w:rPr>
              <w:t>工作方式：液压或电动（可手动）</w:t>
            </w:r>
            <w:r>
              <w:rPr>
                <w:rFonts w:ascii="宋体" w:hAnsi="宋体" w:hint="eastAsia"/>
                <w:szCs w:val="21"/>
              </w:rPr>
              <w:t>。</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bookmarkEnd w:id="68"/>
      <w:tr>
        <w:tblPrEx>
          <w:tblW w:w="5000" w:type="pct"/>
          <w:tblInd w:w="0" w:type="dxa"/>
          <w:tblCellMar>
            <w:top w:w="0" w:type="dxa"/>
            <w:left w:w="108" w:type="dxa"/>
            <w:bottom w:w="0" w:type="dxa"/>
            <w:right w:w="108" w:type="dxa"/>
          </w:tblCellMar>
        </w:tblPrEx>
        <w:trPr>
          <w:trHeight w:val="90"/>
        </w:trPr>
        <w:tc>
          <w:tcPr>
            <w:tcW w:w="672" w:type="pct"/>
            <w:vAlign w:val="center"/>
          </w:tcPr>
          <w:p>
            <w:pPr>
              <w:rPr>
                <w:rFonts w:ascii="宋体" w:hAnsi="宋体"/>
                <w:szCs w:val="21"/>
              </w:rPr>
            </w:pPr>
            <w:r>
              <w:rPr>
                <w:rFonts w:ascii="宋体" w:hAnsi="宋体" w:hint="eastAsia"/>
                <w:szCs w:val="21"/>
              </w:rPr>
              <w:t>电动滑盖</w:t>
            </w:r>
          </w:p>
        </w:tc>
        <w:tc>
          <w:tcPr>
            <w:tcW w:w="3462" w:type="pct"/>
            <w:vAlign w:val="center"/>
          </w:tcPr>
          <w:p>
            <w:pPr>
              <w:rPr>
                <w:rFonts w:ascii="宋体" w:hAnsi="宋体" w:cs="宋体"/>
                <w:szCs w:val="21"/>
              </w:rPr>
            </w:pPr>
            <w:r>
              <w:rPr>
                <w:rFonts w:ascii="宋体" w:hAnsi="宋体" w:cs="宋体" w:hint="eastAsia"/>
                <w:szCs w:val="21"/>
              </w:rPr>
              <w:t>在毫米波云雷达舱顶设置电动滑盖，设备存放时密封存储，使用时电动滑移打开。</w:t>
            </w:r>
          </w:p>
          <w:p>
            <w:pPr>
              <w:rPr>
                <w:rFonts w:ascii="宋体" w:hAnsi="宋体" w:cs="宋体"/>
                <w:szCs w:val="21"/>
              </w:rPr>
            </w:pPr>
            <w:r>
              <w:rPr>
                <w:rFonts w:ascii="宋体" w:hAnsi="宋体" w:cs="宋体" w:hint="eastAsia"/>
                <w:szCs w:val="21"/>
              </w:rPr>
              <w:t>a) 滑盖可电动操作，同时具有手动功能；</w:t>
            </w:r>
          </w:p>
          <w:p>
            <w:pPr>
              <w:rPr>
                <w:rFonts w:ascii="宋体" w:hAnsi="宋体" w:cs="宋体"/>
                <w:szCs w:val="21"/>
              </w:rPr>
            </w:pPr>
            <w:r>
              <w:rPr>
                <w:rFonts w:ascii="宋体" w:hAnsi="宋体" w:cs="宋体" w:hint="eastAsia"/>
                <w:szCs w:val="21"/>
              </w:rPr>
              <w:t>b) 滑盖移动速度：≥6mm/s；</w:t>
            </w:r>
          </w:p>
          <w:p>
            <w:pPr>
              <w:rPr>
                <w:rFonts w:ascii="宋体" w:hAnsi="宋体" w:cs="宋体"/>
                <w:szCs w:val="21"/>
              </w:rPr>
            </w:pPr>
            <w:r>
              <w:rPr>
                <w:rFonts w:ascii="宋体" w:hAnsi="宋体" w:cs="宋体" w:hint="eastAsia"/>
                <w:szCs w:val="21"/>
              </w:rPr>
              <w:t>c) 滑盖开关时间：≤7min；</w:t>
            </w:r>
          </w:p>
          <w:p>
            <w:pPr>
              <w:rPr>
                <w:rFonts w:ascii="宋体" w:hAnsi="宋体" w:cs="宋体"/>
                <w:szCs w:val="21"/>
              </w:rPr>
            </w:pPr>
            <w:r>
              <w:rPr>
                <w:rFonts w:ascii="宋体" w:hAnsi="宋体" w:cs="宋体" w:hint="eastAsia"/>
                <w:szCs w:val="21"/>
              </w:rPr>
              <w:t>d) 雷达升降过程和升顶到位期间舱顶滑盖电机具有防雨功能；</w:t>
            </w:r>
          </w:p>
          <w:p>
            <w:pPr>
              <w:rPr>
                <w:rFonts w:ascii="宋体" w:hAnsi="宋体" w:cs="宋体"/>
                <w:szCs w:val="21"/>
              </w:rPr>
            </w:pPr>
            <w:r>
              <w:rPr>
                <w:rFonts w:ascii="宋体" w:hAnsi="宋体" w:cs="宋体" w:hint="eastAsia"/>
                <w:szCs w:val="21"/>
              </w:rPr>
              <w:t>e) 滑盖保护，设置机械限位保护及系统软件保护，软件保护的到位传感器采用双冗余设计；</w:t>
            </w:r>
          </w:p>
          <w:p>
            <w:pPr>
              <w:rPr>
                <w:rFonts w:ascii="宋体" w:hAnsi="宋体" w:cs="宋体"/>
                <w:szCs w:val="21"/>
              </w:rPr>
            </w:pPr>
            <w:r>
              <w:rPr>
                <w:rFonts w:ascii="宋体" w:hAnsi="宋体" w:cs="宋体" w:hint="eastAsia"/>
                <w:szCs w:val="21"/>
              </w:rPr>
              <w:t>f) 滑盖机构要求操作简单、方便，维修方便；</w:t>
            </w:r>
          </w:p>
          <w:p>
            <w:pPr>
              <w:rPr>
                <w:rFonts w:ascii="宋体" w:hAnsi="宋体" w:cs="宋体"/>
                <w:szCs w:val="21"/>
              </w:rPr>
            </w:pPr>
            <w:r>
              <w:rPr>
                <w:rFonts w:ascii="宋体" w:hAnsi="宋体" w:cs="宋体" w:hint="eastAsia"/>
                <w:szCs w:val="21"/>
              </w:rPr>
              <w:t>g) 滑盖打开、关闭到位时设置机械限位，防止滑盖脱轨；</w:t>
            </w:r>
          </w:p>
          <w:p>
            <w:pPr>
              <w:rPr>
                <w:rFonts w:ascii="宋体" w:hAnsi="宋体" w:cs="宋体"/>
                <w:szCs w:val="21"/>
              </w:rPr>
            </w:pPr>
            <w:r>
              <w:rPr>
                <w:rFonts w:ascii="宋体" w:hAnsi="宋体" w:cs="宋体" w:hint="eastAsia"/>
                <w:szCs w:val="21"/>
              </w:rPr>
              <w:t>h) 滑盖关闭后具有防雨功能。</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699"/>
        </w:trPr>
        <w:tc>
          <w:tcPr>
            <w:tcW w:w="672" w:type="pct"/>
            <w:vAlign w:val="center"/>
          </w:tcPr>
          <w:p>
            <w:pPr>
              <w:rPr>
                <w:rFonts w:ascii="宋体" w:hAnsi="宋体"/>
                <w:szCs w:val="21"/>
              </w:rPr>
            </w:pPr>
            <w:r>
              <w:rPr>
                <w:rFonts w:ascii="宋体" w:hAnsi="宋体" w:hint="eastAsia"/>
                <w:szCs w:val="21"/>
              </w:rPr>
              <w:t>举升平台</w:t>
            </w:r>
          </w:p>
        </w:tc>
        <w:tc>
          <w:tcPr>
            <w:tcW w:w="3462" w:type="pct"/>
            <w:vAlign w:val="center"/>
          </w:tcPr>
          <w:p>
            <w:pPr>
              <w:rPr>
                <w:rFonts w:ascii="宋体" w:hAnsi="宋体" w:cs="宋体"/>
                <w:szCs w:val="21"/>
              </w:rPr>
            </w:pPr>
            <w:r>
              <w:rPr>
                <w:rFonts w:ascii="宋体" w:hAnsi="宋体" w:cs="宋体" w:hint="eastAsia"/>
                <w:szCs w:val="21"/>
              </w:rPr>
              <w:t>a)升降平台行程：≥1900mm；</w:t>
            </w:r>
          </w:p>
          <w:p>
            <w:pPr>
              <w:rPr>
                <w:rFonts w:ascii="宋体" w:hAnsi="宋体" w:cs="宋体"/>
                <w:szCs w:val="21"/>
              </w:rPr>
            </w:pPr>
            <w:r>
              <w:rPr>
                <w:rFonts w:ascii="宋体" w:hAnsi="宋体" w:cs="宋体" w:hint="eastAsia"/>
                <w:szCs w:val="21"/>
              </w:rPr>
              <w:t>b)升降平台移动速度：≥4mm/s；</w:t>
            </w:r>
          </w:p>
          <w:p>
            <w:pPr>
              <w:rPr>
                <w:rFonts w:ascii="宋体" w:hAnsi="宋体" w:cs="宋体"/>
                <w:szCs w:val="21"/>
              </w:rPr>
            </w:pPr>
            <w:r>
              <w:rPr>
                <w:rFonts w:ascii="宋体" w:hAnsi="宋体" w:cs="宋体" w:hint="eastAsia"/>
                <w:szCs w:val="21"/>
              </w:rPr>
              <w:t>c)升降平台-承载能力：≥1.5吨；</w:t>
            </w:r>
          </w:p>
          <w:p>
            <w:pPr>
              <w:rPr>
                <w:rFonts w:ascii="宋体" w:hAnsi="宋体" w:cs="宋体"/>
                <w:szCs w:val="21"/>
              </w:rPr>
            </w:pPr>
            <w:r>
              <w:rPr>
                <w:rFonts w:ascii="宋体" w:hAnsi="宋体" w:cs="宋体" w:hint="eastAsia"/>
                <w:szCs w:val="21"/>
              </w:rPr>
              <w:t>d)平台升降时间≤8min；</w:t>
            </w:r>
          </w:p>
          <w:p>
            <w:pPr>
              <w:rPr>
                <w:rFonts w:ascii="宋体" w:hAnsi="宋体" w:cs="宋体"/>
                <w:szCs w:val="21"/>
              </w:rPr>
            </w:pPr>
            <w:r>
              <w:rPr>
                <w:rFonts w:ascii="宋体" w:hAnsi="宋体" w:cs="宋体" w:hint="eastAsia"/>
                <w:szCs w:val="21"/>
              </w:rPr>
              <w:t>e)升降平台接水盒接水量：≥6mm/s</w:t>
            </w:r>
          </w:p>
          <w:p>
            <w:pPr>
              <w:rPr>
                <w:rFonts w:ascii="宋体" w:hAnsi="宋体" w:cs="宋体"/>
                <w:szCs w:val="21"/>
              </w:rPr>
            </w:pPr>
            <w:r>
              <w:rPr>
                <w:rFonts w:ascii="宋体" w:hAnsi="宋体" w:cs="宋体" w:hint="eastAsia"/>
                <w:szCs w:val="21"/>
              </w:rPr>
              <w:t>f)电机防护等级≥IP67；</w:t>
            </w:r>
          </w:p>
          <w:p>
            <w:pPr>
              <w:rPr>
                <w:rFonts w:ascii="宋体" w:hAnsi="宋体" w:cs="宋体"/>
                <w:szCs w:val="21"/>
              </w:rPr>
            </w:pPr>
            <w:r>
              <w:rPr>
                <w:rFonts w:ascii="宋体" w:hAnsi="宋体" w:cs="宋体" w:hint="eastAsia"/>
                <w:szCs w:val="21"/>
              </w:rPr>
              <w:t>g)安全操作保护：雷达未回正时或天线未顶置时不能下降，举升机构操作将被车载主控服务器禁用，雷达未升顶时不能进行伺服动作，雷达伺服动作功能将被车载主控服务器禁用，举升机构舱顶滑盖、举升平台等设备到位、禁用/解禁、诊断、运行状态应通过通讯接口实时上传给车载主控软件，用户可实时监控模组架设状态；</w:t>
            </w:r>
          </w:p>
          <w:p>
            <w:pPr>
              <w:rPr>
                <w:rFonts w:ascii="宋体" w:hAnsi="宋体" w:cs="宋体"/>
                <w:szCs w:val="21"/>
              </w:rPr>
            </w:pPr>
            <w:r>
              <w:rPr>
                <w:rFonts w:ascii="宋体" w:hAnsi="宋体" w:cs="宋体" w:hint="eastAsia"/>
                <w:szCs w:val="21"/>
              </w:rPr>
              <w:t>h)升降保护：设置机械限位保护及系统软件保护,软件保护的到位传感器采用双冗余设计；</w:t>
            </w:r>
          </w:p>
          <w:p>
            <w:pPr>
              <w:rPr>
                <w:rFonts w:ascii="宋体" w:hAnsi="宋体" w:cs="宋体"/>
                <w:szCs w:val="21"/>
              </w:rPr>
            </w:pPr>
            <w:r>
              <w:rPr>
                <w:rFonts w:ascii="宋体" w:hAnsi="宋体" w:cs="宋体" w:hint="eastAsia"/>
                <w:szCs w:val="21"/>
              </w:rPr>
              <w:t>i)操作方式：电动/手动；</w:t>
            </w:r>
          </w:p>
          <w:p>
            <w:pPr>
              <w:rPr>
                <w:rFonts w:ascii="宋体" w:hAnsi="宋体" w:cs="宋体"/>
                <w:szCs w:val="21"/>
              </w:rPr>
            </w:pPr>
            <w:r>
              <w:rPr>
                <w:rFonts w:ascii="宋体" w:hAnsi="宋体" w:cs="宋体" w:hint="eastAsia"/>
                <w:szCs w:val="21"/>
              </w:rPr>
              <w:t>具备限位功能和限位提示。</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280"/>
        </w:trPr>
        <w:tc>
          <w:tcPr>
            <w:tcW w:w="672" w:type="pct"/>
            <w:vAlign w:val="center"/>
          </w:tcPr>
          <w:p>
            <w:pPr>
              <w:rPr>
                <w:rFonts w:ascii="宋体" w:hAnsi="宋体"/>
                <w:szCs w:val="21"/>
              </w:rPr>
            </w:pPr>
            <w:r>
              <w:rPr>
                <w:rFonts w:ascii="宋体" w:hAnsi="宋体" w:hint="eastAsia"/>
                <w:szCs w:val="21"/>
              </w:rPr>
              <w:t>登舱门</w:t>
            </w:r>
          </w:p>
        </w:tc>
        <w:tc>
          <w:tcPr>
            <w:tcW w:w="3462" w:type="pct"/>
            <w:vAlign w:val="center"/>
          </w:tcPr>
          <w:p>
            <w:pPr>
              <w:rPr>
                <w:rFonts w:ascii="宋体" w:hAnsi="宋体" w:cs="宋体"/>
                <w:szCs w:val="21"/>
              </w:rPr>
            </w:pPr>
            <w:r>
              <w:rPr>
                <w:rFonts w:ascii="宋体" w:hAnsi="宋体" w:hint="eastAsia"/>
                <w:szCs w:val="21"/>
              </w:rPr>
              <w:t>侧开门开启角度</w:t>
            </w:r>
            <w:r>
              <w:rPr>
                <w:rFonts w:ascii="宋体" w:hAnsi="宋体" w:cs="宋体" w:hint="eastAsia"/>
                <w:szCs w:val="21"/>
              </w:rPr>
              <w:t>≥90°</w:t>
            </w:r>
            <w:r>
              <w:rPr>
                <w:rFonts w:ascii="宋体" w:hAnsi="宋体" w:hint="eastAsia"/>
                <w:szCs w:val="21"/>
              </w:rPr>
              <w:t>，采用三点锁紧机构，入户门配备机械锁，在舱内能够将门打开。</w:t>
            </w:r>
          </w:p>
        </w:tc>
        <w:tc>
          <w:tcPr>
            <w:tcW w:w="422" w:type="pct"/>
            <w:vAlign w:val="center"/>
          </w:tcPr>
          <w:p>
            <w:pPr>
              <w:jc w:val="center"/>
              <w:rPr>
                <w:rFonts w:ascii="宋体" w:hAnsi="宋体"/>
                <w:szCs w:val="21"/>
              </w:rPr>
            </w:pPr>
            <w:bookmarkStart w:id="69" w:name="OLE_LINK13"/>
            <w:r>
              <w:rPr>
                <w:rFonts w:ascii="宋体" w:hAnsi="宋体" w:hint="eastAsia"/>
                <w:szCs w:val="21"/>
              </w:rPr>
              <w:t>1</w:t>
            </w:r>
            <w:bookmarkEnd w:id="69"/>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280"/>
        </w:trPr>
        <w:tc>
          <w:tcPr>
            <w:tcW w:w="672" w:type="pct"/>
            <w:vAlign w:val="center"/>
          </w:tcPr>
          <w:p>
            <w:pPr>
              <w:rPr>
                <w:rFonts w:ascii="宋体" w:hAnsi="宋体"/>
                <w:szCs w:val="21"/>
              </w:rPr>
            </w:pPr>
            <w:r>
              <w:rPr>
                <w:rFonts w:ascii="宋体" w:hAnsi="宋体" w:hint="eastAsia"/>
                <w:szCs w:val="21"/>
              </w:rPr>
              <w:t>采光窗</w:t>
            </w:r>
          </w:p>
        </w:tc>
        <w:tc>
          <w:tcPr>
            <w:tcW w:w="3462" w:type="pct"/>
            <w:vAlign w:val="center"/>
          </w:tcPr>
          <w:p>
            <w:pPr>
              <w:rPr>
                <w:rFonts w:ascii="宋体" w:hAnsi="宋体" w:cs="宋体"/>
                <w:szCs w:val="21"/>
              </w:rPr>
            </w:pPr>
            <w:r>
              <w:rPr>
                <w:rFonts w:ascii="宋体" w:hAnsi="宋体" w:cs="宋体" w:hint="eastAsia"/>
                <w:szCs w:val="21"/>
              </w:rPr>
              <w:t>采用双层钢化玻璃。</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280"/>
        </w:trPr>
        <w:tc>
          <w:tcPr>
            <w:tcW w:w="672" w:type="pct"/>
            <w:vAlign w:val="center"/>
          </w:tcPr>
          <w:p>
            <w:pPr>
              <w:rPr>
                <w:rFonts w:ascii="宋体" w:hAnsi="宋体"/>
                <w:szCs w:val="21"/>
              </w:rPr>
            </w:pPr>
            <w:r>
              <w:rPr>
                <w:rFonts w:ascii="宋体" w:hAnsi="宋体" w:hint="eastAsia"/>
                <w:szCs w:val="21"/>
              </w:rPr>
              <w:t>发电机检修门</w:t>
            </w:r>
          </w:p>
        </w:tc>
        <w:tc>
          <w:tcPr>
            <w:tcW w:w="3462" w:type="pct"/>
            <w:vAlign w:val="center"/>
          </w:tcPr>
          <w:p>
            <w:pPr>
              <w:rPr>
                <w:rFonts w:ascii="宋体" w:hAnsi="宋体" w:cs="宋体"/>
                <w:szCs w:val="21"/>
              </w:rPr>
            </w:pPr>
            <w:bookmarkStart w:id="70" w:name="OLE_LINK9"/>
            <w:r>
              <w:rPr>
                <w:rFonts w:ascii="宋体" w:hAnsi="宋体" w:cs="宋体" w:hint="eastAsia"/>
                <w:szCs w:val="21"/>
              </w:rPr>
              <w:t>采用高强度铝合金结构，门板上配备百叶窗式格栅，用于设备通风散热</w:t>
            </w:r>
            <w:bookmarkEnd w:id="70"/>
            <w:r>
              <w:rPr>
                <w:rFonts w:ascii="宋体" w:hAnsi="宋体" w:cs="宋体" w:hint="eastAsia"/>
                <w:szCs w:val="21"/>
              </w:rPr>
              <w:t>。</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280"/>
        </w:trPr>
        <w:tc>
          <w:tcPr>
            <w:tcW w:w="672" w:type="pct"/>
            <w:vAlign w:val="center"/>
          </w:tcPr>
          <w:p>
            <w:pPr>
              <w:rPr>
                <w:rFonts w:ascii="宋体" w:hAnsi="宋体"/>
                <w:szCs w:val="21"/>
              </w:rPr>
            </w:pPr>
            <w:r>
              <w:rPr>
                <w:rFonts w:ascii="宋体" w:hAnsi="宋体" w:hint="eastAsia"/>
                <w:szCs w:val="21"/>
              </w:rPr>
              <w:t>采光窗帘</w:t>
            </w:r>
          </w:p>
        </w:tc>
        <w:tc>
          <w:tcPr>
            <w:tcW w:w="3462" w:type="pct"/>
            <w:vAlign w:val="center"/>
          </w:tcPr>
          <w:p>
            <w:pPr>
              <w:rPr>
                <w:rFonts w:ascii="宋体" w:hAnsi="宋体"/>
                <w:szCs w:val="21"/>
              </w:rPr>
            </w:pPr>
            <w:r>
              <w:rPr>
                <w:rFonts w:ascii="宋体" w:hAnsi="宋体" w:hint="eastAsia"/>
                <w:szCs w:val="21"/>
              </w:rPr>
              <w:t>采用避光防蚊一体式窗帘。</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280"/>
        </w:trPr>
        <w:tc>
          <w:tcPr>
            <w:tcW w:w="672" w:type="pct"/>
            <w:vAlign w:val="center"/>
          </w:tcPr>
          <w:p>
            <w:pPr>
              <w:rPr>
                <w:rFonts w:ascii="宋体" w:hAnsi="宋体"/>
                <w:szCs w:val="21"/>
              </w:rPr>
            </w:pPr>
            <w:r>
              <w:rPr>
                <w:rFonts w:ascii="宋体" w:hAnsi="宋体" w:hint="eastAsia"/>
                <w:szCs w:val="21"/>
              </w:rPr>
              <w:t>设备机柜</w:t>
            </w:r>
          </w:p>
        </w:tc>
        <w:tc>
          <w:tcPr>
            <w:tcW w:w="3462" w:type="pct"/>
            <w:vAlign w:val="center"/>
          </w:tcPr>
          <w:p>
            <w:pPr>
              <w:rPr>
                <w:rFonts w:ascii="宋体" w:hAnsi="宋体"/>
                <w:szCs w:val="21"/>
              </w:rPr>
            </w:pPr>
            <w:r>
              <w:rPr>
                <w:rFonts w:ascii="宋体" w:hAnsi="宋体" w:hint="eastAsia"/>
                <w:szCs w:val="21"/>
              </w:rPr>
              <w:t>标准19英寸机架，表面喷塑，包含安装件、减震等，尺寸符合设备上装要求。</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280"/>
        </w:trPr>
        <w:tc>
          <w:tcPr>
            <w:tcW w:w="672" w:type="pct"/>
            <w:vAlign w:val="center"/>
          </w:tcPr>
          <w:p>
            <w:pPr>
              <w:rPr>
                <w:rFonts w:ascii="宋体" w:hAnsi="宋体"/>
                <w:szCs w:val="21"/>
              </w:rPr>
            </w:pPr>
            <w:r>
              <w:rPr>
                <w:rFonts w:ascii="宋体" w:hAnsi="宋体" w:hint="eastAsia"/>
                <w:szCs w:val="21"/>
              </w:rPr>
              <w:t>舱体地板</w:t>
            </w:r>
          </w:p>
        </w:tc>
        <w:tc>
          <w:tcPr>
            <w:tcW w:w="3462" w:type="pct"/>
            <w:vAlign w:val="center"/>
          </w:tcPr>
          <w:p>
            <w:pPr>
              <w:rPr>
                <w:rFonts w:ascii="宋体" w:hAnsi="宋体"/>
                <w:szCs w:val="21"/>
              </w:rPr>
            </w:pPr>
            <w:r>
              <w:rPr>
                <w:rFonts w:ascii="宋体" w:hAnsi="宋体" w:hint="eastAsia"/>
                <w:szCs w:val="21"/>
              </w:rPr>
              <w:t>操作区表面铺地板革，发电机区、毫米波云雷达安装区域铺设花纹铝板，</w:t>
            </w:r>
            <w:r>
              <w:rPr>
                <w:rFonts w:ascii="宋体" w:hAnsi="宋体" w:cs="宋体" w:hint="eastAsia"/>
                <w:szCs w:val="21"/>
              </w:rPr>
              <w:t>毫米波云雷达安装区域设计排水功能，避免积水流向舱室隔断墙。</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520"/>
        </w:trPr>
        <w:tc>
          <w:tcPr>
            <w:tcW w:w="672" w:type="pct"/>
            <w:vAlign w:val="center"/>
          </w:tcPr>
          <w:p>
            <w:pPr>
              <w:rPr>
                <w:rFonts w:ascii="宋体" w:hAnsi="宋体"/>
                <w:szCs w:val="21"/>
              </w:rPr>
            </w:pPr>
            <w:r>
              <w:rPr>
                <w:rFonts w:ascii="宋体" w:hAnsi="宋体" w:hint="eastAsia"/>
                <w:szCs w:val="21"/>
              </w:rPr>
              <w:t>舱内基础内饰</w:t>
            </w:r>
          </w:p>
        </w:tc>
        <w:tc>
          <w:tcPr>
            <w:tcW w:w="3462" w:type="pct"/>
            <w:vAlign w:val="center"/>
          </w:tcPr>
          <w:p>
            <w:pPr>
              <w:rPr>
                <w:rFonts w:ascii="宋体" w:hAnsi="宋体"/>
                <w:szCs w:val="21"/>
              </w:rPr>
            </w:pPr>
            <w:r>
              <w:rPr>
                <w:rFonts w:ascii="宋体" w:hAnsi="宋体" w:hint="eastAsia"/>
                <w:szCs w:val="21"/>
              </w:rPr>
              <w:t>对</w:t>
            </w:r>
            <w:r>
              <w:rPr>
                <w:rFonts w:ascii="宋体" w:hAnsi="宋体" w:cs="宋体"/>
                <w:szCs w:val="21"/>
              </w:rPr>
              <w:t>厢体内部进行平整处理，操作区表面喷漆或软包装饰，发电</w:t>
            </w:r>
            <w:r>
              <w:rPr>
                <w:rFonts w:ascii="宋体" w:hAnsi="宋体" w:cs="宋体" w:hint="eastAsia"/>
                <w:szCs w:val="21"/>
              </w:rPr>
              <w:t>区、毫米波云雷达安装区</w:t>
            </w:r>
            <w:r>
              <w:rPr>
                <w:rFonts w:ascii="宋体" w:hAnsi="宋体" w:cs="宋体"/>
                <w:szCs w:val="21"/>
              </w:rPr>
              <w:t>墙面喷漆处理。</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280"/>
        </w:trPr>
        <w:tc>
          <w:tcPr>
            <w:tcW w:w="672" w:type="pct"/>
            <w:vAlign w:val="center"/>
          </w:tcPr>
          <w:p>
            <w:pPr>
              <w:rPr>
                <w:rFonts w:ascii="宋体" w:hAnsi="宋体"/>
                <w:szCs w:val="21"/>
              </w:rPr>
            </w:pPr>
            <w:r>
              <w:rPr>
                <w:rFonts w:ascii="宋体" w:hAnsi="宋体" w:hint="eastAsia"/>
                <w:szCs w:val="21"/>
              </w:rPr>
              <w:t>机柜台面</w:t>
            </w:r>
          </w:p>
        </w:tc>
        <w:tc>
          <w:tcPr>
            <w:tcW w:w="3462" w:type="pct"/>
            <w:vAlign w:val="center"/>
          </w:tcPr>
          <w:p>
            <w:pPr>
              <w:rPr>
                <w:rFonts w:ascii="宋体" w:hAnsi="宋体"/>
                <w:szCs w:val="21"/>
              </w:rPr>
            </w:pPr>
            <w:r>
              <w:rPr>
                <w:rFonts w:ascii="宋体" w:hAnsi="宋体" w:hint="eastAsia"/>
                <w:szCs w:val="21"/>
              </w:rPr>
              <w:t>采用环保免漆板制作。</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280"/>
        </w:trPr>
        <w:tc>
          <w:tcPr>
            <w:tcW w:w="672" w:type="pct"/>
            <w:vAlign w:val="center"/>
          </w:tcPr>
          <w:p>
            <w:pPr>
              <w:rPr>
                <w:rFonts w:ascii="宋体" w:hAnsi="宋体"/>
                <w:szCs w:val="21"/>
              </w:rPr>
            </w:pPr>
            <w:r>
              <w:rPr>
                <w:rFonts w:ascii="宋体" w:hAnsi="宋体" w:hint="eastAsia"/>
                <w:szCs w:val="21"/>
              </w:rPr>
              <w:t>操作员座椅</w:t>
            </w:r>
          </w:p>
        </w:tc>
        <w:tc>
          <w:tcPr>
            <w:tcW w:w="3462" w:type="pct"/>
            <w:vAlign w:val="center"/>
          </w:tcPr>
          <w:p>
            <w:pPr>
              <w:rPr>
                <w:rFonts w:ascii="宋体" w:hAnsi="宋体"/>
                <w:szCs w:val="21"/>
              </w:rPr>
            </w:pPr>
            <w:r>
              <w:rPr>
                <w:rFonts w:ascii="宋体" w:hAnsi="宋体" w:hint="eastAsia"/>
                <w:szCs w:val="21"/>
              </w:rPr>
              <w:t>可旋转、前后滑移。</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280"/>
        </w:trPr>
        <w:tc>
          <w:tcPr>
            <w:tcW w:w="672" w:type="pct"/>
            <w:vAlign w:val="center"/>
          </w:tcPr>
          <w:p>
            <w:pPr>
              <w:rPr>
                <w:rFonts w:ascii="宋体" w:hAnsi="宋体"/>
                <w:szCs w:val="21"/>
              </w:rPr>
            </w:pPr>
            <w:r>
              <w:rPr>
                <w:rFonts w:ascii="宋体" w:hAnsi="宋体" w:hint="eastAsia"/>
                <w:szCs w:val="21"/>
              </w:rPr>
              <w:t>油漆及外饰</w:t>
            </w:r>
          </w:p>
        </w:tc>
        <w:tc>
          <w:tcPr>
            <w:tcW w:w="3462" w:type="pct"/>
            <w:vAlign w:val="center"/>
          </w:tcPr>
          <w:p>
            <w:pPr>
              <w:rPr>
                <w:rFonts w:ascii="宋体" w:hAnsi="宋体"/>
                <w:szCs w:val="21"/>
              </w:rPr>
            </w:pPr>
            <w:r>
              <w:rPr>
                <w:rFonts w:ascii="宋体" w:hAnsi="宋体" w:hint="eastAsia"/>
                <w:szCs w:val="21"/>
              </w:rPr>
              <w:t>专业烤漆房烤漆，外观贴字根据采购人需求订制。</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520"/>
        </w:trPr>
        <w:tc>
          <w:tcPr>
            <w:tcW w:w="672" w:type="pct"/>
            <w:vAlign w:val="center"/>
          </w:tcPr>
          <w:p>
            <w:pPr>
              <w:rPr>
                <w:rFonts w:ascii="宋体" w:hAnsi="宋体"/>
                <w:szCs w:val="21"/>
              </w:rPr>
            </w:pPr>
            <w:r>
              <w:rPr>
                <w:rFonts w:ascii="宋体" w:hAnsi="宋体" w:hint="eastAsia"/>
                <w:szCs w:val="21"/>
              </w:rPr>
              <w:t>车内外照明系统</w:t>
            </w:r>
          </w:p>
        </w:tc>
        <w:tc>
          <w:tcPr>
            <w:tcW w:w="3462" w:type="pct"/>
            <w:vAlign w:val="center"/>
          </w:tcPr>
          <w:p>
            <w:pPr>
              <w:rPr>
                <w:rFonts w:ascii="宋体" w:hAnsi="宋体"/>
                <w:szCs w:val="21"/>
              </w:rPr>
            </w:pPr>
            <w:r>
              <w:rPr>
                <w:rFonts w:ascii="宋体" w:hAnsi="宋体" w:hint="eastAsia"/>
                <w:szCs w:val="21"/>
              </w:rPr>
              <w:t>车内外LED照明灯满足工作及车外场地照明需求。</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280"/>
        </w:trPr>
        <w:tc>
          <w:tcPr>
            <w:tcW w:w="672" w:type="pct"/>
            <w:vAlign w:val="center"/>
          </w:tcPr>
          <w:p>
            <w:pPr>
              <w:rPr>
                <w:rFonts w:ascii="宋体" w:hAnsi="宋体"/>
                <w:szCs w:val="21"/>
              </w:rPr>
            </w:pPr>
            <w:r>
              <w:rPr>
                <w:rFonts w:ascii="宋体" w:hAnsi="宋体" w:hint="eastAsia"/>
                <w:szCs w:val="21"/>
              </w:rPr>
              <w:t>其他辅助</w:t>
            </w:r>
          </w:p>
        </w:tc>
        <w:tc>
          <w:tcPr>
            <w:tcW w:w="3462" w:type="pct"/>
            <w:vAlign w:val="center"/>
          </w:tcPr>
          <w:p>
            <w:pPr>
              <w:rPr>
                <w:rFonts w:ascii="宋体" w:hAnsi="宋体"/>
                <w:szCs w:val="21"/>
              </w:rPr>
            </w:pPr>
            <w:r>
              <w:rPr>
                <w:rFonts w:ascii="宋体" w:hAnsi="宋体" w:hint="eastAsia"/>
                <w:szCs w:val="21"/>
              </w:rPr>
              <w:t>配备灭火器、综合布线、集成制作等附件耗材，包含波纹管、胶带、扎带、接插件等。</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bookmarkEnd w:id="66"/>
    </w:tbl>
    <w:p>
      <w:pPr>
        <w:spacing w:line="360" w:lineRule="auto"/>
        <w:ind w:firstLine="420" w:firstLineChars="200"/>
        <w:outlineLvl w:val="2"/>
        <w:rPr>
          <w:rFonts w:ascii="宋体" w:hAnsi="宋体"/>
          <w:b/>
          <w:bCs/>
          <w:szCs w:val="21"/>
        </w:rPr>
      </w:pPr>
      <w:bookmarkStart w:id="71" w:name="OLE_LINK22"/>
      <w:r>
        <w:rPr>
          <w:rFonts w:ascii="宋体" w:hAnsi="宋体" w:hint="eastAsia"/>
          <w:b/>
          <w:bCs/>
          <w:szCs w:val="21"/>
        </w:rPr>
        <w:t>1.8供电系统（数量2套）</w:t>
      </w:r>
    </w:p>
    <w:p>
      <w:pPr>
        <w:spacing w:line="360" w:lineRule="auto"/>
        <w:ind w:firstLine="420" w:firstLineChars="200"/>
        <w:rPr>
          <w:rFonts w:ascii="宋体" w:hAnsi="宋体"/>
          <w:szCs w:val="21"/>
        </w:rPr>
      </w:pPr>
      <w:r>
        <w:rPr>
          <w:rFonts w:ascii="宋体" w:hAnsi="宋体" w:cs="宋体" w:hint="eastAsia"/>
          <w:szCs w:val="21"/>
        </w:rPr>
        <w:t>方舱具备1路380V或1路220V市电供电</w:t>
      </w:r>
      <w:r>
        <w:rPr>
          <w:rFonts w:ascii="宋体" w:hAnsi="宋体" w:hint="eastAsia"/>
          <w:szCs w:val="21"/>
        </w:rPr>
        <w:t>，1路发电机供电供电接口，做好标识。供电方式可以切换。满足市电、发电机、UPS不间断供电要求。通过舱体对外提供供电及接地的转接板，当外部电源接至转接板后，内部通过配电箱给各设备供电。</w:t>
      </w:r>
    </w:p>
    <w:tbl>
      <w:tblPr>
        <w:tblStyle w:val="TableNormal"/>
        <w:tblW w:w="5094"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146"/>
        <w:gridCol w:w="5900"/>
        <w:gridCol w:w="863"/>
        <w:gridCol w:w="773"/>
      </w:tblGrid>
      <w:tr>
        <w:tblPrEx>
          <w:tblW w:w="5094"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780"/>
        </w:trPr>
        <w:tc>
          <w:tcPr>
            <w:tcW w:w="660" w:type="pct"/>
            <w:vAlign w:val="center"/>
          </w:tcPr>
          <w:p>
            <w:pPr>
              <w:jc w:val="center"/>
              <w:rPr>
                <w:rFonts w:ascii="宋体" w:hAnsi="宋体"/>
                <w:szCs w:val="21"/>
              </w:rPr>
            </w:pPr>
            <w:r>
              <w:rPr>
                <w:rFonts w:ascii="宋体" w:hAnsi="宋体" w:hint="eastAsia"/>
                <w:szCs w:val="21"/>
              </w:rPr>
              <w:t>设施名称</w:t>
            </w:r>
          </w:p>
        </w:tc>
        <w:tc>
          <w:tcPr>
            <w:tcW w:w="3398" w:type="pct"/>
            <w:vAlign w:val="center"/>
          </w:tcPr>
          <w:p>
            <w:pPr>
              <w:jc w:val="center"/>
              <w:rPr>
                <w:rFonts w:ascii="宋体" w:hAnsi="宋体"/>
                <w:szCs w:val="21"/>
              </w:rPr>
            </w:pPr>
            <w:r>
              <w:rPr>
                <w:rFonts w:ascii="宋体" w:hAnsi="宋体" w:hint="eastAsia"/>
                <w:szCs w:val="21"/>
              </w:rPr>
              <w:t>功能要求</w:t>
            </w:r>
          </w:p>
        </w:tc>
        <w:tc>
          <w:tcPr>
            <w:tcW w:w="497" w:type="pct"/>
            <w:vAlign w:val="center"/>
          </w:tcPr>
          <w:p>
            <w:pPr>
              <w:jc w:val="center"/>
              <w:rPr>
                <w:rFonts w:ascii="宋体" w:hAnsi="宋体"/>
                <w:szCs w:val="21"/>
              </w:rPr>
            </w:pPr>
            <w:r>
              <w:rPr>
                <w:rFonts w:ascii="宋体" w:hAnsi="宋体" w:hint="eastAsia"/>
                <w:szCs w:val="21"/>
              </w:rPr>
              <w:t>数量</w:t>
            </w:r>
          </w:p>
        </w:tc>
        <w:tc>
          <w:tcPr>
            <w:tcW w:w="445" w:type="pct"/>
            <w:vAlign w:val="center"/>
          </w:tcPr>
          <w:p>
            <w:pPr>
              <w:jc w:val="center"/>
              <w:rPr>
                <w:rFonts w:ascii="宋体" w:hAnsi="宋体"/>
                <w:szCs w:val="21"/>
              </w:rPr>
            </w:pPr>
            <w:r>
              <w:rPr>
                <w:rFonts w:ascii="宋体" w:hAnsi="宋体" w:hint="eastAsia"/>
                <w:szCs w:val="21"/>
              </w:rPr>
              <w:t>单位</w:t>
            </w:r>
          </w:p>
        </w:tc>
      </w:tr>
      <w:tr>
        <w:tblPrEx>
          <w:tblW w:w="5094" w:type="pct"/>
          <w:tblInd w:w="0" w:type="dxa"/>
          <w:tblCellMar>
            <w:top w:w="0" w:type="dxa"/>
            <w:left w:w="108" w:type="dxa"/>
            <w:bottom w:w="0" w:type="dxa"/>
            <w:right w:w="108" w:type="dxa"/>
          </w:tblCellMar>
        </w:tblPrEx>
        <w:trPr>
          <w:trHeight w:val="780"/>
        </w:trPr>
        <w:tc>
          <w:tcPr>
            <w:tcW w:w="660" w:type="pct"/>
            <w:vAlign w:val="center"/>
          </w:tcPr>
          <w:p>
            <w:pPr>
              <w:rPr>
                <w:rFonts w:ascii="宋体" w:hAnsi="宋体"/>
                <w:szCs w:val="21"/>
              </w:rPr>
            </w:pPr>
            <w:r>
              <w:rPr>
                <w:rFonts w:ascii="宋体" w:hAnsi="宋体" w:hint="eastAsia"/>
                <w:szCs w:val="21"/>
              </w:rPr>
              <w:t>市电接入</w:t>
            </w:r>
          </w:p>
        </w:tc>
        <w:tc>
          <w:tcPr>
            <w:tcW w:w="3398" w:type="pct"/>
            <w:vAlign w:val="center"/>
          </w:tcPr>
          <w:p>
            <w:pPr>
              <w:rPr>
                <w:rFonts w:ascii="宋体" w:hAnsi="宋体"/>
                <w:szCs w:val="21"/>
              </w:rPr>
            </w:pPr>
            <w:r>
              <w:rPr>
                <w:rFonts w:ascii="宋体" w:hAnsi="宋体" w:hint="eastAsia"/>
                <w:szCs w:val="21"/>
              </w:rPr>
              <w:t>具备1路供电电压380×（1±10%）V、频率50×（1±5%）Hz或1路供电电压220×（1±10%）V、频率50×（1±5%）Hz，总功率可满足方舱内所有用电设备正常运行，并预留不低于30%功率冗余，配备满足功率的手动或电动市电线缆轴长度≮45米;配备满足功率的市电对接插头。</w:t>
            </w:r>
          </w:p>
        </w:tc>
        <w:tc>
          <w:tcPr>
            <w:tcW w:w="497" w:type="pct"/>
            <w:vAlign w:val="center"/>
          </w:tcPr>
          <w:p>
            <w:pPr>
              <w:jc w:val="center"/>
              <w:rPr>
                <w:rFonts w:ascii="宋体" w:hAnsi="宋体"/>
                <w:szCs w:val="21"/>
              </w:rPr>
            </w:pPr>
            <w:r>
              <w:rPr>
                <w:rFonts w:ascii="宋体" w:hAnsi="宋体" w:hint="eastAsia"/>
                <w:szCs w:val="21"/>
              </w:rPr>
              <w:t>1</w:t>
            </w:r>
          </w:p>
        </w:tc>
        <w:tc>
          <w:tcPr>
            <w:tcW w:w="445" w:type="pct"/>
            <w:vAlign w:val="center"/>
          </w:tcPr>
          <w:p>
            <w:pPr>
              <w:rPr>
                <w:rFonts w:ascii="宋体" w:hAnsi="宋体"/>
                <w:szCs w:val="21"/>
              </w:rPr>
            </w:pPr>
            <w:r>
              <w:rPr>
                <w:rFonts w:ascii="宋体" w:hAnsi="宋体" w:hint="eastAsia"/>
                <w:szCs w:val="21"/>
              </w:rPr>
              <w:t>套</w:t>
            </w:r>
          </w:p>
        </w:tc>
      </w:tr>
      <w:tr>
        <w:tblPrEx>
          <w:tblW w:w="5094" w:type="pct"/>
          <w:tblInd w:w="0" w:type="dxa"/>
          <w:tblCellMar>
            <w:top w:w="0" w:type="dxa"/>
            <w:left w:w="108" w:type="dxa"/>
            <w:bottom w:w="0" w:type="dxa"/>
            <w:right w:w="108" w:type="dxa"/>
          </w:tblCellMar>
        </w:tblPrEx>
        <w:trPr>
          <w:trHeight w:val="1008"/>
        </w:trPr>
        <w:tc>
          <w:tcPr>
            <w:tcW w:w="660" w:type="pct"/>
            <w:vAlign w:val="center"/>
          </w:tcPr>
          <w:p>
            <w:pPr>
              <w:rPr>
                <w:rFonts w:ascii="宋体" w:hAnsi="宋体"/>
                <w:szCs w:val="21"/>
              </w:rPr>
            </w:pPr>
            <w:r>
              <w:rPr>
                <w:rFonts w:ascii="宋体" w:hAnsi="宋体" w:hint="eastAsia"/>
                <w:szCs w:val="21"/>
              </w:rPr>
              <w:t>静音发电机</w:t>
            </w:r>
          </w:p>
        </w:tc>
        <w:tc>
          <w:tcPr>
            <w:tcW w:w="3398" w:type="pct"/>
            <w:vAlign w:val="center"/>
          </w:tcPr>
          <w:p>
            <w:pPr>
              <w:rPr>
                <w:rFonts w:ascii="宋体" w:hAnsi="宋体"/>
                <w:szCs w:val="21"/>
              </w:rPr>
            </w:pPr>
            <w:r>
              <w:rPr>
                <w:rFonts w:ascii="宋体" w:hAnsi="宋体" w:hint="eastAsia"/>
                <w:szCs w:val="21"/>
              </w:rPr>
              <w:t xml:space="preserve">a) 额定频率：50 HZ </w:t>
            </w:r>
          </w:p>
          <w:p>
            <w:pPr>
              <w:rPr>
                <w:rFonts w:ascii="宋体" w:hAnsi="宋体"/>
                <w:szCs w:val="21"/>
              </w:rPr>
            </w:pPr>
            <w:r>
              <w:rPr>
                <w:rFonts w:ascii="宋体" w:hAnsi="宋体" w:hint="eastAsia"/>
                <w:szCs w:val="21"/>
              </w:rPr>
              <w:t>b) 额定输出功率：可满足方舱内所有用电设备的正常运行，并预留不低于30%功率冗余</w:t>
            </w:r>
          </w:p>
          <w:p>
            <w:pPr>
              <w:rPr>
                <w:rFonts w:ascii="宋体" w:hAnsi="宋体"/>
                <w:szCs w:val="21"/>
              </w:rPr>
            </w:pPr>
            <w:r>
              <w:rPr>
                <w:rFonts w:ascii="宋体" w:hAnsi="宋体" w:hint="eastAsia"/>
                <w:szCs w:val="21"/>
              </w:rPr>
              <w:t>c) 额定电压：230V或400V</w:t>
            </w:r>
          </w:p>
          <w:p>
            <w:pPr>
              <w:rPr>
                <w:rFonts w:ascii="宋体" w:hAnsi="宋体"/>
                <w:szCs w:val="21"/>
              </w:rPr>
            </w:pPr>
            <w:r>
              <w:rPr>
                <w:rFonts w:ascii="宋体" w:hAnsi="宋体" w:hint="eastAsia"/>
                <w:szCs w:val="21"/>
              </w:rPr>
              <w:t>d) 机组连续运行时间：≥8h</w:t>
            </w:r>
          </w:p>
          <w:p>
            <w:pPr>
              <w:rPr>
                <w:rFonts w:ascii="宋体" w:hAnsi="宋体"/>
                <w:szCs w:val="21"/>
              </w:rPr>
            </w:pPr>
            <w:r>
              <w:rPr>
                <w:rFonts w:ascii="宋体" w:hAnsi="宋体" w:hint="eastAsia"/>
                <w:szCs w:val="21"/>
              </w:rPr>
              <w:t>e) 噪音（1m处）：≤75 dB(A)</w:t>
            </w:r>
          </w:p>
          <w:p>
            <w:pPr>
              <w:rPr>
                <w:rFonts w:ascii="宋体" w:hAnsi="宋体"/>
                <w:szCs w:val="21"/>
              </w:rPr>
            </w:pPr>
            <w:r>
              <w:rPr>
                <w:rFonts w:ascii="宋体" w:hAnsi="宋体" w:hint="eastAsia"/>
                <w:szCs w:val="21"/>
              </w:rPr>
              <w:t>f）缸体结构散热型式：水冷</w:t>
            </w:r>
          </w:p>
          <w:p>
            <w:pPr>
              <w:rPr>
                <w:rFonts w:ascii="宋体" w:hAnsi="宋体"/>
                <w:szCs w:val="21"/>
              </w:rPr>
            </w:pPr>
            <w:r>
              <w:rPr>
                <w:rFonts w:ascii="宋体" w:hAnsi="宋体" w:hint="eastAsia"/>
                <w:szCs w:val="21"/>
              </w:rPr>
              <w:t>g）机组燃油箱容量L:≥60</w:t>
            </w:r>
          </w:p>
          <w:p>
            <w:pPr>
              <w:rPr>
                <w:rFonts w:ascii="宋体" w:hAnsi="宋体"/>
                <w:szCs w:val="21"/>
              </w:rPr>
            </w:pPr>
            <w:r>
              <w:rPr>
                <w:rFonts w:ascii="宋体" w:hAnsi="宋体" w:hint="eastAsia"/>
                <w:szCs w:val="21"/>
              </w:rPr>
              <w:t>h外形尺寸mm：≤1400×700×890</w:t>
            </w:r>
          </w:p>
        </w:tc>
        <w:tc>
          <w:tcPr>
            <w:tcW w:w="497" w:type="pct"/>
            <w:vAlign w:val="center"/>
          </w:tcPr>
          <w:p>
            <w:pPr>
              <w:jc w:val="center"/>
              <w:rPr>
                <w:rFonts w:ascii="宋体" w:hAnsi="宋体"/>
                <w:szCs w:val="21"/>
              </w:rPr>
            </w:pPr>
            <w:r>
              <w:rPr>
                <w:rFonts w:ascii="宋体" w:hAnsi="宋体" w:hint="eastAsia"/>
                <w:szCs w:val="21"/>
              </w:rPr>
              <w:t>1</w:t>
            </w:r>
          </w:p>
        </w:tc>
        <w:tc>
          <w:tcPr>
            <w:tcW w:w="445" w:type="pct"/>
            <w:vAlign w:val="center"/>
          </w:tcPr>
          <w:p>
            <w:pPr>
              <w:rPr>
                <w:rFonts w:ascii="宋体" w:hAnsi="宋体"/>
                <w:szCs w:val="21"/>
              </w:rPr>
            </w:pPr>
            <w:r>
              <w:rPr>
                <w:rFonts w:ascii="宋体" w:hAnsi="宋体" w:hint="eastAsia"/>
                <w:szCs w:val="21"/>
              </w:rPr>
              <w:t>套</w:t>
            </w:r>
          </w:p>
        </w:tc>
      </w:tr>
      <w:tr>
        <w:tblPrEx>
          <w:tblW w:w="5094" w:type="pct"/>
          <w:tblInd w:w="0" w:type="dxa"/>
          <w:tblCellMar>
            <w:top w:w="0" w:type="dxa"/>
            <w:left w:w="108" w:type="dxa"/>
            <w:bottom w:w="0" w:type="dxa"/>
            <w:right w:w="108" w:type="dxa"/>
          </w:tblCellMar>
        </w:tblPrEx>
        <w:trPr>
          <w:trHeight w:val="54"/>
        </w:trPr>
        <w:tc>
          <w:tcPr>
            <w:tcW w:w="660" w:type="pct"/>
            <w:vAlign w:val="center"/>
          </w:tcPr>
          <w:p>
            <w:pPr>
              <w:rPr>
                <w:rFonts w:ascii="宋体" w:hAnsi="宋体"/>
                <w:szCs w:val="21"/>
              </w:rPr>
            </w:pPr>
            <w:r>
              <w:rPr>
                <w:rFonts w:ascii="宋体" w:hAnsi="宋体" w:hint="eastAsia"/>
                <w:szCs w:val="21"/>
              </w:rPr>
              <w:t>UPS不间断电源</w:t>
            </w:r>
          </w:p>
        </w:tc>
        <w:tc>
          <w:tcPr>
            <w:tcW w:w="3398" w:type="pct"/>
            <w:vAlign w:val="center"/>
          </w:tcPr>
          <w:p>
            <w:pPr>
              <w:rPr>
                <w:rFonts w:ascii="宋体" w:hAnsi="宋体"/>
                <w:szCs w:val="21"/>
              </w:rPr>
            </w:pPr>
            <w:r>
              <w:rPr>
                <w:rFonts w:ascii="宋体" w:hAnsi="宋体" w:hint="eastAsia"/>
                <w:szCs w:val="21"/>
              </w:rPr>
              <w:t>在线式UPS，额定容量可满足方舱内所有用电设备正常运行及不低于30%冗余储备，额定电压支持车内用电设备运行,电池容量满足UPS主机正常运行。</w:t>
            </w:r>
          </w:p>
        </w:tc>
        <w:tc>
          <w:tcPr>
            <w:tcW w:w="497" w:type="pct"/>
            <w:vAlign w:val="center"/>
          </w:tcPr>
          <w:p>
            <w:pPr>
              <w:jc w:val="center"/>
              <w:rPr>
                <w:rFonts w:ascii="宋体" w:hAnsi="宋体"/>
                <w:szCs w:val="21"/>
              </w:rPr>
            </w:pPr>
            <w:r>
              <w:rPr>
                <w:rFonts w:ascii="宋体" w:hAnsi="宋体" w:hint="eastAsia"/>
                <w:szCs w:val="21"/>
              </w:rPr>
              <w:t>1</w:t>
            </w:r>
          </w:p>
        </w:tc>
        <w:tc>
          <w:tcPr>
            <w:tcW w:w="445" w:type="pct"/>
            <w:vAlign w:val="center"/>
          </w:tcPr>
          <w:p>
            <w:pPr>
              <w:rPr>
                <w:rFonts w:ascii="宋体" w:hAnsi="宋体"/>
                <w:szCs w:val="21"/>
              </w:rPr>
            </w:pPr>
            <w:r>
              <w:rPr>
                <w:rFonts w:ascii="宋体" w:hAnsi="宋体" w:hint="eastAsia"/>
                <w:szCs w:val="21"/>
              </w:rPr>
              <w:t>套</w:t>
            </w:r>
          </w:p>
        </w:tc>
      </w:tr>
      <w:tr>
        <w:tblPrEx>
          <w:tblW w:w="5094" w:type="pct"/>
          <w:tblInd w:w="0" w:type="dxa"/>
          <w:tblCellMar>
            <w:top w:w="0" w:type="dxa"/>
            <w:left w:w="108" w:type="dxa"/>
            <w:bottom w:w="0" w:type="dxa"/>
            <w:right w:w="108" w:type="dxa"/>
          </w:tblCellMar>
        </w:tblPrEx>
        <w:trPr>
          <w:trHeight w:val="520"/>
        </w:trPr>
        <w:tc>
          <w:tcPr>
            <w:tcW w:w="660" w:type="pct"/>
            <w:vAlign w:val="center"/>
          </w:tcPr>
          <w:p>
            <w:pPr>
              <w:rPr>
                <w:rFonts w:ascii="宋体" w:hAnsi="宋体"/>
                <w:szCs w:val="21"/>
              </w:rPr>
            </w:pPr>
            <w:r>
              <w:rPr>
                <w:rFonts w:ascii="宋体" w:hAnsi="宋体" w:hint="eastAsia"/>
                <w:szCs w:val="21"/>
              </w:rPr>
              <w:t>配电箱</w:t>
            </w:r>
          </w:p>
        </w:tc>
        <w:tc>
          <w:tcPr>
            <w:tcW w:w="3398" w:type="pct"/>
            <w:vAlign w:val="center"/>
          </w:tcPr>
          <w:p>
            <w:pPr>
              <w:rPr>
                <w:rFonts w:ascii="宋体" w:hAnsi="宋体"/>
                <w:szCs w:val="21"/>
              </w:rPr>
            </w:pPr>
            <w:r>
              <w:rPr>
                <w:rFonts w:ascii="宋体" w:hAnsi="宋体" w:hint="eastAsia"/>
                <w:szCs w:val="21"/>
              </w:rPr>
              <w:t>集中式电源管理系统，含支路开关、指示灯、电源电压电流显示等，开关分别控制空调、设备用电等；配电盘面板为数控机床加工，表面喷塑处理。</w:t>
            </w:r>
          </w:p>
        </w:tc>
        <w:tc>
          <w:tcPr>
            <w:tcW w:w="497" w:type="pct"/>
            <w:vAlign w:val="center"/>
          </w:tcPr>
          <w:p>
            <w:pPr>
              <w:jc w:val="center"/>
              <w:rPr>
                <w:rFonts w:ascii="宋体" w:hAnsi="宋体"/>
                <w:szCs w:val="21"/>
              </w:rPr>
            </w:pPr>
            <w:r>
              <w:rPr>
                <w:rFonts w:ascii="宋体" w:hAnsi="宋体" w:hint="eastAsia"/>
                <w:szCs w:val="21"/>
              </w:rPr>
              <w:t>1</w:t>
            </w:r>
          </w:p>
        </w:tc>
        <w:tc>
          <w:tcPr>
            <w:tcW w:w="445" w:type="pct"/>
            <w:vAlign w:val="center"/>
          </w:tcPr>
          <w:p>
            <w:pPr>
              <w:rPr>
                <w:rFonts w:ascii="宋体" w:hAnsi="宋体"/>
                <w:szCs w:val="21"/>
              </w:rPr>
            </w:pPr>
            <w:r>
              <w:rPr>
                <w:rFonts w:ascii="宋体" w:hAnsi="宋体" w:hint="eastAsia"/>
                <w:szCs w:val="21"/>
              </w:rPr>
              <w:t>套</w:t>
            </w:r>
          </w:p>
        </w:tc>
      </w:tr>
      <w:tr>
        <w:tblPrEx>
          <w:tblW w:w="5094" w:type="pct"/>
          <w:tblInd w:w="0" w:type="dxa"/>
          <w:tblCellMar>
            <w:top w:w="0" w:type="dxa"/>
            <w:left w:w="108" w:type="dxa"/>
            <w:bottom w:w="0" w:type="dxa"/>
            <w:right w:w="108" w:type="dxa"/>
          </w:tblCellMar>
        </w:tblPrEx>
        <w:trPr>
          <w:trHeight w:val="520"/>
        </w:trPr>
        <w:tc>
          <w:tcPr>
            <w:tcW w:w="660" w:type="pct"/>
            <w:vAlign w:val="center"/>
          </w:tcPr>
          <w:p>
            <w:pPr>
              <w:pStyle w:val="12"/>
              <w:ind w:firstLine="0" w:firstLineChars="0"/>
              <w:contextualSpacing/>
              <w:rPr>
                <w:rFonts w:ascii="宋体" w:hAnsi="宋体"/>
              </w:rPr>
            </w:pPr>
            <w:r>
              <w:rPr>
                <w:rFonts w:ascii="宋体" w:hAnsi="宋体" w:cs="宋体" w:hint="eastAsia"/>
              </w:rPr>
              <w:t>舱体接地系统</w:t>
            </w:r>
          </w:p>
        </w:tc>
        <w:tc>
          <w:tcPr>
            <w:tcW w:w="3398" w:type="pct"/>
            <w:vAlign w:val="center"/>
          </w:tcPr>
          <w:p>
            <w:pPr>
              <w:rPr>
                <w:rFonts w:ascii="宋体" w:hAnsi="宋体"/>
                <w:szCs w:val="21"/>
              </w:rPr>
            </w:pPr>
            <w:r>
              <w:rPr>
                <w:rFonts w:ascii="宋体" w:hAnsi="宋体" w:hint="eastAsia"/>
                <w:szCs w:val="21"/>
              </w:rPr>
              <w:t>含接地桩、接地线，电源防浪涌装置。</w:t>
            </w:r>
          </w:p>
        </w:tc>
        <w:tc>
          <w:tcPr>
            <w:tcW w:w="497" w:type="pct"/>
            <w:vAlign w:val="center"/>
          </w:tcPr>
          <w:p>
            <w:pPr>
              <w:jc w:val="center"/>
              <w:rPr>
                <w:rFonts w:ascii="宋体" w:hAnsi="宋体"/>
                <w:szCs w:val="21"/>
              </w:rPr>
            </w:pPr>
            <w:r>
              <w:rPr>
                <w:rFonts w:ascii="宋体" w:hAnsi="宋体" w:hint="eastAsia"/>
                <w:szCs w:val="21"/>
              </w:rPr>
              <w:t>1</w:t>
            </w:r>
          </w:p>
        </w:tc>
        <w:tc>
          <w:tcPr>
            <w:tcW w:w="445" w:type="pct"/>
            <w:vAlign w:val="center"/>
          </w:tcPr>
          <w:p>
            <w:pPr>
              <w:rPr>
                <w:rFonts w:ascii="宋体" w:hAnsi="宋体"/>
                <w:szCs w:val="21"/>
              </w:rPr>
            </w:pPr>
            <w:r>
              <w:rPr>
                <w:rFonts w:ascii="宋体" w:hAnsi="宋体" w:hint="eastAsia"/>
                <w:szCs w:val="21"/>
              </w:rPr>
              <w:t>套</w:t>
            </w:r>
          </w:p>
        </w:tc>
      </w:tr>
      <w:tr>
        <w:tblPrEx>
          <w:tblW w:w="5094" w:type="pct"/>
          <w:tblInd w:w="0" w:type="dxa"/>
          <w:tblCellMar>
            <w:top w:w="0" w:type="dxa"/>
            <w:left w:w="108" w:type="dxa"/>
            <w:bottom w:w="0" w:type="dxa"/>
            <w:right w:w="108" w:type="dxa"/>
          </w:tblCellMar>
        </w:tblPrEx>
        <w:trPr>
          <w:trHeight w:val="280"/>
        </w:trPr>
        <w:tc>
          <w:tcPr>
            <w:tcW w:w="660" w:type="pct"/>
            <w:vAlign w:val="center"/>
          </w:tcPr>
          <w:p>
            <w:pPr>
              <w:rPr>
                <w:rFonts w:ascii="宋体" w:hAnsi="宋体"/>
                <w:szCs w:val="21"/>
              </w:rPr>
            </w:pPr>
            <w:r>
              <w:rPr>
                <w:rFonts w:ascii="宋体" w:hAnsi="宋体" w:hint="eastAsia"/>
                <w:szCs w:val="21"/>
              </w:rPr>
              <w:t>对外接口板</w:t>
            </w:r>
          </w:p>
        </w:tc>
        <w:tc>
          <w:tcPr>
            <w:tcW w:w="3398" w:type="pct"/>
            <w:vAlign w:val="center"/>
          </w:tcPr>
          <w:p>
            <w:pPr>
              <w:rPr>
                <w:rFonts w:ascii="宋体" w:hAnsi="宋体"/>
                <w:szCs w:val="21"/>
              </w:rPr>
            </w:pPr>
            <w:r>
              <w:rPr>
                <w:rFonts w:ascii="宋体" w:hAnsi="宋体" w:hint="eastAsia"/>
                <w:szCs w:val="21"/>
              </w:rPr>
              <w:t>含电源、数据传输接口。</w:t>
            </w:r>
          </w:p>
        </w:tc>
        <w:tc>
          <w:tcPr>
            <w:tcW w:w="497" w:type="pct"/>
            <w:vAlign w:val="center"/>
          </w:tcPr>
          <w:p>
            <w:pPr>
              <w:jc w:val="center"/>
              <w:rPr>
                <w:rFonts w:ascii="宋体" w:hAnsi="宋体"/>
                <w:szCs w:val="21"/>
              </w:rPr>
            </w:pPr>
            <w:r>
              <w:rPr>
                <w:rFonts w:ascii="宋体" w:hAnsi="宋体" w:hint="eastAsia"/>
                <w:szCs w:val="21"/>
              </w:rPr>
              <w:t>1</w:t>
            </w:r>
          </w:p>
        </w:tc>
        <w:tc>
          <w:tcPr>
            <w:tcW w:w="445" w:type="pct"/>
            <w:vAlign w:val="center"/>
          </w:tcPr>
          <w:p>
            <w:pPr>
              <w:rPr>
                <w:rFonts w:ascii="宋体" w:hAnsi="宋体"/>
                <w:szCs w:val="21"/>
              </w:rPr>
            </w:pPr>
            <w:r>
              <w:rPr>
                <w:rFonts w:ascii="宋体" w:hAnsi="宋体" w:hint="eastAsia"/>
                <w:szCs w:val="21"/>
              </w:rPr>
              <w:t>套</w:t>
            </w:r>
          </w:p>
        </w:tc>
      </w:tr>
      <w:bookmarkEnd w:id="71"/>
    </w:tbl>
    <w:p>
      <w:pPr>
        <w:spacing w:line="360" w:lineRule="auto"/>
        <w:ind w:firstLine="420" w:firstLineChars="200"/>
        <w:outlineLvl w:val="2"/>
        <w:rPr>
          <w:rFonts w:ascii="宋体" w:hAnsi="宋体"/>
          <w:b/>
          <w:bCs/>
          <w:szCs w:val="21"/>
        </w:rPr>
      </w:pPr>
      <w:bookmarkStart w:id="72" w:name="OLE_LINK23"/>
      <w:r>
        <w:rPr>
          <w:rFonts w:ascii="宋体" w:hAnsi="宋体" w:hint="eastAsia"/>
          <w:b/>
          <w:bCs/>
          <w:szCs w:val="21"/>
        </w:rPr>
        <w:t>1.9视频采集及显示系统（数量2套）</w:t>
      </w:r>
    </w:p>
    <w:p>
      <w:pPr>
        <w:spacing w:line="360" w:lineRule="auto"/>
        <w:ind w:firstLine="420" w:firstLineChars="200"/>
        <w:rPr>
          <w:rFonts w:ascii="宋体" w:hAnsi="宋体"/>
          <w:szCs w:val="21"/>
        </w:rPr>
      </w:pPr>
      <w:r>
        <w:rPr>
          <w:rFonts w:ascii="宋体" w:hAnsi="宋体" w:hint="eastAsia"/>
          <w:szCs w:val="21"/>
        </w:rPr>
        <w:t>配备舱顶云台摄像机、舱内摄像机、硬盘录像机、大屏显示器、混切矩阵。</w:t>
      </w:r>
    </w:p>
    <w:tbl>
      <w:tblPr>
        <w:tblStyle w:val="TableNormal"/>
        <w:tblW w:w="5094"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145"/>
        <w:gridCol w:w="5899"/>
        <w:gridCol w:w="865"/>
        <w:gridCol w:w="773"/>
      </w:tblGrid>
      <w:tr>
        <w:tblPrEx>
          <w:tblW w:w="5094"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80"/>
        </w:trPr>
        <w:tc>
          <w:tcPr>
            <w:tcW w:w="660" w:type="pct"/>
            <w:vAlign w:val="center"/>
          </w:tcPr>
          <w:p>
            <w:pPr>
              <w:jc w:val="center"/>
              <w:rPr>
                <w:rFonts w:ascii="宋体" w:hAnsi="宋体" w:cs="宋体"/>
                <w:szCs w:val="21"/>
              </w:rPr>
            </w:pPr>
            <w:bookmarkStart w:id="73" w:name="_Hlk214011299"/>
            <w:r>
              <w:rPr>
                <w:rFonts w:ascii="宋体" w:hAnsi="宋体" w:cs="宋体" w:hint="eastAsia"/>
                <w:szCs w:val="21"/>
              </w:rPr>
              <w:t>设备名称</w:t>
            </w:r>
          </w:p>
        </w:tc>
        <w:tc>
          <w:tcPr>
            <w:tcW w:w="3397" w:type="pct"/>
            <w:vAlign w:val="center"/>
          </w:tcPr>
          <w:p>
            <w:pPr>
              <w:widowControl/>
              <w:jc w:val="center"/>
              <w:rPr>
                <w:rFonts w:ascii="宋体" w:hAnsi="宋体" w:cs="宋体"/>
                <w:szCs w:val="21"/>
              </w:rPr>
            </w:pPr>
            <w:r>
              <w:rPr>
                <w:rFonts w:ascii="宋体" w:hAnsi="宋体" w:cs="宋体" w:hint="eastAsia"/>
                <w:szCs w:val="21"/>
              </w:rPr>
              <w:t>功能要求</w:t>
            </w:r>
          </w:p>
        </w:tc>
        <w:tc>
          <w:tcPr>
            <w:tcW w:w="498" w:type="pct"/>
            <w:vAlign w:val="center"/>
          </w:tcPr>
          <w:p>
            <w:pPr>
              <w:jc w:val="center"/>
              <w:rPr>
                <w:rFonts w:ascii="宋体" w:hAnsi="宋体" w:cs="宋体"/>
                <w:szCs w:val="21"/>
              </w:rPr>
            </w:pPr>
            <w:r>
              <w:rPr>
                <w:rFonts w:ascii="宋体" w:hAnsi="宋体" w:cs="宋体" w:hint="eastAsia"/>
                <w:szCs w:val="21"/>
              </w:rPr>
              <w:t>数量</w:t>
            </w:r>
          </w:p>
        </w:tc>
        <w:tc>
          <w:tcPr>
            <w:tcW w:w="445" w:type="pct"/>
            <w:vAlign w:val="center"/>
          </w:tcPr>
          <w:p>
            <w:pPr>
              <w:jc w:val="center"/>
              <w:rPr>
                <w:rFonts w:ascii="宋体" w:hAnsi="宋体" w:cs="宋体"/>
                <w:szCs w:val="21"/>
              </w:rPr>
            </w:pPr>
            <w:r>
              <w:rPr>
                <w:rFonts w:ascii="宋体" w:hAnsi="宋体" w:cs="宋体" w:hint="eastAsia"/>
                <w:szCs w:val="21"/>
              </w:rPr>
              <w:t>单位</w:t>
            </w:r>
          </w:p>
        </w:tc>
      </w:tr>
      <w:bookmarkEnd w:id="73"/>
      <w:tr>
        <w:tblPrEx>
          <w:tblW w:w="5094" w:type="pct"/>
          <w:tblInd w:w="0" w:type="dxa"/>
          <w:tblCellMar>
            <w:top w:w="0" w:type="dxa"/>
            <w:left w:w="108" w:type="dxa"/>
            <w:bottom w:w="0" w:type="dxa"/>
            <w:right w:w="108" w:type="dxa"/>
          </w:tblCellMar>
        </w:tblPrEx>
        <w:trPr>
          <w:trHeight w:val="280"/>
        </w:trPr>
        <w:tc>
          <w:tcPr>
            <w:tcW w:w="660" w:type="pct"/>
            <w:vAlign w:val="center"/>
          </w:tcPr>
          <w:p>
            <w:pPr>
              <w:jc w:val="center"/>
              <w:rPr>
                <w:rFonts w:ascii="宋体" w:hAnsi="宋体" w:cs="宋体"/>
                <w:szCs w:val="21"/>
              </w:rPr>
            </w:pPr>
            <w:r>
              <w:rPr>
                <w:rFonts w:ascii="宋体" w:hAnsi="宋体" w:cs="宋体" w:hint="eastAsia"/>
                <w:szCs w:val="21"/>
              </w:rPr>
              <w:t>舱顶云台摄像机</w:t>
            </w:r>
          </w:p>
        </w:tc>
        <w:tc>
          <w:tcPr>
            <w:tcW w:w="3397" w:type="pct"/>
            <w:vAlign w:val="center"/>
          </w:tcPr>
          <w:p>
            <w:pPr>
              <w:widowControl/>
              <w:numPr>
                <w:ilvl w:val="0"/>
                <w:numId w:val="4"/>
              </w:numPr>
              <w:rPr>
                <w:rFonts w:ascii="宋体" w:hAnsi="宋体" w:cs="宋体"/>
                <w:szCs w:val="21"/>
              </w:rPr>
            </w:pPr>
            <w:r>
              <w:rPr>
                <w:rFonts w:ascii="宋体" w:hAnsi="宋体" w:cs="宋体" w:hint="eastAsia"/>
                <w:szCs w:val="21"/>
              </w:rPr>
              <w:t xml:space="preserve">图像传感器：1/2.8″2.0MP逐行扫描CMOS； </w:t>
            </w:r>
          </w:p>
          <w:p>
            <w:pPr>
              <w:widowControl/>
              <w:numPr>
                <w:ilvl w:val="0"/>
                <w:numId w:val="4"/>
              </w:numPr>
              <w:rPr>
                <w:rFonts w:ascii="宋体" w:hAnsi="宋体" w:cs="宋体"/>
                <w:szCs w:val="21"/>
              </w:rPr>
            </w:pPr>
            <w:r>
              <w:rPr>
                <w:rFonts w:ascii="宋体" w:hAnsi="宋体" w:cs="宋体" w:hint="eastAsia"/>
                <w:szCs w:val="21"/>
              </w:rPr>
              <w:t xml:space="preserve">镜头倍数：20倍光学变焦； </w:t>
            </w:r>
          </w:p>
          <w:p>
            <w:pPr>
              <w:widowControl/>
              <w:numPr>
                <w:ilvl w:val="0"/>
                <w:numId w:val="4"/>
              </w:numPr>
              <w:rPr>
                <w:rFonts w:ascii="宋体" w:hAnsi="宋体" w:cs="宋体"/>
                <w:szCs w:val="21"/>
              </w:rPr>
            </w:pPr>
            <w:r>
              <w:rPr>
                <w:rFonts w:ascii="宋体" w:hAnsi="宋体" w:cs="宋体" w:hint="eastAsia"/>
                <w:szCs w:val="21"/>
              </w:rPr>
              <w:t xml:space="preserve">焦距(mm)：f4.5～86mm； </w:t>
            </w:r>
          </w:p>
          <w:p>
            <w:pPr>
              <w:widowControl/>
              <w:numPr>
                <w:ilvl w:val="0"/>
                <w:numId w:val="4"/>
              </w:numPr>
              <w:rPr>
                <w:rFonts w:ascii="宋体" w:hAnsi="宋体" w:cs="宋体"/>
                <w:szCs w:val="21"/>
              </w:rPr>
            </w:pPr>
            <w:r>
              <w:rPr>
                <w:rFonts w:ascii="宋体" w:hAnsi="宋体" w:cs="宋体" w:hint="eastAsia"/>
                <w:szCs w:val="21"/>
              </w:rPr>
              <w:t>光圈：Fw1.6～Ft3.4；</w:t>
            </w:r>
          </w:p>
          <w:p>
            <w:pPr>
              <w:widowControl/>
              <w:numPr>
                <w:ilvl w:val="0"/>
                <w:numId w:val="4"/>
              </w:numPr>
              <w:rPr>
                <w:rFonts w:ascii="宋体" w:hAnsi="宋体" w:cs="宋体"/>
                <w:szCs w:val="21"/>
              </w:rPr>
            </w:pPr>
            <w:r>
              <w:rPr>
                <w:rFonts w:ascii="宋体" w:hAnsi="宋体" w:cs="宋体" w:hint="eastAsia"/>
                <w:szCs w:val="21"/>
              </w:rPr>
              <w:t>水平角度：360°无限位旋转；</w:t>
            </w:r>
          </w:p>
          <w:p>
            <w:pPr>
              <w:widowControl/>
              <w:numPr>
                <w:ilvl w:val="0"/>
                <w:numId w:val="4"/>
              </w:numPr>
              <w:rPr>
                <w:rFonts w:ascii="宋体" w:hAnsi="宋体" w:cs="宋体"/>
                <w:szCs w:val="21"/>
              </w:rPr>
            </w:pPr>
            <w:r>
              <w:rPr>
                <w:rFonts w:ascii="宋体" w:hAnsi="宋体" w:cs="宋体" w:hint="eastAsia"/>
                <w:szCs w:val="21"/>
              </w:rPr>
              <w:t xml:space="preserve">垂直角度：+90°～-90°； </w:t>
            </w:r>
          </w:p>
          <w:p>
            <w:pPr>
              <w:widowControl/>
              <w:numPr>
                <w:ilvl w:val="0"/>
                <w:numId w:val="4"/>
              </w:numPr>
              <w:rPr>
                <w:rFonts w:ascii="宋体" w:hAnsi="宋体" w:cs="宋体"/>
                <w:szCs w:val="21"/>
              </w:rPr>
            </w:pPr>
            <w:r>
              <w:rPr>
                <w:rFonts w:ascii="宋体" w:hAnsi="宋体" w:cs="宋体" w:hint="eastAsia"/>
                <w:szCs w:val="21"/>
              </w:rPr>
              <w:t xml:space="preserve">防护等级：≥IP66； </w:t>
            </w:r>
          </w:p>
          <w:p>
            <w:pPr>
              <w:widowControl/>
              <w:numPr>
                <w:ilvl w:val="0"/>
                <w:numId w:val="4"/>
              </w:numPr>
              <w:rPr>
                <w:rFonts w:ascii="宋体" w:hAnsi="宋体" w:cs="宋体"/>
                <w:szCs w:val="21"/>
              </w:rPr>
            </w:pPr>
            <w:r>
              <w:rPr>
                <w:rFonts w:ascii="宋体" w:hAnsi="宋体" w:cs="宋体" w:hint="eastAsia"/>
                <w:szCs w:val="21"/>
              </w:rPr>
              <w:t xml:space="preserve">电机带断电自锁功能； </w:t>
            </w:r>
          </w:p>
          <w:p>
            <w:pPr>
              <w:widowControl/>
              <w:numPr>
                <w:ilvl w:val="0"/>
                <w:numId w:val="4"/>
              </w:numPr>
              <w:rPr>
                <w:rFonts w:ascii="宋体" w:hAnsi="宋体" w:cs="宋体"/>
                <w:szCs w:val="21"/>
              </w:rPr>
            </w:pPr>
            <w:r>
              <w:rPr>
                <w:rFonts w:ascii="宋体" w:hAnsi="宋体" w:cs="宋体" w:hint="eastAsia"/>
                <w:szCs w:val="21"/>
              </w:rPr>
              <w:t>支持接入全车视频监控系统。</w:t>
            </w:r>
          </w:p>
        </w:tc>
        <w:tc>
          <w:tcPr>
            <w:tcW w:w="498" w:type="pct"/>
            <w:vAlign w:val="center"/>
          </w:tcPr>
          <w:p>
            <w:pPr>
              <w:jc w:val="center"/>
              <w:rPr>
                <w:rFonts w:ascii="宋体" w:hAnsi="宋体" w:cs="宋体"/>
                <w:szCs w:val="21"/>
              </w:rPr>
            </w:pPr>
            <w:r>
              <w:rPr>
                <w:rFonts w:ascii="宋体" w:hAnsi="宋体" w:cs="宋体" w:hint="eastAsia"/>
                <w:szCs w:val="21"/>
              </w:rPr>
              <w:t>1</w:t>
            </w:r>
          </w:p>
        </w:tc>
        <w:tc>
          <w:tcPr>
            <w:tcW w:w="445" w:type="pct"/>
            <w:vAlign w:val="center"/>
          </w:tcPr>
          <w:p>
            <w:pPr>
              <w:jc w:val="center"/>
              <w:rPr>
                <w:rFonts w:ascii="宋体" w:hAnsi="宋体" w:cs="宋体"/>
                <w:szCs w:val="21"/>
              </w:rPr>
            </w:pPr>
            <w:r>
              <w:rPr>
                <w:rFonts w:ascii="宋体" w:hAnsi="宋体" w:cs="宋体" w:hint="eastAsia"/>
                <w:szCs w:val="21"/>
              </w:rPr>
              <w:t>套</w:t>
            </w:r>
          </w:p>
        </w:tc>
      </w:tr>
      <w:tr>
        <w:tblPrEx>
          <w:tblW w:w="5094" w:type="pct"/>
          <w:tblInd w:w="0" w:type="dxa"/>
          <w:tblCellMar>
            <w:top w:w="0" w:type="dxa"/>
            <w:left w:w="108" w:type="dxa"/>
            <w:bottom w:w="0" w:type="dxa"/>
            <w:right w:w="108" w:type="dxa"/>
          </w:tblCellMar>
        </w:tblPrEx>
        <w:trPr>
          <w:trHeight w:val="280"/>
        </w:trPr>
        <w:tc>
          <w:tcPr>
            <w:tcW w:w="660" w:type="pct"/>
            <w:vAlign w:val="center"/>
          </w:tcPr>
          <w:p>
            <w:pPr>
              <w:jc w:val="center"/>
              <w:rPr>
                <w:rFonts w:ascii="宋体" w:hAnsi="宋体" w:cs="宋体"/>
                <w:szCs w:val="21"/>
              </w:rPr>
            </w:pPr>
            <w:r>
              <w:rPr>
                <w:rFonts w:ascii="宋体" w:hAnsi="宋体" w:cs="宋体" w:hint="eastAsia"/>
                <w:szCs w:val="21"/>
              </w:rPr>
              <w:t>舱内摄像机</w:t>
            </w:r>
          </w:p>
        </w:tc>
        <w:tc>
          <w:tcPr>
            <w:tcW w:w="3397" w:type="pct"/>
            <w:vAlign w:val="center"/>
          </w:tcPr>
          <w:p>
            <w:pPr>
              <w:widowControl/>
              <w:numPr>
                <w:ilvl w:val="0"/>
                <w:numId w:val="5"/>
              </w:numPr>
              <w:rPr>
                <w:rFonts w:ascii="宋体" w:hAnsi="宋体" w:cs="宋体"/>
                <w:szCs w:val="21"/>
              </w:rPr>
            </w:pPr>
            <w:r>
              <w:rPr>
                <w:rFonts w:ascii="宋体" w:hAnsi="宋体" w:cs="宋体" w:hint="eastAsia"/>
                <w:szCs w:val="21"/>
              </w:rPr>
              <w:t>POE半球摄像机；</w:t>
            </w:r>
          </w:p>
          <w:p>
            <w:pPr>
              <w:widowControl/>
              <w:numPr>
                <w:ilvl w:val="0"/>
                <w:numId w:val="5"/>
              </w:numPr>
              <w:rPr>
                <w:rFonts w:ascii="宋体" w:hAnsi="宋体" w:cs="宋体"/>
                <w:szCs w:val="21"/>
              </w:rPr>
            </w:pPr>
            <w:r>
              <w:rPr>
                <w:rFonts w:ascii="宋体" w:hAnsi="宋体" w:cs="宋体" w:hint="eastAsia"/>
                <w:szCs w:val="21"/>
              </w:rPr>
              <w:t>支持夜间补光；</w:t>
            </w:r>
          </w:p>
          <w:p>
            <w:pPr>
              <w:widowControl/>
              <w:numPr>
                <w:ilvl w:val="0"/>
                <w:numId w:val="5"/>
              </w:numPr>
              <w:rPr>
                <w:rFonts w:ascii="宋体" w:hAnsi="宋体" w:cs="宋体"/>
                <w:szCs w:val="21"/>
              </w:rPr>
            </w:pPr>
            <w:r>
              <w:rPr>
                <w:rFonts w:ascii="宋体" w:hAnsi="宋体" w:cs="宋体" w:hint="eastAsia"/>
                <w:szCs w:val="21"/>
              </w:rPr>
              <w:t>支持接入全车视频监控系统。</w:t>
            </w:r>
          </w:p>
        </w:tc>
        <w:tc>
          <w:tcPr>
            <w:tcW w:w="498" w:type="pct"/>
            <w:vAlign w:val="center"/>
          </w:tcPr>
          <w:p>
            <w:pPr>
              <w:jc w:val="center"/>
              <w:rPr>
                <w:rFonts w:ascii="宋体" w:hAnsi="宋体" w:cs="宋体"/>
                <w:szCs w:val="21"/>
              </w:rPr>
            </w:pPr>
            <w:r>
              <w:rPr>
                <w:rFonts w:ascii="宋体" w:hAnsi="宋体" w:cs="宋体" w:hint="eastAsia"/>
                <w:szCs w:val="21"/>
              </w:rPr>
              <w:t>1</w:t>
            </w:r>
          </w:p>
        </w:tc>
        <w:tc>
          <w:tcPr>
            <w:tcW w:w="445" w:type="pct"/>
            <w:vAlign w:val="center"/>
          </w:tcPr>
          <w:p>
            <w:pPr>
              <w:jc w:val="center"/>
              <w:rPr>
                <w:rFonts w:ascii="宋体" w:hAnsi="宋体" w:cs="宋体"/>
                <w:szCs w:val="21"/>
              </w:rPr>
            </w:pPr>
            <w:r>
              <w:rPr>
                <w:rFonts w:ascii="宋体" w:hAnsi="宋体" w:cs="宋体" w:hint="eastAsia"/>
                <w:szCs w:val="21"/>
              </w:rPr>
              <w:t>套</w:t>
            </w:r>
          </w:p>
        </w:tc>
      </w:tr>
      <w:tr>
        <w:tblPrEx>
          <w:tblW w:w="5094" w:type="pct"/>
          <w:tblInd w:w="0" w:type="dxa"/>
          <w:tblCellMar>
            <w:top w:w="0" w:type="dxa"/>
            <w:left w:w="108" w:type="dxa"/>
            <w:bottom w:w="0" w:type="dxa"/>
            <w:right w:w="108" w:type="dxa"/>
          </w:tblCellMar>
        </w:tblPrEx>
        <w:trPr>
          <w:trHeight w:val="280"/>
        </w:trPr>
        <w:tc>
          <w:tcPr>
            <w:tcW w:w="660" w:type="pct"/>
            <w:vAlign w:val="center"/>
          </w:tcPr>
          <w:p>
            <w:pPr>
              <w:jc w:val="center"/>
              <w:rPr>
                <w:rFonts w:ascii="宋体" w:hAnsi="宋体" w:cs="宋体"/>
                <w:szCs w:val="21"/>
              </w:rPr>
            </w:pPr>
            <w:r>
              <w:rPr>
                <w:rFonts w:ascii="宋体" w:hAnsi="宋体" w:cs="宋体" w:hint="eastAsia"/>
                <w:szCs w:val="21"/>
              </w:rPr>
              <w:t>硬盘录像机</w:t>
            </w:r>
          </w:p>
        </w:tc>
        <w:tc>
          <w:tcPr>
            <w:tcW w:w="3397" w:type="pct"/>
            <w:vAlign w:val="center"/>
          </w:tcPr>
          <w:p>
            <w:pPr>
              <w:widowControl/>
              <w:numPr>
                <w:ilvl w:val="0"/>
                <w:numId w:val="6"/>
              </w:numPr>
              <w:tabs>
                <w:tab w:val="left" w:pos="312"/>
              </w:tabs>
              <w:rPr>
                <w:rFonts w:ascii="宋体" w:hAnsi="宋体" w:cs="宋体"/>
                <w:szCs w:val="21"/>
              </w:rPr>
            </w:pPr>
            <w:r>
              <w:rPr>
                <w:rFonts w:ascii="宋体" w:hAnsi="宋体" w:cs="宋体" w:hint="eastAsia"/>
                <w:szCs w:val="21"/>
              </w:rPr>
              <w:t xml:space="preserve">支持4路1080P视频输入； </w:t>
            </w:r>
          </w:p>
          <w:p>
            <w:pPr>
              <w:widowControl/>
              <w:numPr>
                <w:ilvl w:val="0"/>
                <w:numId w:val="6"/>
              </w:numPr>
              <w:tabs>
                <w:tab w:val="left" w:pos="312"/>
              </w:tabs>
              <w:rPr>
                <w:rFonts w:ascii="宋体" w:hAnsi="宋体" w:cs="宋体"/>
                <w:szCs w:val="21"/>
              </w:rPr>
            </w:pPr>
            <w:r>
              <w:rPr>
                <w:rFonts w:ascii="宋体" w:hAnsi="宋体" w:cs="宋体" w:hint="eastAsia"/>
                <w:szCs w:val="21"/>
              </w:rPr>
              <w:t xml:space="preserve">存储容量≥1T； </w:t>
            </w:r>
          </w:p>
          <w:p>
            <w:pPr>
              <w:widowControl/>
              <w:numPr>
                <w:ilvl w:val="0"/>
                <w:numId w:val="6"/>
              </w:numPr>
              <w:tabs>
                <w:tab w:val="left" w:pos="312"/>
              </w:tabs>
              <w:rPr>
                <w:rFonts w:ascii="宋体" w:hAnsi="宋体" w:cs="宋体"/>
                <w:szCs w:val="21"/>
              </w:rPr>
            </w:pPr>
            <w:r>
              <w:rPr>
                <w:rFonts w:ascii="宋体" w:hAnsi="宋体" w:cs="宋体" w:hint="eastAsia"/>
                <w:szCs w:val="21"/>
              </w:rPr>
              <w:t>支持H.265/H.264压缩模式。</w:t>
            </w:r>
          </w:p>
        </w:tc>
        <w:tc>
          <w:tcPr>
            <w:tcW w:w="498" w:type="pct"/>
            <w:vAlign w:val="center"/>
          </w:tcPr>
          <w:p>
            <w:pPr>
              <w:jc w:val="center"/>
              <w:rPr>
                <w:rFonts w:ascii="宋体" w:hAnsi="宋体" w:cs="宋体"/>
                <w:szCs w:val="21"/>
              </w:rPr>
            </w:pPr>
            <w:r>
              <w:rPr>
                <w:rFonts w:ascii="宋体" w:hAnsi="宋体" w:cs="宋体" w:hint="eastAsia"/>
                <w:szCs w:val="21"/>
              </w:rPr>
              <w:t>1</w:t>
            </w:r>
          </w:p>
        </w:tc>
        <w:tc>
          <w:tcPr>
            <w:tcW w:w="445" w:type="pct"/>
            <w:vAlign w:val="center"/>
          </w:tcPr>
          <w:p>
            <w:pPr>
              <w:jc w:val="center"/>
              <w:rPr>
                <w:rFonts w:ascii="宋体" w:hAnsi="宋体" w:cs="宋体"/>
                <w:szCs w:val="21"/>
              </w:rPr>
            </w:pPr>
            <w:r>
              <w:rPr>
                <w:rFonts w:ascii="宋体" w:hAnsi="宋体" w:cs="宋体" w:hint="eastAsia"/>
                <w:szCs w:val="21"/>
              </w:rPr>
              <w:t>套</w:t>
            </w:r>
          </w:p>
        </w:tc>
      </w:tr>
      <w:tr>
        <w:tblPrEx>
          <w:tblW w:w="5094" w:type="pct"/>
          <w:tblInd w:w="0" w:type="dxa"/>
          <w:tblCellMar>
            <w:top w:w="0" w:type="dxa"/>
            <w:left w:w="108" w:type="dxa"/>
            <w:bottom w:w="0" w:type="dxa"/>
            <w:right w:w="108" w:type="dxa"/>
          </w:tblCellMar>
        </w:tblPrEx>
        <w:trPr>
          <w:trHeight w:val="280"/>
        </w:trPr>
        <w:tc>
          <w:tcPr>
            <w:tcW w:w="660" w:type="pct"/>
            <w:vAlign w:val="center"/>
          </w:tcPr>
          <w:p>
            <w:pPr>
              <w:jc w:val="center"/>
              <w:rPr>
                <w:rFonts w:ascii="宋体" w:hAnsi="宋体" w:cs="宋体"/>
                <w:szCs w:val="21"/>
              </w:rPr>
            </w:pPr>
            <w:r>
              <w:rPr>
                <w:rFonts w:ascii="宋体" w:hAnsi="宋体" w:cs="宋体" w:hint="eastAsia"/>
                <w:szCs w:val="21"/>
              </w:rPr>
              <w:t>大屏显示器</w:t>
            </w:r>
          </w:p>
        </w:tc>
        <w:tc>
          <w:tcPr>
            <w:tcW w:w="3397" w:type="pct"/>
            <w:vAlign w:val="center"/>
          </w:tcPr>
          <w:p>
            <w:pPr>
              <w:widowControl/>
              <w:numPr>
                <w:ilvl w:val="0"/>
                <w:numId w:val="7"/>
              </w:numPr>
              <w:tabs>
                <w:tab w:val="left" w:pos="312"/>
              </w:tabs>
              <w:rPr>
                <w:rFonts w:ascii="宋体" w:hAnsi="宋体" w:cs="宋体"/>
                <w:szCs w:val="21"/>
              </w:rPr>
            </w:pPr>
            <w:r>
              <w:rPr>
                <w:rFonts w:ascii="宋体" w:hAnsi="宋体" w:cs="宋体" w:hint="eastAsia"/>
                <w:szCs w:val="21"/>
              </w:rPr>
              <w:t xml:space="preserve">分辨率:不低于1080P； </w:t>
            </w:r>
          </w:p>
          <w:p>
            <w:pPr>
              <w:widowControl/>
              <w:numPr>
                <w:ilvl w:val="0"/>
                <w:numId w:val="7"/>
              </w:numPr>
              <w:tabs>
                <w:tab w:val="left" w:pos="312"/>
              </w:tabs>
              <w:rPr>
                <w:rFonts w:ascii="宋体" w:hAnsi="宋体" w:cs="宋体"/>
                <w:szCs w:val="21"/>
              </w:rPr>
            </w:pPr>
            <w:r>
              <w:rPr>
                <w:rFonts w:ascii="宋体" w:hAnsi="宋体" w:cs="宋体" w:hint="eastAsia"/>
                <w:szCs w:val="21"/>
              </w:rPr>
              <w:t>数量≥2台。</w:t>
            </w:r>
          </w:p>
        </w:tc>
        <w:tc>
          <w:tcPr>
            <w:tcW w:w="498" w:type="pct"/>
            <w:vAlign w:val="center"/>
          </w:tcPr>
          <w:p>
            <w:pPr>
              <w:jc w:val="center"/>
              <w:rPr>
                <w:rFonts w:ascii="宋体" w:hAnsi="宋体" w:cs="宋体"/>
                <w:szCs w:val="21"/>
              </w:rPr>
            </w:pPr>
            <w:r>
              <w:rPr>
                <w:rFonts w:ascii="宋体" w:hAnsi="宋体" w:cs="宋体" w:hint="eastAsia"/>
                <w:szCs w:val="21"/>
              </w:rPr>
              <w:t>1</w:t>
            </w:r>
          </w:p>
        </w:tc>
        <w:tc>
          <w:tcPr>
            <w:tcW w:w="445" w:type="pct"/>
            <w:vAlign w:val="center"/>
          </w:tcPr>
          <w:p>
            <w:pPr>
              <w:jc w:val="center"/>
              <w:rPr>
                <w:rFonts w:ascii="宋体" w:hAnsi="宋体" w:cs="宋体"/>
                <w:szCs w:val="21"/>
              </w:rPr>
            </w:pPr>
            <w:r>
              <w:rPr>
                <w:rFonts w:ascii="宋体" w:hAnsi="宋体" w:cs="宋体" w:hint="eastAsia"/>
                <w:szCs w:val="21"/>
              </w:rPr>
              <w:t>套</w:t>
            </w:r>
          </w:p>
        </w:tc>
      </w:tr>
      <w:tr>
        <w:tblPrEx>
          <w:tblW w:w="5094" w:type="pct"/>
          <w:tblInd w:w="0" w:type="dxa"/>
          <w:tblCellMar>
            <w:top w:w="0" w:type="dxa"/>
            <w:left w:w="108" w:type="dxa"/>
            <w:bottom w:w="0" w:type="dxa"/>
            <w:right w:w="108" w:type="dxa"/>
          </w:tblCellMar>
        </w:tblPrEx>
        <w:trPr>
          <w:trHeight w:val="280"/>
        </w:trPr>
        <w:tc>
          <w:tcPr>
            <w:tcW w:w="660" w:type="pct"/>
            <w:vAlign w:val="center"/>
          </w:tcPr>
          <w:p>
            <w:pPr>
              <w:jc w:val="center"/>
              <w:rPr>
                <w:rFonts w:ascii="宋体" w:hAnsi="宋体" w:cs="宋体"/>
                <w:szCs w:val="21"/>
              </w:rPr>
            </w:pPr>
            <w:r>
              <w:rPr>
                <w:rFonts w:ascii="宋体" w:hAnsi="宋体" w:cs="宋体" w:hint="eastAsia"/>
                <w:szCs w:val="21"/>
              </w:rPr>
              <w:t>混切矩阵</w:t>
            </w:r>
          </w:p>
        </w:tc>
        <w:tc>
          <w:tcPr>
            <w:tcW w:w="3397" w:type="pct"/>
            <w:vAlign w:val="center"/>
          </w:tcPr>
          <w:p>
            <w:pPr>
              <w:widowControl/>
              <w:numPr>
                <w:ilvl w:val="0"/>
                <w:numId w:val="8"/>
              </w:numPr>
              <w:rPr>
                <w:rFonts w:ascii="宋体" w:hAnsi="宋体" w:cs="宋体"/>
                <w:szCs w:val="21"/>
              </w:rPr>
            </w:pPr>
            <w:r>
              <w:rPr>
                <w:rFonts w:ascii="宋体" w:hAnsi="宋体" w:cs="宋体" w:hint="eastAsia"/>
                <w:szCs w:val="21"/>
              </w:rPr>
              <w:t xml:space="preserve">全数字化切换； </w:t>
            </w:r>
          </w:p>
          <w:p>
            <w:pPr>
              <w:widowControl/>
              <w:numPr>
                <w:ilvl w:val="0"/>
                <w:numId w:val="8"/>
              </w:numPr>
              <w:rPr>
                <w:rFonts w:ascii="宋体" w:hAnsi="宋体" w:cs="宋体"/>
                <w:szCs w:val="21"/>
              </w:rPr>
            </w:pPr>
            <w:r>
              <w:rPr>
                <w:rFonts w:ascii="宋体" w:hAnsi="宋体" w:cs="宋体" w:hint="eastAsia"/>
                <w:szCs w:val="21"/>
              </w:rPr>
              <w:t xml:space="preserve">输入不少于8路信号，输出不少于8路信号； </w:t>
            </w:r>
          </w:p>
          <w:p>
            <w:pPr>
              <w:widowControl/>
              <w:numPr>
                <w:ilvl w:val="0"/>
                <w:numId w:val="8"/>
              </w:numPr>
              <w:rPr>
                <w:rFonts w:ascii="宋体" w:hAnsi="宋体" w:cs="宋体"/>
                <w:szCs w:val="21"/>
              </w:rPr>
            </w:pPr>
            <w:r>
              <w:rPr>
                <w:rFonts w:ascii="宋体" w:hAnsi="宋体" w:cs="宋体" w:hint="eastAsia"/>
                <w:szCs w:val="21"/>
              </w:rPr>
              <w:t xml:space="preserve">任意信号输入输出； </w:t>
            </w:r>
          </w:p>
          <w:p>
            <w:pPr>
              <w:widowControl/>
              <w:numPr>
                <w:ilvl w:val="0"/>
                <w:numId w:val="8"/>
              </w:numPr>
              <w:rPr>
                <w:rFonts w:ascii="宋体" w:hAnsi="宋体" w:cs="宋体"/>
                <w:szCs w:val="21"/>
              </w:rPr>
            </w:pPr>
            <w:r>
              <w:rPr>
                <w:rFonts w:ascii="宋体" w:hAnsi="宋体" w:cs="宋体" w:hint="eastAsia"/>
                <w:szCs w:val="21"/>
              </w:rPr>
              <w:t xml:space="preserve">实时无缝切换； </w:t>
            </w:r>
          </w:p>
          <w:p>
            <w:pPr>
              <w:widowControl/>
              <w:numPr>
                <w:ilvl w:val="0"/>
                <w:numId w:val="8"/>
              </w:numPr>
              <w:rPr>
                <w:rFonts w:ascii="宋体" w:hAnsi="宋体" w:cs="宋体"/>
                <w:szCs w:val="21"/>
              </w:rPr>
            </w:pPr>
            <w:r>
              <w:rPr>
                <w:rFonts w:ascii="宋体" w:hAnsi="宋体" w:cs="宋体" w:hint="eastAsia"/>
                <w:szCs w:val="21"/>
              </w:rPr>
              <w:t xml:space="preserve">输入信号分辨率自适应，输出分辨率可调； </w:t>
            </w:r>
          </w:p>
          <w:p>
            <w:pPr>
              <w:widowControl/>
              <w:numPr>
                <w:ilvl w:val="0"/>
                <w:numId w:val="8"/>
              </w:numPr>
              <w:rPr>
                <w:rFonts w:ascii="宋体" w:hAnsi="宋体" w:cs="宋体"/>
                <w:szCs w:val="21"/>
              </w:rPr>
            </w:pPr>
            <w:r>
              <w:rPr>
                <w:rFonts w:ascii="宋体" w:hAnsi="宋体" w:cs="宋体" w:hint="eastAsia"/>
                <w:szCs w:val="21"/>
              </w:rPr>
              <w:t xml:space="preserve">支持模拟音频输入和输出； </w:t>
            </w:r>
          </w:p>
          <w:p>
            <w:pPr>
              <w:widowControl/>
              <w:numPr>
                <w:ilvl w:val="0"/>
                <w:numId w:val="8"/>
              </w:numPr>
              <w:rPr>
                <w:rFonts w:ascii="宋体" w:hAnsi="宋体" w:cs="宋体"/>
                <w:szCs w:val="21"/>
              </w:rPr>
            </w:pPr>
            <w:r>
              <w:rPr>
                <w:rFonts w:ascii="宋体" w:hAnsi="宋体" w:cs="宋体" w:hint="eastAsia"/>
                <w:szCs w:val="21"/>
              </w:rPr>
              <w:t xml:space="preserve">支持对外接口控制，开放控制协议，方便第三方串口控制； </w:t>
            </w:r>
          </w:p>
          <w:p>
            <w:pPr>
              <w:widowControl/>
              <w:numPr>
                <w:ilvl w:val="0"/>
                <w:numId w:val="8"/>
              </w:numPr>
              <w:rPr>
                <w:rFonts w:ascii="宋体" w:hAnsi="宋体" w:cs="宋体"/>
                <w:szCs w:val="21"/>
              </w:rPr>
            </w:pPr>
            <w:r>
              <w:rPr>
                <w:rFonts w:ascii="宋体" w:hAnsi="宋体" w:cs="宋体" w:hint="eastAsia"/>
                <w:szCs w:val="21"/>
              </w:rPr>
              <w:t xml:space="preserve">支持断电现场保护； </w:t>
            </w:r>
          </w:p>
          <w:p>
            <w:pPr>
              <w:widowControl/>
              <w:numPr>
                <w:ilvl w:val="0"/>
                <w:numId w:val="8"/>
              </w:numPr>
              <w:rPr>
                <w:rFonts w:ascii="宋体" w:hAnsi="宋体" w:cs="宋体"/>
                <w:szCs w:val="21"/>
              </w:rPr>
            </w:pPr>
            <w:r>
              <w:rPr>
                <w:rFonts w:ascii="宋体" w:hAnsi="宋体" w:cs="宋体" w:hint="eastAsia"/>
                <w:szCs w:val="21"/>
              </w:rPr>
              <w:t>标准插卡式工业机箱。</w:t>
            </w:r>
          </w:p>
          <w:p>
            <w:pPr>
              <w:widowControl/>
              <w:numPr>
                <w:ilvl w:val="0"/>
                <w:numId w:val="8"/>
              </w:numPr>
              <w:rPr>
                <w:rFonts w:ascii="宋体" w:eastAsia="宋体" w:hAnsi="宋体" w:cs="宋体"/>
                <w:szCs w:val="21"/>
              </w:rPr>
            </w:pPr>
            <w:r>
              <w:rPr>
                <w:rFonts w:ascii="宋体" w:eastAsia="宋体" w:hAnsi="宋体" w:cs="宋体" w:hint="eastAsia"/>
                <w:szCs w:val="21"/>
              </w:rPr>
              <w:t>▲接地和连接保护措施：满足GB 4943.1-2022 《音视频、信息技术和通信技术设备 第1部分：安全要求》的要求，提供第三方检验检测机构出具的检测报告；</w:t>
            </w:r>
          </w:p>
          <w:p>
            <w:pPr>
              <w:widowControl/>
              <w:numPr>
                <w:ilvl w:val="0"/>
                <w:numId w:val="8"/>
              </w:numPr>
              <w:rPr>
                <w:rFonts w:ascii="宋体" w:eastAsia="宋体" w:hAnsi="宋体" w:cs="宋体"/>
                <w:szCs w:val="21"/>
              </w:rPr>
            </w:pPr>
            <w:r>
              <w:rPr>
                <w:rFonts w:ascii="宋体" w:eastAsia="宋体" w:hAnsi="宋体" w:cs="宋体" w:hint="eastAsia"/>
                <w:szCs w:val="21"/>
              </w:rPr>
              <w:t>▲低温：满足GB/T 2423.1-2008 《电工电子产品环境试验 第2部分：试验方法 试验A：低温》的要求，低温-55℃；提供第三方检验检测机构出具的检测报告；</w:t>
            </w:r>
          </w:p>
          <w:p>
            <w:pPr>
              <w:widowControl/>
              <w:numPr>
                <w:ilvl w:val="0"/>
                <w:numId w:val="8"/>
              </w:numPr>
              <w:rPr>
                <w:rFonts w:ascii="宋体" w:eastAsia="宋体" w:hAnsi="宋体" w:cs="宋体"/>
                <w:szCs w:val="21"/>
              </w:rPr>
            </w:pPr>
            <w:r>
              <w:rPr>
                <w:rFonts w:ascii="宋体" w:eastAsia="宋体" w:hAnsi="宋体" w:cs="宋体" w:hint="eastAsia"/>
                <w:szCs w:val="21"/>
              </w:rPr>
              <w:t>▲高温：满足GB/T 2423.2-2008 《电工电子产品环境试验 第2部分：试验方法 试验B：高温》的要求，高温75℃；提供第三方检验检测机构出具的检测报告；</w:t>
            </w:r>
          </w:p>
          <w:p>
            <w:pPr>
              <w:widowControl/>
              <w:numPr>
                <w:ilvl w:val="0"/>
                <w:numId w:val="8"/>
              </w:numPr>
              <w:rPr>
                <w:rFonts w:ascii="宋体" w:eastAsia="宋体" w:hAnsi="宋体" w:cs="宋体"/>
                <w:szCs w:val="21"/>
              </w:rPr>
            </w:pPr>
            <w:r>
              <w:rPr>
                <w:rFonts w:ascii="宋体" w:eastAsia="宋体" w:hAnsi="宋体" w:cs="宋体" w:hint="eastAsia"/>
                <w:szCs w:val="21"/>
              </w:rPr>
              <w:t>▲冲击：满足GB/T 2423.5-2019 《环境试验 第2部分：试验方法 试验Ea和导则：冲击》的要求；须提供第三方检验检测机构出具的检测报告；</w:t>
            </w:r>
          </w:p>
          <w:p>
            <w:pPr>
              <w:widowControl/>
              <w:numPr>
                <w:ilvl w:val="0"/>
                <w:numId w:val="8"/>
              </w:numPr>
              <w:rPr>
                <w:rFonts w:ascii="宋体" w:eastAsia="宋体" w:hAnsi="宋体" w:cs="宋体"/>
                <w:szCs w:val="21"/>
              </w:rPr>
            </w:pPr>
            <w:r>
              <w:rPr>
                <w:rFonts w:ascii="宋体" w:eastAsia="宋体" w:hAnsi="宋体" w:cs="宋体" w:hint="eastAsia"/>
                <w:szCs w:val="21"/>
              </w:rPr>
              <w:t xml:space="preserve">▲振动：满足GB/T 2423.10-2019 </w:t>
            </w:r>
            <w:bookmarkStart w:id="74" w:name="OLE_LINK10"/>
            <w:r>
              <w:rPr>
                <w:rFonts w:ascii="宋体" w:eastAsia="宋体" w:hAnsi="宋体" w:cs="宋体" w:hint="eastAsia"/>
                <w:szCs w:val="21"/>
              </w:rPr>
              <w:t xml:space="preserve">《环境试验 第2部分：试验方法 </w:t>
            </w:r>
            <w:bookmarkEnd w:id="74"/>
            <w:r>
              <w:rPr>
                <w:rFonts w:ascii="宋体" w:eastAsia="宋体" w:hAnsi="宋体" w:cs="宋体" w:hint="eastAsia"/>
                <w:szCs w:val="21"/>
              </w:rPr>
              <w:t>试验Fc：振动（正弦）》的要求；提供第三方检验检测机构出具的检测报告；</w:t>
            </w:r>
          </w:p>
          <w:p>
            <w:pPr>
              <w:widowControl/>
              <w:numPr>
                <w:ilvl w:val="0"/>
                <w:numId w:val="8"/>
              </w:numPr>
              <w:rPr>
                <w:rFonts w:ascii="宋体" w:hAnsi="宋体" w:cs="宋体"/>
                <w:szCs w:val="21"/>
              </w:rPr>
            </w:pPr>
            <w:r>
              <w:rPr>
                <w:rFonts w:ascii="宋体" w:eastAsia="宋体" w:hAnsi="宋体" w:cs="宋体" w:hint="eastAsia"/>
                <w:szCs w:val="21"/>
              </w:rPr>
              <w:t>▲盐雾：满足GB/T 2423.17-2024 《《环境试验 第2部分：试验方法 试验Ka：盐雾》的要求；提供第三方检验检测机构出具的检测报告。</w:t>
            </w:r>
          </w:p>
        </w:tc>
        <w:tc>
          <w:tcPr>
            <w:tcW w:w="498" w:type="pct"/>
            <w:vAlign w:val="center"/>
          </w:tcPr>
          <w:p>
            <w:pPr>
              <w:jc w:val="center"/>
              <w:rPr>
                <w:rFonts w:ascii="宋体" w:hAnsi="宋体" w:cs="宋体"/>
                <w:szCs w:val="21"/>
              </w:rPr>
            </w:pPr>
            <w:r>
              <w:rPr>
                <w:rFonts w:ascii="宋体" w:hAnsi="宋体" w:cs="宋体" w:hint="eastAsia"/>
                <w:szCs w:val="21"/>
              </w:rPr>
              <w:t>1</w:t>
            </w:r>
          </w:p>
        </w:tc>
        <w:tc>
          <w:tcPr>
            <w:tcW w:w="445" w:type="pct"/>
            <w:vAlign w:val="center"/>
          </w:tcPr>
          <w:p>
            <w:pPr>
              <w:jc w:val="center"/>
              <w:rPr>
                <w:rFonts w:ascii="宋体" w:hAnsi="宋体" w:cs="宋体"/>
                <w:szCs w:val="21"/>
              </w:rPr>
            </w:pPr>
            <w:r>
              <w:rPr>
                <w:rFonts w:ascii="宋体" w:hAnsi="宋体" w:cs="宋体" w:hint="eastAsia"/>
                <w:szCs w:val="21"/>
              </w:rPr>
              <w:t>套</w:t>
            </w:r>
          </w:p>
        </w:tc>
      </w:tr>
      <w:bookmarkEnd w:id="72"/>
    </w:tbl>
    <w:p>
      <w:pPr>
        <w:spacing w:line="360" w:lineRule="auto"/>
        <w:ind w:firstLine="420" w:firstLineChars="200"/>
        <w:outlineLvl w:val="2"/>
        <w:rPr>
          <w:rFonts w:ascii="宋体" w:hAnsi="宋体"/>
          <w:b/>
          <w:bCs/>
          <w:szCs w:val="21"/>
        </w:rPr>
      </w:pPr>
      <w:bookmarkStart w:id="75" w:name="OLE_LINK24"/>
      <w:r>
        <w:rPr>
          <w:rFonts w:ascii="宋体" w:hAnsi="宋体" w:hint="eastAsia"/>
          <w:b/>
          <w:bCs/>
          <w:szCs w:val="21"/>
        </w:rPr>
        <w:t>1.10空调系统（数量2套）</w:t>
      </w:r>
    </w:p>
    <w:p>
      <w:pPr>
        <w:spacing w:line="360" w:lineRule="auto"/>
        <w:ind w:firstLine="420" w:firstLineChars="200"/>
        <w:rPr>
          <w:rFonts w:ascii="宋体" w:hAnsi="宋体"/>
          <w:szCs w:val="21"/>
        </w:rPr>
      </w:pPr>
      <w:r>
        <w:rPr>
          <w:rFonts w:ascii="宋体" w:hAnsi="宋体" w:hint="eastAsia"/>
          <w:szCs w:val="21"/>
        </w:rPr>
        <w:t>配备冷暖空调≥1.5匹(空调制冷剂应使用不可燃冷媒或配备泄露检测系统)、暖风机1套满足工作舱环境使用要求，各省可根据舱体长度及空间实际大小选择在设备区配备冷暖空调1套、除湿机1套。</w:t>
      </w:r>
    </w:p>
    <w:bookmarkEnd w:id="75"/>
    <w:p>
      <w:pPr>
        <w:spacing w:line="360" w:lineRule="auto"/>
        <w:ind w:firstLine="420" w:firstLineChars="200"/>
        <w:outlineLvl w:val="2"/>
        <w:rPr>
          <w:rFonts w:ascii="宋体" w:hAnsi="宋体"/>
          <w:b/>
          <w:bCs/>
          <w:szCs w:val="21"/>
        </w:rPr>
      </w:pPr>
      <w:bookmarkStart w:id="76" w:name="OLE_LINK25"/>
      <w:r>
        <w:rPr>
          <w:rFonts w:ascii="宋体" w:hAnsi="宋体" w:hint="eastAsia"/>
          <w:b/>
          <w:bCs/>
          <w:szCs w:val="21"/>
        </w:rPr>
        <w:t>1.11通信传输系统（数量2套）</w:t>
      </w:r>
    </w:p>
    <w:p>
      <w:pPr>
        <w:spacing w:line="360" w:lineRule="auto"/>
        <w:ind w:firstLine="420" w:firstLineChars="200"/>
        <w:rPr>
          <w:rFonts w:ascii="宋体" w:hAnsi="宋体"/>
          <w:szCs w:val="21"/>
        </w:rPr>
      </w:pPr>
      <w:r>
        <w:rPr>
          <w:rFonts w:ascii="宋体" w:hAnsi="宋体" w:hint="eastAsia"/>
          <w:szCs w:val="21"/>
        </w:rPr>
        <w:t>配备北斗全球导航定位系统、4G/5G移动通信、卫星通信等功能，具备与指挥模组近距离有线数据传输的能力。</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266"/>
        <w:gridCol w:w="5648"/>
        <w:gridCol w:w="849"/>
        <w:gridCol w:w="759"/>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80"/>
        </w:trPr>
        <w:tc>
          <w:tcPr>
            <w:tcW w:w="743" w:type="pct"/>
            <w:vAlign w:val="center"/>
          </w:tcPr>
          <w:p>
            <w:pPr>
              <w:jc w:val="center"/>
              <w:rPr>
                <w:rFonts w:ascii="宋体" w:hAnsi="宋体" w:cs="宋体"/>
                <w:szCs w:val="21"/>
              </w:rPr>
            </w:pPr>
            <w:r>
              <w:rPr>
                <w:rFonts w:ascii="宋体" w:hAnsi="宋体" w:cs="宋体" w:hint="eastAsia"/>
                <w:szCs w:val="21"/>
              </w:rPr>
              <w:t>设备名称</w:t>
            </w:r>
          </w:p>
        </w:tc>
        <w:tc>
          <w:tcPr>
            <w:tcW w:w="3314" w:type="pct"/>
            <w:vAlign w:val="center"/>
          </w:tcPr>
          <w:p>
            <w:pPr>
              <w:jc w:val="center"/>
              <w:rPr>
                <w:rFonts w:ascii="宋体" w:hAnsi="宋体" w:cs="宋体"/>
                <w:szCs w:val="21"/>
              </w:rPr>
            </w:pPr>
            <w:r>
              <w:rPr>
                <w:rFonts w:ascii="宋体" w:hAnsi="宋体" w:cs="宋体" w:hint="eastAsia"/>
                <w:szCs w:val="21"/>
              </w:rPr>
              <w:t>功能要求</w:t>
            </w:r>
          </w:p>
        </w:tc>
        <w:tc>
          <w:tcPr>
            <w:tcW w:w="498" w:type="pct"/>
            <w:vAlign w:val="center"/>
          </w:tcPr>
          <w:p>
            <w:pPr>
              <w:jc w:val="center"/>
              <w:rPr>
                <w:rFonts w:ascii="宋体" w:hAnsi="宋体" w:cs="宋体"/>
                <w:szCs w:val="21"/>
              </w:rPr>
            </w:pPr>
            <w:r>
              <w:rPr>
                <w:rFonts w:ascii="宋体" w:hAnsi="宋体" w:cs="宋体" w:hint="eastAsia"/>
                <w:szCs w:val="21"/>
              </w:rPr>
              <w:t>数量</w:t>
            </w:r>
          </w:p>
        </w:tc>
        <w:tc>
          <w:tcPr>
            <w:tcW w:w="445" w:type="pct"/>
            <w:vAlign w:val="center"/>
          </w:tcPr>
          <w:p>
            <w:pPr>
              <w:jc w:val="center"/>
              <w:rPr>
                <w:rFonts w:ascii="宋体" w:hAnsi="宋体" w:cs="宋体"/>
                <w:szCs w:val="21"/>
              </w:rPr>
            </w:pPr>
            <w:r>
              <w:rPr>
                <w:rFonts w:ascii="宋体" w:hAnsi="宋体" w:cs="宋体" w:hint="eastAsia"/>
                <w:szCs w:val="21"/>
              </w:rPr>
              <w:t>单位</w:t>
            </w:r>
          </w:p>
        </w:tc>
      </w:tr>
      <w:tr>
        <w:tblPrEx>
          <w:tblW w:w="5000" w:type="pct"/>
          <w:tblInd w:w="0" w:type="dxa"/>
          <w:tblCellMar>
            <w:top w:w="0" w:type="dxa"/>
            <w:left w:w="108" w:type="dxa"/>
            <w:bottom w:w="0" w:type="dxa"/>
            <w:right w:w="108" w:type="dxa"/>
          </w:tblCellMar>
        </w:tblPrEx>
        <w:trPr>
          <w:trHeight w:val="280"/>
        </w:trPr>
        <w:tc>
          <w:tcPr>
            <w:tcW w:w="743" w:type="pct"/>
            <w:vAlign w:val="center"/>
          </w:tcPr>
          <w:p>
            <w:pPr>
              <w:rPr>
                <w:rFonts w:ascii="宋体" w:hAnsi="宋体" w:cs="宋体"/>
                <w:szCs w:val="21"/>
              </w:rPr>
            </w:pPr>
            <w:r>
              <w:rPr>
                <w:rFonts w:ascii="宋体" w:hAnsi="宋体" w:cs="宋体" w:hint="eastAsia"/>
                <w:szCs w:val="21"/>
              </w:rPr>
              <w:t>北斗传输设备</w:t>
            </w:r>
          </w:p>
        </w:tc>
        <w:tc>
          <w:tcPr>
            <w:tcW w:w="3314" w:type="pct"/>
            <w:vAlign w:val="center"/>
          </w:tcPr>
          <w:p>
            <w:pPr>
              <w:widowControl/>
              <w:numPr>
                <w:ilvl w:val="0"/>
                <w:numId w:val="9"/>
              </w:numPr>
              <w:rPr>
                <w:rFonts w:ascii="宋体" w:hAnsi="宋体" w:cs="宋体"/>
                <w:szCs w:val="21"/>
              </w:rPr>
            </w:pPr>
            <w:r>
              <w:rPr>
                <w:rFonts w:ascii="宋体" w:hAnsi="宋体" w:cs="宋体" w:hint="eastAsia"/>
                <w:szCs w:val="21"/>
              </w:rPr>
              <w:t xml:space="preserve">定位功能：具备支持单独使用北斗定位功能； </w:t>
            </w:r>
          </w:p>
          <w:p>
            <w:pPr>
              <w:widowControl/>
              <w:numPr>
                <w:ilvl w:val="0"/>
                <w:numId w:val="9"/>
              </w:numPr>
              <w:rPr>
                <w:rFonts w:ascii="宋体" w:hAnsi="宋体" w:cs="宋体"/>
                <w:szCs w:val="21"/>
              </w:rPr>
            </w:pPr>
            <w:r>
              <w:rPr>
                <w:rFonts w:ascii="宋体" w:hAnsi="宋体" w:cs="宋体" w:hint="eastAsia"/>
                <w:szCs w:val="21"/>
              </w:rPr>
              <w:t>定位精度：≤5m；测速精度：≤0.2m/s；</w:t>
            </w:r>
          </w:p>
          <w:p>
            <w:pPr>
              <w:widowControl/>
              <w:numPr>
                <w:ilvl w:val="0"/>
                <w:numId w:val="9"/>
              </w:numPr>
              <w:rPr>
                <w:rFonts w:ascii="宋体" w:hAnsi="宋体" w:cs="宋体"/>
                <w:szCs w:val="21"/>
              </w:rPr>
            </w:pPr>
            <w:r>
              <w:rPr>
                <w:rFonts w:ascii="宋体" w:hAnsi="宋体" w:cs="宋体" w:hint="eastAsia"/>
                <w:szCs w:val="21"/>
              </w:rPr>
              <w:t xml:space="preserve">首次定位时间：冷启动≤120秒，热启动≤10秒； </w:t>
            </w:r>
          </w:p>
          <w:p>
            <w:pPr>
              <w:widowControl/>
              <w:numPr>
                <w:ilvl w:val="0"/>
                <w:numId w:val="9"/>
              </w:numPr>
              <w:rPr>
                <w:rFonts w:ascii="宋体" w:hAnsi="宋体" w:cs="宋体"/>
                <w:szCs w:val="21"/>
              </w:rPr>
            </w:pPr>
            <w:r>
              <w:rPr>
                <w:rFonts w:ascii="宋体" w:hAnsi="宋体" w:cs="宋体" w:hint="eastAsia"/>
                <w:szCs w:val="21"/>
              </w:rPr>
              <w:t>接收频率：支持北斗B1频段；</w:t>
            </w:r>
          </w:p>
          <w:p>
            <w:pPr>
              <w:widowControl/>
              <w:numPr>
                <w:ilvl w:val="0"/>
                <w:numId w:val="9"/>
              </w:numPr>
              <w:rPr>
                <w:rFonts w:ascii="宋体" w:hAnsi="宋体" w:cs="宋体"/>
                <w:szCs w:val="21"/>
              </w:rPr>
            </w:pPr>
            <w:r>
              <w:rPr>
                <w:rFonts w:ascii="宋体" w:hAnsi="宋体" w:cs="宋体" w:hint="eastAsia"/>
                <w:szCs w:val="21"/>
              </w:rPr>
              <w:t xml:space="preserve">捕获灵敏度：≤-133dBm；跟踪灵敏度：≤-147dBm； </w:t>
            </w:r>
          </w:p>
          <w:p>
            <w:pPr>
              <w:widowControl/>
              <w:numPr>
                <w:ilvl w:val="0"/>
                <w:numId w:val="9"/>
              </w:numPr>
              <w:rPr>
                <w:rFonts w:ascii="宋体" w:hAnsi="宋体" w:cs="宋体"/>
                <w:szCs w:val="21"/>
              </w:rPr>
            </w:pPr>
            <w:r>
              <w:rPr>
                <w:rFonts w:ascii="宋体" w:hAnsi="宋体" w:cs="宋体" w:hint="eastAsia"/>
                <w:szCs w:val="21"/>
              </w:rPr>
              <w:t>接收波束个数：北斗二号≥10个，北斗三号≥14个；</w:t>
            </w:r>
          </w:p>
          <w:p>
            <w:pPr>
              <w:widowControl/>
              <w:numPr>
                <w:ilvl w:val="0"/>
                <w:numId w:val="9"/>
              </w:numPr>
              <w:rPr>
                <w:rFonts w:ascii="宋体" w:hAnsi="宋体" w:cs="宋体"/>
                <w:szCs w:val="21"/>
              </w:rPr>
            </w:pPr>
            <w:r>
              <w:rPr>
                <w:rFonts w:ascii="宋体" w:hAnsi="宋体" w:cs="宋体" w:hint="eastAsia"/>
                <w:szCs w:val="21"/>
              </w:rPr>
              <w:t xml:space="preserve">发射频点：Lf1、Lf2； </w:t>
            </w:r>
          </w:p>
          <w:p>
            <w:pPr>
              <w:widowControl/>
              <w:numPr>
                <w:ilvl w:val="0"/>
                <w:numId w:val="9"/>
              </w:numPr>
              <w:rPr>
                <w:rFonts w:ascii="宋体" w:hAnsi="宋体" w:cs="宋体"/>
                <w:szCs w:val="21"/>
              </w:rPr>
            </w:pPr>
            <w:r>
              <w:rPr>
                <w:rFonts w:ascii="宋体" w:hAnsi="宋体" w:cs="宋体" w:hint="eastAsia"/>
                <w:szCs w:val="21"/>
              </w:rPr>
              <w:t>支持北斗三号系统，支持北斗三号区域短报文通信服务；</w:t>
            </w:r>
          </w:p>
          <w:p>
            <w:pPr>
              <w:widowControl/>
              <w:numPr>
                <w:ilvl w:val="0"/>
                <w:numId w:val="9"/>
              </w:numPr>
              <w:rPr>
                <w:rFonts w:ascii="宋体" w:hAnsi="宋体" w:cs="宋体"/>
                <w:szCs w:val="21"/>
              </w:rPr>
            </w:pPr>
            <w:r>
              <w:rPr>
                <w:rFonts w:ascii="宋体" w:hAnsi="宋体" w:cs="宋体" w:hint="eastAsia"/>
                <w:szCs w:val="21"/>
              </w:rPr>
              <w:t>i)防护等级：≥IP67。</w:t>
            </w:r>
          </w:p>
        </w:tc>
        <w:tc>
          <w:tcPr>
            <w:tcW w:w="498" w:type="pct"/>
            <w:vAlign w:val="center"/>
          </w:tcPr>
          <w:p>
            <w:pPr>
              <w:jc w:val="center"/>
              <w:rPr>
                <w:rFonts w:ascii="宋体" w:hAnsi="宋体" w:cs="宋体"/>
                <w:szCs w:val="21"/>
              </w:rPr>
            </w:pPr>
            <w:r>
              <w:rPr>
                <w:rFonts w:ascii="宋体" w:hAnsi="宋体" w:cs="宋体" w:hint="eastAsia"/>
                <w:szCs w:val="21"/>
              </w:rPr>
              <w:t>1</w:t>
            </w:r>
          </w:p>
        </w:tc>
        <w:tc>
          <w:tcPr>
            <w:tcW w:w="445" w:type="pct"/>
            <w:vAlign w:val="center"/>
          </w:tcPr>
          <w:p>
            <w:pPr>
              <w:jc w:val="center"/>
              <w:rPr>
                <w:rFonts w:ascii="宋体" w:hAnsi="宋体" w:cs="宋体"/>
                <w:szCs w:val="21"/>
              </w:rPr>
            </w:pPr>
            <w:r>
              <w:rPr>
                <w:rFonts w:ascii="宋体" w:hAnsi="宋体" w:cs="宋体" w:hint="eastAsia"/>
                <w:szCs w:val="21"/>
              </w:rPr>
              <w:t>套</w:t>
            </w:r>
          </w:p>
        </w:tc>
      </w:tr>
      <w:tr>
        <w:tblPrEx>
          <w:tblW w:w="5000" w:type="pct"/>
          <w:tblInd w:w="0" w:type="dxa"/>
          <w:tblCellMar>
            <w:top w:w="0" w:type="dxa"/>
            <w:left w:w="108" w:type="dxa"/>
            <w:bottom w:w="0" w:type="dxa"/>
            <w:right w:w="108" w:type="dxa"/>
          </w:tblCellMar>
        </w:tblPrEx>
        <w:trPr>
          <w:trHeight w:val="280"/>
        </w:trPr>
        <w:tc>
          <w:tcPr>
            <w:tcW w:w="743" w:type="pct"/>
            <w:vAlign w:val="center"/>
          </w:tcPr>
          <w:p>
            <w:pPr>
              <w:rPr>
                <w:rFonts w:ascii="宋体" w:hAnsi="宋体" w:cs="宋体"/>
                <w:szCs w:val="21"/>
              </w:rPr>
            </w:pPr>
            <w:r>
              <w:rPr>
                <w:rFonts w:ascii="宋体" w:hAnsi="宋体" w:cs="宋体" w:hint="eastAsia"/>
                <w:szCs w:val="21"/>
              </w:rPr>
              <w:t>4G/5G传输设备</w:t>
            </w:r>
          </w:p>
        </w:tc>
        <w:tc>
          <w:tcPr>
            <w:tcW w:w="3314" w:type="pct"/>
            <w:vAlign w:val="center"/>
          </w:tcPr>
          <w:p>
            <w:pPr>
              <w:rPr>
                <w:rFonts w:ascii="宋体" w:hAnsi="宋体" w:cs="宋体"/>
                <w:szCs w:val="21"/>
              </w:rPr>
            </w:pPr>
            <w:r>
              <w:rPr>
                <w:rFonts w:ascii="宋体" w:hAnsi="宋体" w:cs="宋体" w:hint="eastAsia"/>
                <w:szCs w:val="21"/>
              </w:rPr>
              <w:t xml:space="preserve">a)理论带宽（上行）： NRSA独立组网：≥Max.1Gbps NRNSA非独立组网：≥Max.575Mbps LTE：≥150Mbps </w:t>
            </w:r>
          </w:p>
          <w:p>
            <w:pPr>
              <w:rPr>
                <w:rFonts w:ascii="宋体" w:hAnsi="宋体" w:cs="宋体"/>
                <w:szCs w:val="21"/>
              </w:rPr>
            </w:pPr>
            <w:r>
              <w:rPr>
                <w:rFonts w:ascii="宋体" w:hAnsi="宋体" w:cs="宋体" w:hint="eastAsia"/>
                <w:szCs w:val="21"/>
              </w:rPr>
              <w:t>b)2x2MIMO，双频(2.4GHz+5GHz)，外置可拆卸天线;5G:4x4MIMO(Sub-6GHz)，外置可拆卸天线。</w:t>
            </w:r>
          </w:p>
        </w:tc>
        <w:tc>
          <w:tcPr>
            <w:tcW w:w="498" w:type="pct"/>
            <w:vAlign w:val="center"/>
          </w:tcPr>
          <w:p>
            <w:pPr>
              <w:jc w:val="center"/>
              <w:rPr>
                <w:rFonts w:ascii="宋体" w:hAnsi="宋体" w:cs="宋体"/>
                <w:szCs w:val="21"/>
              </w:rPr>
            </w:pPr>
            <w:r>
              <w:rPr>
                <w:rFonts w:ascii="宋体" w:hAnsi="宋体" w:cs="宋体" w:hint="eastAsia"/>
                <w:szCs w:val="21"/>
              </w:rPr>
              <w:t>1</w:t>
            </w:r>
          </w:p>
        </w:tc>
        <w:tc>
          <w:tcPr>
            <w:tcW w:w="445" w:type="pct"/>
            <w:vAlign w:val="center"/>
          </w:tcPr>
          <w:p>
            <w:pPr>
              <w:jc w:val="center"/>
              <w:rPr>
                <w:rFonts w:ascii="宋体" w:hAnsi="宋体" w:cs="宋体"/>
                <w:szCs w:val="21"/>
              </w:rPr>
            </w:pPr>
            <w:r>
              <w:rPr>
                <w:rFonts w:ascii="宋体" w:hAnsi="宋体" w:cs="宋体" w:hint="eastAsia"/>
                <w:szCs w:val="21"/>
              </w:rPr>
              <w:t>套</w:t>
            </w:r>
          </w:p>
        </w:tc>
      </w:tr>
      <w:tr>
        <w:tblPrEx>
          <w:tblW w:w="5000" w:type="pct"/>
          <w:tblInd w:w="0" w:type="dxa"/>
          <w:tblCellMar>
            <w:top w:w="0" w:type="dxa"/>
            <w:left w:w="108" w:type="dxa"/>
            <w:bottom w:w="0" w:type="dxa"/>
            <w:right w:w="108" w:type="dxa"/>
          </w:tblCellMar>
        </w:tblPrEx>
        <w:trPr>
          <w:trHeight w:val="280"/>
        </w:trPr>
        <w:tc>
          <w:tcPr>
            <w:tcW w:w="743" w:type="pct"/>
            <w:vAlign w:val="center"/>
          </w:tcPr>
          <w:p>
            <w:pPr>
              <w:rPr>
                <w:rFonts w:ascii="宋体" w:hAnsi="宋体" w:cs="宋体"/>
                <w:szCs w:val="21"/>
              </w:rPr>
            </w:pPr>
            <w:r>
              <w:rPr>
                <w:rFonts w:ascii="宋体" w:hAnsi="宋体" w:cs="宋体" w:hint="eastAsia"/>
                <w:szCs w:val="21"/>
              </w:rPr>
              <w:t>千兆交换机（含光模 块）</w:t>
            </w:r>
          </w:p>
        </w:tc>
        <w:tc>
          <w:tcPr>
            <w:tcW w:w="3314" w:type="pct"/>
            <w:vAlign w:val="center"/>
          </w:tcPr>
          <w:p>
            <w:pPr>
              <w:rPr>
                <w:rFonts w:ascii="宋体" w:hAnsi="宋体" w:cs="宋体"/>
                <w:szCs w:val="21"/>
              </w:rPr>
            </w:pPr>
            <w:r>
              <w:rPr>
                <w:rFonts w:ascii="宋体" w:hAnsi="宋体" w:cs="宋体" w:hint="eastAsia"/>
                <w:szCs w:val="21"/>
              </w:rPr>
              <w:t>支持不少于24个10/100/1000Base-TX 以太网端口，4个千兆SFP；IP 路由：支持IPv4和IPv6的三层路由功能。</w:t>
            </w:r>
          </w:p>
        </w:tc>
        <w:tc>
          <w:tcPr>
            <w:tcW w:w="498" w:type="pct"/>
            <w:vAlign w:val="center"/>
          </w:tcPr>
          <w:p>
            <w:pPr>
              <w:jc w:val="center"/>
              <w:rPr>
                <w:rFonts w:ascii="宋体" w:hAnsi="宋体" w:cs="宋体"/>
                <w:szCs w:val="21"/>
              </w:rPr>
            </w:pPr>
            <w:r>
              <w:rPr>
                <w:rFonts w:ascii="宋体" w:hAnsi="宋体" w:cs="宋体" w:hint="eastAsia"/>
                <w:szCs w:val="21"/>
              </w:rPr>
              <w:t>1</w:t>
            </w:r>
          </w:p>
        </w:tc>
        <w:tc>
          <w:tcPr>
            <w:tcW w:w="445" w:type="pct"/>
            <w:vAlign w:val="center"/>
          </w:tcPr>
          <w:p>
            <w:pPr>
              <w:jc w:val="center"/>
              <w:rPr>
                <w:rFonts w:ascii="宋体" w:hAnsi="宋体" w:cs="宋体"/>
                <w:szCs w:val="21"/>
              </w:rPr>
            </w:pPr>
            <w:r>
              <w:rPr>
                <w:rFonts w:ascii="宋体" w:hAnsi="宋体" w:cs="宋体" w:hint="eastAsia"/>
                <w:szCs w:val="21"/>
              </w:rPr>
              <w:t>套</w:t>
            </w:r>
          </w:p>
        </w:tc>
      </w:tr>
      <w:tr>
        <w:tblPrEx>
          <w:tblW w:w="5000" w:type="pct"/>
          <w:tblInd w:w="0" w:type="dxa"/>
          <w:tblCellMar>
            <w:top w:w="0" w:type="dxa"/>
            <w:left w:w="108" w:type="dxa"/>
            <w:bottom w:w="0" w:type="dxa"/>
            <w:right w:w="108" w:type="dxa"/>
          </w:tblCellMar>
        </w:tblPrEx>
        <w:trPr>
          <w:trHeight w:val="280"/>
        </w:trPr>
        <w:tc>
          <w:tcPr>
            <w:tcW w:w="743" w:type="pct"/>
            <w:vAlign w:val="center"/>
          </w:tcPr>
          <w:p>
            <w:pPr>
              <w:jc w:val="center"/>
              <w:rPr>
                <w:rFonts w:ascii="宋体" w:hAnsi="宋体" w:cs="宋体"/>
                <w:szCs w:val="21"/>
              </w:rPr>
            </w:pPr>
            <w:r>
              <w:rPr>
                <w:rFonts w:ascii="宋体" w:hAnsi="宋体" w:cs="宋体" w:hint="eastAsia"/>
                <w:szCs w:val="21"/>
              </w:rPr>
              <w:t>卫星通信系统</w:t>
            </w:r>
          </w:p>
        </w:tc>
        <w:tc>
          <w:tcPr>
            <w:tcW w:w="3314" w:type="pct"/>
            <w:vAlign w:val="center"/>
          </w:tcPr>
          <w:p>
            <w:pPr>
              <w:widowControl/>
              <w:numPr>
                <w:ilvl w:val="0"/>
                <w:numId w:val="10"/>
              </w:numPr>
              <w:rPr>
                <w:rFonts w:ascii="宋体" w:hAnsi="宋体" w:cs="宋体"/>
                <w:szCs w:val="21"/>
              </w:rPr>
            </w:pPr>
            <w:r>
              <w:rPr>
                <w:rFonts w:ascii="宋体" w:hAnsi="宋体" w:cs="宋体" w:hint="eastAsia"/>
                <w:szCs w:val="21"/>
              </w:rPr>
              <w:t>具备气象“专网”和“高通量互联网”双网模式；</w:t>
            </w:r>
          </w:p>
          <w:p>
            <w:pPr>
              <w:widowControl/>
              <w:numPr>
                <w:ilvl w:val="0"/>
                <w:numId w:val="10"/>
              </w:numPr>
              <w:rPr>
                <w:rFonts w:ascii="宋体" w:hAnsi="宋体" w:cs="宋体"/>
                <w:szCs w:val="21"/>
              </w:rPr>
            </w:pPr>
            <w:r>
              <w:rPr>
                <w:rFonts w:ascii="宋体" w:hAnsi="宋体" w:cs="宋体" w:hint="eastAsia"/>
                <w:szCs w:val="21"/>
              </w:rPr>
              <w:t xml:space="preserve">卫星在“高通量互联网”模式下实现上行速率≥4Mbps，下行速率≥9Mbps； </w:t>
            </w:r>
          </w:p>
          <w:p>
            <w:pPr>
              <w:widowControl/>
              <w:numPr>
                <w:ilvl w:val="0"/>
                <w:numId w:val="10"/>
              </w:numPr>
              <w:rPr>
                <w:rFonts w:ascii="宋体" w:hAnsi="宋体" w:cs="宋体"/>
                <w:szCs w:val="21"/>
              </w:rPr>
            </w:pPr>
            <w:r>
              <w:rPr>
                <w:rFonts w:ascii="宋体" w:hAnsi="宋体" w:cs="宋体" w:hint="eastAsia"/>
                <w:szCs w:val="21"/>
              </w:rPr>
              <w:t xml:space="preserve">采用Ku波段卫星天线； </w:t>
            </w:r>
          </w:p>
          <w:p>
            <w:pPr>
              <w:widowControl/>
              <w:numPr>
                <w:ilvl w:val="0"/>
                <w:numId w:val="10"/>
              </w:numPr>
              <w:rPr>
                <w:rFonts w:ascii="宋体" w:hAnsi="宋体" w:cs="宋体"/>
                <w:szCs w:val="21"/>
              </w:rPr>
            </w:pPr>
            <w:r>
              <w:rPr>
                <w:rFonts w:ascii="宋体" w:hAnsi="宋体" w:cs="宋体" w:hint="eastAsia"/>
                <w:szCs w:val="21"/>
              </w:rPr>
              <w:t>配会议终端、会议摄像机、拾音系统和扬声器，用于卫星条件下现场音视频会商。</w:t>
            </w:r>
          </w:p>
        </w:tc>
        <w:tc>
          <w:tcPr>
            <w:tcW w:w="498" w:type="pct"/>
            <w:vAlign w:val="center"/>
          </w:tcPr>
          <w:p>
            <w:pPr>
              <w:jc w:val="center"/>
              <w:rPr>
                <w:rFonts w:ascii="宋体" w:hAnsi="宋体" w:cs="宋体"/>
                <w:szCs w:val="21"/>
              </w:rPr>
            </w:pPr>
            <w:r>
              <w:rPr>
                <w:rFonts w:ascii="宋体" w:hAnsi="宋体" w:cs="宋体" w:hint="eastAsia"/>
                <w:szCs w:val="21"/>
              </w:rPr>
              <w:t>1</w:t>
            </w:r>
          </w:p>
        </w:tc>
        <w:tc>
          <w:tcPr>
            <w:tcW w:w="445" w:type="pct"/>
            <w:vAlign w:val="center"/>
          </w:tcPr>
          <w:p>
            <w:pPr>
              <w:jc w:val="center"/>
              <w:rPr>
                <w:rFonts w:ascii="宋体" w:hAnsi="宋体" w:cs="宋体"/>
                <w:szCs w:val="21"/>
              </w:rPr>
            </w:pPr>
            <w:r>
              <w:rPr>
                <w:rFonts w:ascii="宋体" w:hAnsi="宋体" w:cs="宋体" w:hint="eastAsia"/>
                <w:szCs w:val="21"/>
              </w:rPr>
              <w:t>套</w:t>
            </w:r>
          </w:p>
        </w:tc>
      </w:tr>
      <w:bookmarkEnd w:id="76"/>
    </w:tbl>
    <w:p>
      <w:pPr>
        <w:spacing w:line="360" w:lineRule="auto"/>
        <w:ind w:firstLine="420" w:firstLineChars="200"/>
        <w:outlineLvl w:val="2"/>
        <w:rPr>
          <w:rFonts w:ascii="宋体" w:eastAsia="宋体" w:hAnsi="宋体" w:cs="Times New Roman"/>
          <w:b/>
          <w:bCs/>
          <w:szCs w:val="21"/>
        </w:rPr>
      </w:pPr>
      <w:r>
        <w:rPr>
          <w:rFonts w:ascii="宋体" w:eastAsia="宋体" w:hAnsi="宋体" w:cs="Times New Roman" w:hint="eastAsia"/>
          <w:b/>
          <w:bCs/>
          <w:szCs w:val="21"/>
        </w:rPr>
        <w:t>1.12 X波段相控阵雷达</w:t>
      </w:r>
    </w:p>
    <w:p>
      <w:pPr>
        <w:spacing w:line="360" w:lineRule="auto"/>
        <w:ind w:firstLine="420" w:firstLineChars="200"/>
        <w:rPr>
          <w:rFonts w:ascii="宋体" w:hAnsi="宋体"/>
          <w:b/>
          <w:bCs/>
          <w:szCs w:val="21"/>
        </w:rPr>
      </w:pPr>
      <w:r>
        <w:rPr>
          <w:rFonts w:ascii="宋体" w:hAnsi="宋体" w:hint="eastAsia"/>
          <w:b/>
          <w:bCs/>
          <w:szCs w:val="21"/>
        </w:rPr>
        <w:t xml:space="preserve">1.12.1功能要求 </w:t>
      </w:r>
    </w:p>
    <w:p>
      <w:pPr>
        <w:spacing w:line="360" w:lineRule="auto"/>
        <w:rPr>
          <w:rFonts w:ascii="宋体" w:hAnsi="宋体"/>
          <w:szCs w:val="21"/>
        </w:rPr>
      </w:pPr>
      <w:r>
        <w:rPr>
          <w:rFonts w:ascii="宋体" w:hAnsi="宋体"/>
          <w:szCs w:val="21"/>
        </w:rPr>
        <w:t xml:space="preserve">总体功能要求 </w:t>
      </w:r>
    </w:p>
    <w:p>
      <w:pPr>
        <w:spacing w:line="360" w:lineRule="auto"/>
        <w:rPr>
          <w:rFonts w:ascii="宋体" w:hAnsi="宋体"/>
          <w:szCs w:val="21"/>
        </w:rPr>
      </w:pPr>
      <w:r>
        <w:rPr>
          <w:rFonts w:ascii="宋体" w:hAnsi="宋体" w:hint="eastAsia"/>
          <w:szCs w:val="21"/>
        </w:rPr>
        <w:t xml:space="preserve">X 波段双线偏振一维平面相控阵天气雷达采用双线偏振同发同收全相参体制。应包括双发双收方式，即同时发射水平、垂直线偏振波，同时接收水平、垂直线偏振波。单发双收方式，即发射水平线偏振波，同时接收水平、垂直线偏振波；或发射垂直线偏振波，同时接收水平、垂直线偏振波。 </w:t>
      </w:r>
    </w:p>
    <w:p>
      <w:pPr>
        <w:spacing w:line="360" w:lineRule="auto"/>
        <w:rPr>
          <w:rFonts w:ascii="宋体" w:hAnsi="宋体"/>
          <w:szCs w:val="21"/>
        </w:rPr>
      </w:pPr>
      <w:r>
        <w:rPr>
          <w:rFonts w:ascii="宋体" w:hAnsi="宋体" w:hint="eastAsia"/>
          <w:szCs w:val="21"/>
        </w:rPr>
        <w:t xml:space="preserve">雷达应具有自动或人工干预检测和标定功能，并可根据标定结果对探测数据进行必要的修正以保证其准确性。 </w:t>
      </w:r>
    </w:p>
    <w:p>
      <w:pPr>
        <w:spacing w:line="360" w:lineRule="auto"/>
        <w:rPr>
          <w:rFonts w:ascii="宋体" w:hAnsi="宋体"/>
          <w:szCs w:val="21"/>
        </w:rPr>
      </w:pPr>
      <w:r>
        <w:rPr>
          <w:rFonts w:ascii="宋体" w:hAnsi="宋体" w:hint="eastAsia"/>
          <w:szCs w:val="21"/>
        </w:rPr>
        <w:t xml:space="preserve">X 波段双线偏振一维平面相控阵天气雷达采用全固态数字收发单元、大动态数字接收机、低副瓣数字波束平面相控阵天线、实时图像显示等技术，具有高灵敏度、高可靠性、使用维护方便等特点。系统可连续自动运行，能在预置的扫描策略控制下覆盖指定体积空间以获得探测数据。雷达可根据标定结果对探测数据进行必要的修正以保证其准确性，并具备下列功能。 </w:t>
      </w:r>
    </w:p>
    <w:p>
      <w:pPr>
        <w:spacing w:line="360" w:lineRule="auto"/>
        <w:rPr>
          <w:rFonts w:ascii="宋体" w:hAnsi="宋体"/>
          <w:szCs w:val="21"/>
        </w:rPr>
      </w:pPr>
      <w:r>
        <w:rPr>
          <w:rFonts w:ascii="宋体" w:hAnsi="宋体" w:hint="eastAsia"/>
          <w:szCs w:val="21"/>
        </w:rPr>
        <w:t xml:space="preserve">（1）产生微波脉冲信号并以双线偏振的形式发射的功能； </w:t>
      </w:r>
    </w:p>
    <w:p>
      <w:pPr>
        <w:spacing w:line="360" w:lineRule="auto"/>
        <w:rPr>
          <w:rFonts w:ascii="宋体" w:hAnsi="宋体"/>
          <w:szCs w:val="21"/>
        </w:rPr>
      </w:pPr>
      <w:r>
        <w:rPr>
          <w:rFonts w:ascii="宋体" w:hAnsi="宋体" w:hint="eastAsia"/>
          <w:szCs w:val="21"/>
        </w:rPr>
        <w:t xml:space="preserve">（2）以双线偏振的形式接收，对气象回波进行处理，产生 </w:t>
      </w:r>
    </w:p>
    <w:p>
      <w:pPr>
        <w:spacing w:line="360" w:lineRule="auto"/>
        <w:rPr>
          <w:rFonts w:ascii="宋体" w:hAnsi="宋体"/>
          <w:szCs w:val="21"/>
        </w:rPr>
      </w:pPr>
      <w:r>
        <w:rPr>
          <w:rFonts w:ascii="宋体" w:hAnsi="宋体" w:hint="eastAsia"/>
          <w:szCs w:val="21"/>
        </w:rPr>
        <w:t xml:space="preserve">高质量数据的功能； </w:t>
      </w:r>
    </w:p>
    <w:p>
      <w:pPr>
        <w:spacing w:line="360" w:lineRule="auto"/>
        <w:rPr>
          <w:rFonts w:ascii="宋体" w:hAnsi="宋体"/>
          <w:szCs w:val="21"/>
        </w:rPr>
      </w:pPr>
      <w:r>
        <w:rPr>
          <w:rFonts w:ascii="宋体" w:hAnsi="宋体" w:hint="eastAsia"/>
          <w:szCs w:val="21"/>
        </w:rPr>
        <w:t xml:space="preserve">（3）在线和离线标定功能（包含脉压得益、脉压损失、幅 </w:t>
      </w:r>
    </w:p>
    <w:p>
      <w:pPr>
        <w:spacing w:line="360" w:lineRule="auto"/>
        <w:rPr>
          <w:rFonts w:ascii="宋体" w:hAnsi="宋体"/>
          <w:szCs w:val="21"/>
        </w:rPr>
      </w:pPr>
      <w:r>
        <w:rPr>
          <w:rFonts w:ascii="宋体" w:hAnsi="宋体" w:hint="eastAsia"/>
          <w:szCs w:val="21"/>
        </w:rPr>
        <w:t xml:space="preserve">相校正等），实现关键参数的监测与校正； </w:t>
      </w:r>
    </w:p>
    <w:p>
      <w:pPr>
        <w:spacing w:line="360" w:lineRule="auto"/>
        <w:rPr>
          <w:rFonts w:ascii="宋体" w:hAnsi="宋体"/>
          <w:szCs w:val="21"/>
        </w:rPr>
      </w:pPr>
      <w:r>
        <w:rPr>
          <w:rFonts w:ascii="宋体" w:hAnsi="宋体" w:hint="eastAsia"/>
          <w:szCs w:val="21"/>
        </w:rPr>
        <w:t xml:space="preserve">（4）自动故障检测和告警功能； </w:t>
      </w:r>
    </w:p>
    <w:p>
      <w:pPr>
        <w:spacing w:line="360" w:lineRule="auto"/>
        <w:rPr>
          <w:rFonts w:ascii="宋体" w:hAnsi="宋体"/>
          <w:szCs w:val="21"/>
        </w:rPr>
      </w:pPr>
      <w:r>
        <w:rPr>
          <w:rFonts w:ascii="宋体" w:hAnsi="宋体" w:hint="eastAsia"/>
          <w:szCs w:val="21"/>
        </w:rPr>
        <w:t xml:space="preserve">（5）在本地和远程系统间自动实时传输数据和接受其指令的功能； </w:t>
      </w:r>
    </w:p>
    <w:p>
      <w:pPr>
        <w:spacing w:line="360" w:lineRule="auto"/>
        <w:rPr>
          <w:rFonts w:ascii="宋体" w:hAnsi="宋体"/>
          <w:szCs w:val="21"/>
        </w:rPr>
      </w:pPr>
      <w:r>
        <w:rPr>
          <w:rFonts w:ascii="宋体" w:hAnsi="宋体" w:hint="eastAsia"/>
          <w:szCs w:val="21"/>
        </w:rPr>
        <w:t xml:space="preserve">（6）远程控制与实时监测功能； </w:t>
      </w:r>
    </w:p>
    <w:p>
      <w:pPr>
        <w:spacing w:line="360" w:lineRule="auto"/>
        <w:rPr>
          <w:rFonts w:ascii="宋体" w:hAnsi="宋体"/>
          <w:szCs w:val="21"/>
        </w:rPr>
      </w:pPr>
      <w:r>
        <w:rPr>
          <w:rFonts w:ascii="宋体" w:hAnsi="宋体" w:hint="eastAsia"/>
          <w:szCs w:val="21"/>
        </w:rPr>
        <w:t xml:space="preserve">（7）组网协同控制功能，能够通过网络发送指令控制并调整雷达扫描策略 </w:t>
      </w:r>
    </w:p>
    <w:p>
      <w:pPr>
        <w:spacing w:line="360" w:lineRule="auto"/>
        <w:rPr>
          <w:rFonts w:ascii="宋体" w:hAnsi="宋体"/>
          <w:szCs w:val="21"/>
        </w:rPr>
      </w:pPr>
      <w:r>
        <w:rPr>
          <w:rFonts w:ascii="宋体" w:hAnsi="宋体" w:hint="eastAsia"/>
          <w:szCs w:val="21"/>
        </w:rPr>
        <w:t xml:space="preserve">（8）通过参数设置实现基于径向的扫描策略 </w:t>
      </w:r>
    </w:p>
    <w:p>
      <w:pPr>
        <w:spacing w:line="360" w:lineRule="auto"/>
        <w:rPr>
          <w:rFonts w:ascii="宋体" w:hAnsi="宋体"/>
          <w:szCs w:val="21"/>
        </w:rPr>
      </w:pPr>
      <w:r>
        <w:rPr>
          <w:rFonts w:ascii="宋体" w:hAnsi="宋体" w:hint="eastAsia"/>
          <w:szCs w:val="21"/>
        </w:rPr>
        <w:t xml:space="preserve">（9）能够按照要求的格式存储至少 4min 每个接收通道波束合成前和合成后的 I/Q 数据 </w:t>
      </w:r>
    </w:p>
    <w:p>
      <w:pPr>
        <w:spacing w:line="360" w:lineRule="auto"/>
        <w:ind w:firstLine="420" w:firstLineChars="200"/>
        <w:rPr>
          <w:rFonts w:ascii="宋体" w:hAnsi="宋体"/>
          <w:b/>
          <w:bCs/>
          <w:szCs w:val="21"/>
        </w:rPr>
      </w:pPr>
      <w:r>
        <w:rPr>
          <w:rFonts w:ascii="宋体" w:hAnsi="宋体" w:hint="eastAsia"/>
          <w:b/>
          <w:bCs/>
          <w:szCs w:val="21"/>
        </w:rPr>
        <w:t>1.12.2</w:t>
      </w:r>
      <w:r>
        <w:rPr>
          <w:rFonts w:ascii="宋体" w:hAnsi="宋体"/>
          <w:b/>
          <w:bCs/>
          <w:szCs w:val="21"/>
        </w:rPr>
        <w:t>总体技术要求</w:t>
      </w:r>
    </w:p>
    <w:p>
      <w:pPr>
        <w:spacing w:line="360" w:lineRule="auto"/>
        <w:ind w:firstLine="420" w:firstLineChars="200"/>
        <w:rPr>
          <w:rFonts w:ascii="宋体" w:hAnsi="宋体"/>
          <w:b/>
          <w:szCs w:val="21"/>
        </w:rPr>
      </w:pPr>
      <w:r>
        <w:rPr>
          <w:rFonts w:ascii="宋体" w:hAnsi="宋体" w:hint="eastAsia"/>
          <w:b/>
          <w:bCs/>
          <w:szCs w:val="21"/>
        </w:rPr>
        <w:t>1.12.</w:t>
      </w:r>
      <w:r>
        <w:rPr>
          <w:rFonts w:ascii="宋体" w:hAnsi="宋体" w:hint="eastAsia"/>
          <w:b/>
          <w:szCs w:val="21"/>
        </w:rPr>
        <w:t>2.1具体指标见下表</w:t>
      </w:r>
    </w:p>
    <w:p>
      <w:pPr>
        <w:spacing w:line="360" w:lineRule="auto"/>
        <w:ind w:firstLine="420" w:firstLineChars="200"/>
        <w:rPr>
          <w:rFonts w:ascii="宋体" w:hAnsi="宋体"/>
          <w:szCs w:val="21"/>
          <w:lang w:bidi="en-US"/>
        </w:rPr>
      </w:pPr>
      <w:r>
        <w:rPr>
          <w:rFonts w:ascii="宋体" w:hAnsi="宋体" w:hint="eastAsia"/>
          <w:szCs w:val="21"/>
          <w:lang w:bidi="en-US"/>
        </w:rPr>
        <w:t>表1 总体技术指标表</w:t>
      </w:r>
    </w:p>
    <w:tbl>
      <w:tblPr>
        <w:tblStyle w:val="TableNormal"/>
        <w:tblW w:w="79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36"/>
        <w:gridCol w:w="2109"/>
        <w:gridCol w:w="4926"/>
      </w:tblGrid>
      <w:tr>
        <w:tblPrEx>
          <w:tblW w:w="79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40"/>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项目</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性能指标</w:t>
            </w:r>
          </w:p>
        </w:tc>
      </w:tr>
      <w:tr>
        <w:tblPrEx>
          <w:tblW w:w="7971" w:type="dxa"/>
          <w:jc w:val="center"/>
          <w:tblCellMar>
            <w:top w:w="0" w:type="dxa"/>
            <w:left w:w="108" w:type="dxa"/>
            <w:bottom w:w="0" w:type="dxa"/>
            <w:right w:w="108" w:type="dxa"/>
          </w:tblCellMar>
        </w:tblPrEx>
        <w:trPr>
          <w:trHeight w:val="415"/>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雷达体制</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双线偏振一维全固态数字平面相控阵体制</w:t>
            </w:r>
          </w:p>
        </w:tc>
      </w:tr>
      <w:tr>
        <w:tblPrEx>
          <w:tblW w:w="7971" w:type="dxa"/>
          <w:jc w:val="center"/>
          <w:tblCellMar>
            <w:top w:w="0" w:type="dxa"/>
            <w:left w:w="108" w:type="dxa"/>
            <w:bottom w:w="0" w:type="dxa"/>
            <w:right w:w="108" w:type="dxa"/>
          </w:tblCellMar>
        </w:tblPrEx>
        <w:trPr>
          <w:trHeight w:val="415"/>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收发模式</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双发双收、单发双收、宽发窄收、窄发窄收</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工作频率</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9.3～9.5GHz，点频工作</w:t>
            </w:r>
          </w:p>
        </w:tc>
      </w:tr>
      <w:tr>
        <w:tblPrEx>
          <w:tblW w:w="7971" w:type="dxa"/>
          <w:jc w:val="center"/>
          <w:tblCellMar>
            <w:top w:w="0" w:type="dxa"/>
            <w:left w:w="108" w:type="dxa"/>
            <w:bottom w:w="0" w:type="dxa"/>
            <w:right w:w="108" w:type="dxa"/>
          </w:tblCellMar>
        </w:tblPrEx>
        <w:trPr>
          <w:trHeight w:val="219"/>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整机寿命</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≥15年</w:t>
            </w:r>
          </w:p>
        </w:tc>
      </w:tr>
      <w:tr>
        <w:tblPrEx>
          <w:tblW w:w="7971" w:type="dxa"/>
          <w:jc w:val="center"/>
          <w:tblCellMar>
            <w:top w:w="0" w:type="dxa"/>
            <w:left w:w="108" w:type="dxa"/>
            <w:bottom w:w="0" w:type="dxa"/>
            <w:right w:w="108" w:type="dxa"/>
          </w:tblCellMar>
        </w:tblPrEx>
        <w:trPr>
          <w:trHeight w:val="40"/>
          <w:jc w:val="center"/>
        </w:trPr>
        <w:tc>
          <w:tcPr>
            <w:tcW w:w="304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pPr>
              <w:spacing w:line="360" w:lineRule="auto"/>
              <w:rPr>
                <w:rFonts w:ascii="宋体" w:hAnsi="宋体"/>
                <w:szCs w:val="21"/>
              </w:rPr>
            </w:pPr>
            <w:r>
              <w:rPr>
                <w:rFonts w:ascii="宋体" w:hAnsi="宋体" w:hint="eastAsia"/>
                <w:szCs w:val="21"/>
              </w:rPr>
              <w:t>探测距离范围</w:t>
            </w:r>
          </w:p>
          <w:p>
            <w:pPr>
              <w:spacing w:line="360" w:lineRule="auto"/>
              <w:rPr>
                <w:rFonts w:ascii="宋体" w:hAnsi="宋体"/>
                <w:szCs w:val="21"/>
              </w:rPr>
            </w:pPr>
            <w:r>
              <w:rPr>
                <w:rFonts w:ascii="仿宋" w:eastAsia="仿宋" w:hAnsi="仿宋" w:hint="eastAsia"/>
                <w:sz w:val="24"/>
              </w:rPr>
              <w:t>▲</w:t>
            </w:r>
            <w:r>
              <w:t>需</w:t>
            </w:r>
            <w:r>
              <w:rPr>
                <w:rFonts w:hint="eastAsia"/>
              </w:rPr>
              <w:t>提供</w:t>
            </w:r>
            <w:r>
              <w:t>第三方机构出具的证明文件复印件进行佐证</w:t>
            </w:r>
          </w:p>
        </w:tc>
        <w:tc>
          <w:tcPr>
            <w:tcW w:w="4926" w:type="dxa"/>
            <w:tcBorders>
              <w:top w:val="single" w:sz="4" w:space="0" w:color="auto"/>
              <w:left w:val="single" w:sz="4" w:space="0" w:color="auto"/>
              <w:bottom w:val="single" w:sz="4" w:space="0" w:color="auto"/>
              <w:right w:val="single" w:sz="4" w:space="0" w:color="auto"/>
            </w:tcBorders>
            <w:shd w:val="clear" w:color="auto" w:fill="FFFFFF"/>
            <w:vAlign w:val="center"/>
          </w:tcPr>
          <w:p>
            <w:pPr>
              <w:spacing w:line="360" w:lineRule="auto"/>
              <w:rPr>
                <w:rFonts w:ascii="宋体" w:hAnsi="宋体"/>
                <w:szCs w:val="21"/>
              </w:rPr>
            </w:pPr>
            <w:r>
              <w:rPr>
                <w:rFonts w:ascii="宋体" w:hAnsi="宋体" w:hint="eastAsia"/>
                <w:szCs w:val="21"/>
              </w:rPr>
              <w:t>强度：警戒≥120km</w:t>
            </w:r>
          </w:p>
          <w:p>
            <w:pPr>
              <w:spacing w:line="360" w:lineRule="auto"/>
              <w:rPr>
                <w:rFonts w:ascii="宋体" w:hAnsi="宋体"/>
                <w:szCs w:val="21"/>
              </w:rPr>
            </w:pPr>
            <w:r>
              <w:rPr>
                <w:rFonts w:ascii="宋体" w:hAnsi="宋体" w:hint="eastAsia"/>
                <w:szCs w:val="21"/>
              </w:rPr>
              <w:t>定量≥60km</w:t>
            </w:r>
          </w:p>
          <w:p>
            <w:pPr>
              <w:spacing w:line="360" w:lineRule="auto"/>
              <w:rPr>
                <w:rFonts w:ascii="宋体" w:hAnsi="宋体"/>
                <w:szCs w:val="21"/>
              </w:rPr>
            </w:pPr>
            <w:r>
              <w:rPr>
                <w:rFonts w:ascii="宋体" w:hAnsi="宋体" w:hint="eastAsia"/>
                <w:szCs w:val="21"/>
              </w:rPr>
              <w:t>速度：≥60km</w:t>
            </w:r>
          </w:p>
          <w:p>
            <w:pPr>
              <w:spacing w:line="360" w:lineRule="auto"/>
              <w:rPr>
                <w:rFonts w:ascii="宋体" w:hAnsi="宋体"/>
                <w:szCs w:val="21"/>
              </w:rPr>
            </w:pPr>
            <w:r>
              <w:rPr>
                <w:rFonts w:ascii="宋体" w:hAnsi="宋体" w:hint="eastAsia"/>
                <w:szCs w:val="21"/>
              </w:rPr>
              <w:t>谱宽：≥60km</w:t>
            </w:r>
          </w:p>
          <w:p>
            <w:pPr>
              <w:spacing w:line="360" w:lineRule="auto"/>
              <w:rPr>
                <w:rFonts w:ascii="宋体" w:hAnsi="宋体"/>
                <w:szCs w:val="21"/>
              </w:rPr>
            </w:pPr>
            <w:r>
              <w:rPr>
                <w:rFonts w:ascii="宋体" w:hAnsi="宋体" w:hint="eastAsia"/>
                <w:szCs w:val="21"/>
              </w:rPr>
              <w:t>极化参数：≥60km</w:t>
            </w:r>
          </w:p>
          <w:p>
            <w:pPr>
              <w:spacing w:line="360" w:lineRule="auto"/>
              <w:rPr>
                <w:rFonts w:ascii="宋体" w:hAnsi="宋体"/>
                <w:szCs w:val="21"/>
              </w:rPr>
            </w:pP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近距离盲区范围</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≤300米</w:t>
            </w:r>
          </w:p>
        </w:tc>
      </w:tr>
      <w:tr>
        <w:tblPrEx>
          <w:tblW w:w="7971" w:type="dxa"/>
          <w:jc w:val="center"/>
          <w:tblCellMar>
            <w:top w:w="0" w:type="dxa"/>
            <w:left w:w="108" w:type="dxa"/>
            <w:bottom w:w="0" w:type="dxa"/>
            <w:right w:w="108" w:type="dxa"/>
          </w:tblCellMar>
        </w:tblPrEx>
        <w:trPr>
          <w:jc w:val="center"/>
        </w:trPr>
        <w:tc>
          <w:tcPr>
            <w:tcW w:w="3045" w:type="dxa"/>
            <w:gridSpan w:val="2"/>
            <w:vMerge w:val="restart"/>
            <w:tcBorders>
              <w:top w:val="single" w:sz="4" w:space="0" w:color="auto"/>
              <w:left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可探测的最小反射率因子</w:t>
            </w:r>
          </w:p>
          <w:p>
            <w:pPr>
              <w:spacing w:line="360" w:lineRule="auto"/>
              <w:rPr>
                <w:rFonts w:ascii="宋体" w:hAnsi="宋体"/>
                <w:szCs w:val="21"/>
              </w:rPr>
            </w:pPr>
            <w:r>
              <w:rPr>
                <w:rFonts w:ascii="仿宋" w:eastAsia="仿宋" w:hAnsi="仿宋" w:hint="eastAsia"/>
                <w:sz w:val="24"/>
              </w:rPr>
              <w:t>▲</w:t>
            </w:r>
            <w:r>
              <w:t>需</w:t>
            </w:r>
            <w:r>
              <w:rPr>
                <w:rFonts w:hint="eastAsia"/>
              </w:rPr>
              <w:t>提供</w:t>
            </w:r>
            <w:bookmarkStart w:id="77" w:name="OLE_LINK47"/>
            <w:r>
              <w:t>第三方机构出具的证明文件复印件进行佐证</w:t>
            </w:r>
            <w:bookmarkEnd w:id="77"/>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≤8dBZ（3千米处、脉宽0.5μs、分辨率75m、法向、单极化）</w:t>
            </w:r>
          </w:p>
        </w:tc>
      </w:tr>
      <w:tr>
        <w:tblPrEx>
          <w:tblW w:w="7971" w:type="dxa"/>
          <w:jc w:val="center"/>
          <w:tblCellMar>
            <w:top w:w="0" w:type="dxa"/>
            <w:left w:w="108" w:type="dxa"/>
            <w:bottom w:w="0" w:type="dxa"/>
            <w:right w:w="108" w:type="dxa"/>
          </w:tblCellMar>
        </w:tblPrEx>
        <w:trPr>
          <w:jc w:val="center"/>
        </w:trPr>
        <w:tc>
          <w:tcPr>
            <w:tcW w:w="3045" w:type="dxa"/>
            <w:gridSpan w:val="2"/>
            <w:vMerge/>
            <w:tcBorders>
              <w:left w:val="single" w:sz="4" w:space="0" w:color="auto"/>
              <w:right w:val="single" w:sz="4" w:space="0" w:color="auto"/>
            </w:tcBorders>
            <w:vAlign w:val="center"/>
          </w:tcPr>
          <w:p>
            <w:pPr>
              <w:spacing w:line="360" w:lineRule="auto"/>
              <w:rPr>
                <w:rFonts w:ascii="宋体" w:hAnsi="宋体"/>
                <w:szCs w:val="21"/>
              </w:rPr>
            </w:pP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≤5dBZ（12千米处、脉宽20μs、分辨率75m、法向、单极化）</w:t>
            </w:r>
          </w:p>
        </w:tc>
      </w:tr>
      <w:tr>
        <w:tblPrEx>
          <w:tblW w:w="7971" w:type="dxa"/>
          <w:jc w:val="center"/>
          <w:tblCellMar>
            <w:top w:w="0" w:type="dxa"/>
            <w:left w:w="108" w:type="dxa"/>
            <w:bottom w:w="0" w:type="dxa"/>
            <w:right w:w="108" w:type="dxa"/>
          </w:tblCellMar>
        </w:tblPrEx>
        <w:trPr>
          <w:jc w:val="center"/>
        </w:trPr>
        <w:tc>
          <w:tcPr>
            <w:tcW w:w="3045" w:type="dxa"/>
            <w:gridSpan w:val="2"/>
            <w:vMerge/>
            <w:tcBorders>
              <w:left w:val="single" w:sz="4" w:space="0" w:color="auto"/>
              <w:right w:val="single" w:sz="4" w:space="0" w:color="auto"/>
            </w:tcBorders>
            <w:vAlign w:val="center"/>
          </w:tcPr>
          <w:p>
            <w:pPr>
              <w:spacing w:line="360" w:lineRule="auto"/>
              <w:rPr>
                <w:rFonts w:ascii="宋体" w:hAnsi="宋体"/>
                <w:szCs w:val="21"/>
              </w:rPr>
            </w:pP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≤11dBZ（50千米处、脉宽100μs、分辨率75m、法向、单极化）</w:t>
            </w:r>
          </w:p>
        </w:tc>
      </w:tr>
      <w:tr>
        <w:tblPrEx>
          <w:tblW w:w="7971" w:type="dxa"/>
          <w:jc w:val="center"/>
          <w:tblCellMar>
            <w:top w:w="0" w:type="dxa"/>
            <w:left w:w="108" w:type="dxa"/>
            <w:bottom w:w="0" w:type="dxa"/>
            <w:right w:w="108" w:type="dxa"/>
          </w:tblCellMar>
        </w:tblPrEx>
        <w:trPr>
          <w:jc w:val="center"/>
        </w:trPr>
        <w:tc>
          <w:tcPr>
            <w:tcW w:w="3045" w:type="dxa"/>
            <w:gridSpan w:val="2"/>
            <w:vMerge/>
            <w:tcBorders>
              <w:left w:val="single" w:sz="4" w:space="0" w:color="auto"/>
              <w:right w:val="single" w:sz="4" w:space="0" w:color="auto"/>
            </w:tcBorders>
            <w:vAlign w:val="center"/>
          </w:tcPr>
          <w:p>
            <w:pPr>
              <w:spacing w:line="360" w:lineRule="auto"/>
              <w:rPr>
                <w:rFonts w:ascii="宋体" w:hAnsi="宋体"/>
                <w:szCs w:val="21"/>
              </w:rPr>
            </w:pP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≤16dBZ（3千米处、脉宽0.5μs、分辨率75m、发射4倍波束展宽、单极化）</w:t>
            </w:r>
          </w:p>
        </w:tc>
      </w:tr>
      <w:tr>
        <w:tblPrEx>
          <w:tblW w:w="7971" w:type="dxa"/>
          <w:jc w:val="center"/>
          <w:tblCellMar>
            <w:top w:w="0" w:type="dxa"/>
            <w:left w:w="108" w:type="dxa"/>
            <w:bottom w:w="0" w:type="dxa"/>
            <w:right w:w="108" w:type="dxa"/>
          </w:tblCellMar>
        </w:tblPrEx>
        <w:trPr>
          <w:jc w:val="center"/>
        </w:trPr>
        <w:tc>
          <w:tcPr>
            <w:tcW w:w="3045" w:type="dxa"/>
            <w:gridSpan w:val="2"/>
            <w:vMerge/>
            <w:tcBorders>
              <w:left w:val="single" w:sz="4" w:space="0" w:color="auto"/>
              <w:right w:val="single" w:sz="4" w:space="0" w:color="auto"/>
            </w:tcBorders>
            <w:vAlign w:val="center"/>
          </w:tcPr>
          <w:p>
            <w:pPr>
              <w:spacing w:line="360" w:lineRule="auto"/>
              <w:rPr>
                <w:rFonts w:ascii="宋体" w:hAnsi="宋体"/>
                <w:szCs w:val="21"/>
              </w:rPr>
            </w:pP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≤13dBZ（12千米处、脉宽20μs、分辨率75m、发射4倍波束展宽、单极化）</w:t>
            </w:r>
          </w:p>
        </w:tc>
      </w:tr>
      <w:tr>
        <w:tblPrEx>
          <w:tblW w:w="7971" w:type="dxa"/>
          <w:jc w:val="center"/>
          <w:tblCellMar>
            <w:top w:w="0" w:type="dxa"/>
            <w:left w:w="108" w:type="dxa"/>
            <w:bottom w:w="0" w:type="dxa"/>
            <w:right w:w="108" w:type="dxa"/>
          </w:tblCellMar>
        </w:tblPrEx>
        <w:trPr>
          <w:jc w:val="center"/>
        </w:trPr>
        <w:tc>
          <w:tcPr>
            <w:tcW w:w="3045" w:type="dxa"/>
            <w:gridSpan w:val="2"/>
            <w:vMerge/>
            <w:tcBorders>
              <w:left w:val="single" w:sz="4" w:space="0" w:color="auto"/>
              <w:right w:val="single" w:sz="4" w:space="0" w:color="auto"/>
            </w:tcBorders>
            <w:vAlign w:val="center"/>
          </w:tcPr>
          <w:p>
            <w:pPr>
              <w:spacing w:line="360" w:lineRule="auto"/>
              <w:rPr>
                <w:rFonts w:ascii="宋体" w:hAnsi="宋体"/>
                <w:szCs w:val="21"/>
              </w:rPr>
            </w:pP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≤19dBZ（50千米处、脉宽100μs、分辨率75m、发射4倍波束展宽、单极化）</w:t>
            </w:r>
          </w:p>
        </w:tc>
      </w:tr>
      <w:tr>
        <w:tblPrEx>
          <w:tblW w:w="7971" w:type="dxa"/>
          <w:jc w:val="center"/>
          <w:tblCellMar>
            <w:top w:w="0" w:type="dxa"/>
            <w:left w:w="108" w:type="dxa"/>
            <w:bottom w:w="0" w:type="dxa"/>
            <w:right w:w="108" w:type="dxa"/>
          </w:tblCellMar>
        </w:tblPrEx>
        <w:trPr>
          <w:jc w:val="center"/>
        </w:trPr>
        <w:tc>
          <w:tcPr>
            <w:tcW w:w="3045" w:type="dxa"/>
            <w:gridSpan w:val="2"/>
            <w:vMerge/>
            <w:tcBorders>
              <w:left w:val="single" w:sz="4" w:space="0" w:color="auto"/>
              <w:right w:val="single" w:sz="4" w:space="0" w:color="auto"/>
            </w:tcBorders>
            <w:vAlign w:val="center"/>
          </w:tcPr>
          <w:p>
            <w:pPr>
              <w:spacing w:line="360" w:lineRule="auto"/>
              <w:rPr>
                <w:rFonts w:ascii="宋体" w:hAnsi="宋体"/>
                <w:szCs w:val="21"/>
              </w:rPr>
            </w:pP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≤19dBZ（3千米处、脉宽0.5μs、分辨率75m、发射8倍波束展宽、单极化）</w:t>
            </w:r>
          </w:p>
        </w:tc>
      </w:tr>
      <w:tr>
        <w:tblPrEx>
          <w:tblW w:w="7971" w:type="dxa"/>
          <w:jc w:val="center"/>
          <w:tblCellMar>
            <w:top w:w="0" w:type="dxa"/>
            <w:left w:w="108" w:type="dxa"/>
            <w:bottom w:w="0" w:type="dxa"/>
            <w:right w:w="108" w:type="dxa"/>
          </w:tblCellMar>
        </w:tblPrEx>
        <w:trPr>
          <w:jc w:val="center"/>
        </w:trPr>
        <w:tc>
          <w:tcPr>
            <w:tcW w:w="3045" w:type="dxa"/>
            <w:gridSpan w:val="2"/>
            <w:vMerge/>
            <w:tcBorders>
              <w:left w:val="single" w:sz="4" w:space="0" w:color="auto"/>
              <w:right w:val="single" w:sz="4" w:space="0" w:color="auto"/>
            </w:tcBorders>
            <w:vAlign w:val="center"/>
          </w:tcPr>
          <w:p>
            <w:pPr>
              <w:spacing w:line="360" w:lineRule="auto"/>
              <w:rPr>
                <w:rFonts w:ascii="宋体" w:hAnsi="宋体"/>
                <w:szCs w:val="21"/>
              </w:rPr>
            </w:pP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≤16dBZ（12千米处、脉宽20μs、分辨率75m、发射8倍波束展宽、单极化）</w:t>
            </w:r>
          </w:p>
        </w:tc>
      </w:tr>
      <w:tr>
        <w:tblPrEx>
          <w:tblW w:w="7971" w:type="dxa"/>
          <w:jc w:val="center"/>
          <w:tblCellMar>
            <w:top w:w="0" w:type="dxa"/>
            <w:left w:w="108" w:type="dxa"/>
            <w:bottom w:w="0" w:type="dxa"/>
            <w:right w:w="108" w:type="dxa"/>
          </w:tblCellMar>
        </w:tblPrEx>
        <w:trPr>
          <w:jc w:val="center"/>
        </w:trPr>
        <w:tc>
          <w:tcPr>
            <w:tcW w:w="3045" w:type="dxa"/>
            <w:gridSpan w:val="2"/>
            <w:vMerge/>
            <w:tcBorders>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≤22dBZ（50千米处、脉宽100μs、分辨率75m、发射8倍波束展宽、单极化）</w:t>
            </w:r>
          </w:p>
        </w:tc>
      </w:tr>
      <w:tr>
        <w:tblPrEx>
          <w:tblW w:w="7971" w:type="dxa"/>
          <w:jc w:val="center"/>
          <w:tblCellMar>
            <w:top w:w="0" w:type="dxa"/>
            <w:left w:w="108" w:type="dxa"/>
            <w:bottom w:w="0" w:type="dxa"/>
            <w:right w:w="108" w:type="dxa"/>
          </w:tblCellMar>
        </w:tblPrEx>
        <w:trPr>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测量范围</w:t>
            </w: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强度</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-15dBZ～+80dBZ</w:t>
            </w:r>
          </w:p>
        </w:tc>
      </w:tr>
      <w:tr>
        <w:tblPrEx>
          <w:tblW w:w="7971" w:type="dxa"/>
          <w:jc w:val="center"/>
          <w:tblCellMar>
            <w:top w:w="0" w:type="dxa"/>
            <w:left w:w="108" w:type="dxa"/>
            <w:bottom w:w="0" w:type="dxa"/>
            <w:right w:w="108" w:type="dxa"/>
          </w:tblCellMar>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速度</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±48m/s</w:t>
            </w:r>
          </w:p>
        </w:tc>
      </w:tr>
      <w:tr>
        <w:tblPrEx>
          <w:tblW w:w="7971" w:type="dxa"/>
          <w:jc w:val="center"/>
          <w:tblCellMar>
            <w:top w:w="0" w:type="dxa"/>
            <w:left w:w="108" w:type="dxa"/>
            <w:bottom w:w="0" w:type="dxa"/>
            <w:right w:w="108" w:type="dxa"/>
          </w:tblCellMar>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谱宽</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0m/s～16m/s</w:t>
            </w:r>
          </w:p>
        </w:tc>
      </w:tr>
      <w:tr>
        <w:tblPrEx>
          <w:tblW w:w="7971" w:type="dxa"/>
          <w:jc w:val="center"/>
          <w:tblCellMar>
            <w:top w:w="0" w:type="dxa"/>
            <w:left w:w="108" w:type="dxa"/>
            <w:bottom w:w="0" w:type="dxa"/>
            <w:right w:w="108" w:type="dxa"/>
          </w:tblCellMar>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差分反射率因子</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-7.9dB～+7.9dB</w:t>
            </w:r>
          </w:p>
        </w:tc>
      </w:tr>
      <w:tr>
        <w:tblPrEx>
          <w:tblW w:w="7971" w:type="dxa"/>
          <w:jc w:val="center"/>
          <w:tblCellMar>
            <w:top w:w="0" w:type="dxa"/>
            <w:left w:w="108" w:type="dxa"/>
            <w:bottom w:w="0" w:type="dxa"/>
            <w:right w:w="108" w:type="dxa"/>
          </w:tblCellMar>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差分传播相移</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-180°～+180°</w:t>
            </w:r>
          </w:p>
        </w:tc>
      </w:tr>
      <w:tr>
        <w:tblPrEx>
          <w:tblW w:w="7971" w:type="dxa"/>
          <w:jc w:val="center"/>
          <w:tblCellMar>
            <w:top w:w="0" w:type="dxa"/>
            <w:left w:w="108" w:type="dxa"/>
            <w:bottom w:w="0" w:type="dxa"/>
            <w:right w:w="108" w:type="dxa"/>
          </w:tblCellMar>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差分传播相移率</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-2°/km～+20°/km</w:t>
            </w:r>
          </w:p>
        </w:tc>
      </w:tr>
      <w:tr>
        <w:tblPrEx>
          <w:tblW w:w="7971" w:type="dxa"/>
          <w:jc w:val="center"/>
          <w:tblCellMar>
            <w:top w:w="0" w:type="dxa"/>
            <w:left w:w="108" w:type="dxa"/>
            <w:bottom w:w="0" w:type="dxa"/>
            <w:right w:w="108" w:type="dxa"/>
          </w:tblCellMar>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相关系数</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0～1</w:t>
            </w:r>
          </w:p>
        </w:tc>
      </w:tr>
      <w:tr>
        <w:tblPrEx>
          <w:tblW w:w="7971" w:type="dxa"/>
          <w:jc w:val="center"/>
          <w:tblCellMar>
            <w:top w:w="0" w:type="dxa"/>
            <w:left w:w="108" w:type="dxa"/>
            <w:bottom w:w="0" w:type="dxa"/>
            <w:right w:w="108" w:type="dxa"/>
          </w:tblCellMar>
        </w:tblPrEx>
        <w:trPr>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参数测量精度（标准差）</w:t>
            </w: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强度</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≤1dB</w:t>
            </w:r>
          </w:p>
        </w:tc>
      </w:tr>
      <w:tr>
        <w:tblPrEx>
          <w:tblW w:w="7971" w:type="dxa"/>
          <w:jc w:val="center"/>
          <w:tblCellMar>
            <w:top w:w="0" w:type="dxa"/>
            <w:left w:w="108" w:type="dxa"/>
            <w:bottom w:w="0" w:type="dxa"/>
            <w:right w:w="108" w:type="dxa"/>
          </w:tblCellMar>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速度</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≤1m/s</w:t>
            </w:r>
          </w:p>
        </w:tc>
      </w:tr>
      <w:tr>
        <w:tblPrEx>
          <w:tblW w:w="7971" w:type="dxa"/>
          <w:jc w:val="center"/>
          <w:tblCellMar>
            <w:top w:w="0" w:type="dxa"/>
            <w:left w:w="108" w:type="dxa"/>
            <w:bottom w:w="0" w:type="dxa"/>
            <w:right w:w="108" w:type="dxa"/>
          </w:tblCellMar>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谱宽</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≤1m/s</w:t>
            </w:r>
          </w:p>
        </w:tc>
      </w:tr>
      <w:tr>
        <w:tblPrEx>
          <w:tblW w:w="7971" w:type="dxa"/>
          <w:jc w:val="center"/>
          <w:tblCellMar>
            <w:top w:w="0" w:type="dxa"/>
            <w:left w:w="108" w:type="dxa"/>
            <w:bottom w:w="0" w:type="dxa"/>
            <w:right w:w="108" w:type="dxa"/>
          </w:tblCellMar>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差分反射率因子</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≤0.2dB</w:t>
            </w:r>
          </w:p>
        </w:tc>
      </w:tr>
      <w:tr>
        <w:tblPrEx>
          <w:tblW w:w="7971" w:type="dxa"/>
          <w:jc w:val="center"/>
          <w:tblCellMar>
            <w:top w:w="0" w:type="dxa"/>
            <w:left w:w="108" w:type="dxa"/>
            <w:bottom w:w="0" w:type="dxa"/>
            <w:right w:w="108" w:type="dxa"/>
          </w:tblCellMar>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差分传播相移</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≤3°</w:t>
            </w:r>
          </w:p>
        </w:tc>
      </w:tr>
      <w:tr>
        <w:tblPrEx>
          <w:tblW w:w="7971" w:type="dxa"/>
          <w:jc w:val="center"/>
          <w:tblCellMar>
            <w:top w:w="0" w:type="dxa"/>
            <w:left w:w="108" w:type="dxa"/>
            <w:bottom w:w="0" w:type="dxa"/>
            <w:right w:w="108" w:type="dxa"/>
          </w:tblCellMar>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差分传播相移率</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≤0.2°/km</w:t>
            </w:r>
          </w:p>
        </w:tc>
      </w:tr>
      <w:tr>
        <w:tblPrEx>
          <w:tblW w:w="7971" w:type="dxa"/>
          <w:jc w:val="center"/>
          <w:tblCellMar>
            <w:top w:w="0" w:type="dxa"/>
            <w:left w:w="108" w:type="dxa"/>
            <w:bottom w:w="0" w:type="dxa"/>
            <w:right w:w="108" w:type="dxa"/>
          </w:tblCellMar>
        </w:tblPrEx>
        <w:trPr>
          <w:jc w:val="center"/>
        </w:trPr>
        <w:tc>
          <w:tcPr>
            <w:tcW w:w="936" w:type="dxa"/>
            <w:vMerge/>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相关系数</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≤0.01</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距离分辨率</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≤75m</w:t>
            </w:r>
          </w:p>
        </w:tc>
      </w:tr>
      <w:tr>
        <w:tblPrEx>
          <w:tblW w:w="7971" w:type="dxa"/>
          <w:jc w:val="center"/>
          <w:tblCellMar>
            <w:top w:w="0" w:type="dxa"/>
            <w:left w:w="108" w:type="dxa"/>
            <w:bottom w:w="0" w:type="dxa"/>
            <w:right w:w="108" w:type="dxa"/>
          </w:tblCellMar>
        </w:tblPrEx>
        <w:trPr>
          <w:jc w:val="center"/>
        </w:trPr>
        <w:tc>
          <w:tcPr>
            <w:tcW w:w="936" w:type="dxa"/>
            <w:vMerge w:val="restart"/>
            <w:tcBorders>
              <w:top w:val="single" w:sz="4" w:space="0" w:color="auto"/>
              <w:left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数据分辨力</w:t>
            </w:r>
          </w:p>
          <w:p>
            <w:pPr>
              <w:spacing w:line="360" w:lineRule="auto"/>
              <w:rPr>
                <w:rFonts w:ascii="宋体" w:hAnsi="宋体"/>
                <w:szCs w:val="21"/>
              </w:rPr>
            </w:pPr>
            <w:r>
              <w:rPr>
                <w:rFonts w:ascii="仿宋" w:eastAsia="仿宋" w:hAnsi="仿宋" w:hint="eastAsia"/>
                <w:sz w:val="24"/>
              </w:rPr>
              <w:t>▲</w:t>
            </w:r>
            <w:r>
              <w:t>需</w:t>
            </w:r>
            <w:r>
              <w:rPr>
                <w:rFonts w:hint="eastAsia"/>
              </w:rPr>
              <w:t>提供</w:t>
            </w:r>
            <w:r>
              <w:t>第三方机构出具的证明文件复印件进行佐证</w:t>
            </w: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方位角和俯仰角</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≤0.01°</w:t>
            </w:r>
          </w:p>
        </w:tc>
      </w:tr>
      <w:tr>
        <w:tblPrEx>
          <w:tblW w:w="7971" w:type="dxa"/>
          <w:jc w:val="center"/>
          <w:tblCellMar>
            <w:top w:w="0" w:type="dxa"/>
            <w:left w:w="108" w:type="dxa"/>
            <w:bottom w:w="0" w:type="dxa"/>
            <w:right w:w="108" w:type="dxa"/>
          </w:tblCellMar>
        </w:tblPrEx>
        <w:trPr>
          <w:jc w:val="center"/>
        </w:trPr>
        <w:tc>
          <w:tcPr>
            <w:tcW w:w="936" w:type="dxa"/>
            <w:vMerge/>
            <w:tcBorders>
              <w:left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强度</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≤0.1dB</w:t>
            </w:r>
          </w:p>
        </w:tc>
      </w:tr>
      <w:tr>
        <w:tblPrEx>
          <w:tblW w:w="7971" w:type="dxa"/>
          <w:jc w:val="center"/>
          <w:tblCellMar>
            <w:top w:w="0" w:type="dxa"/>
            <w:left w:w="108" w:type="dxa"/>
            <w:bottom w:w="0" w:type="dxa"/>
            <w:right w:w="108" w:type="dxa"/>
          </w:tblCellMar>
        </w:tblPrEx>
        <w:trPr>
          <w:jc w:val="center"/>
        </w:trPr>
        <w:tc>
          <w:tcPr>
            <w:tcW w:w="936" w:type="dxa"/>
            <w:vMerge/>
            <w:tcBorders>
              <w:left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速度</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≤0.1m/s</w:t>
            </w:r>
          </w:p>
        </w:tc>
      </w:tr>
      <w:tr>
        <w:tblPrEx>
          <w:tblW w:w="7971" w:type="dxa"/>
          <w:jc w:val="center"/>
          <w:tblCellMar>
            <w:top w:w="0" w:type="dxa"/>
            <w:left w:w="108" w:type="dxa"/>
            <w:bottom w:w="0" w:type="dxa"/>
            <w:right w:w="108" w:type="dxa"/>
          </w:tblCellMar>
        </w:tblPrEx>
        <w:trPr>
          <w:jc w:val="center"/>
        </w:trPr>
        <w:tc>
          <w:tcPr>
            <w:tcW w:w="936" w:type="dxa"/>
            <w:vMerge/>
            <w:tcBorders>
              <w:left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谱宽</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≤0.1m/s</w:t>
            </w:r>
          </w:p>
        </w:tc>
      </w:tr>
      <w:tr>
        <w:tblPrEx>
          <w:tblW w:w="7971" w:type="dxa"/>
          <w:jc w:val="center"/>
          <w:tblCellMar>
            <w:top w:w="0" w:type="dxa"/>
            <w:left w:w="108" w:type="dxa"/>
            <w:bottom w:w="0" w:type="dxa"/>
            <w:right w:w="108" w:type="dxa"/>
          </w:tblCellMar>
        </w:tblPrEx>
        <w:trPr>
          <w:jc w:val="center"/>
        </w:trPr>
        <w:tc>
          <w:tcPr>
            <w:tcW w:w="936" w:type="dxa"/>
            <w:vMerge/>
            <w:tcBorders>
              <w:left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差分反射率因子</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≤0.01dB</w:t>
            </w:r>
          </w:p>
        </w:tc>
      </w:tr>
      <w:tr>
        <w:tblPrEx>
          <w:tblW w:w="7971" w:type="dxa"/>
          <w:jc w:val="center"/>
          <w:tblCellMar>
            <w:top w:w="0" w:type="dxa"/>
            <w:left w:w="108" w:type="dxa"/>
            <w:bottom w:w="0" w:type="dxa"/>
            <w:right w:w="108" w:type="dxa"/>
          </w:tblCellMar>
        </w:tblPrEx>
        <w:trPr>
          <w:jc w:val="center"/>
        </w:trPr>
        <w:tc>
          <w:tcPr>
            <w:tcW w:w="936" w:type="dxa"/>
            <w:vMerge/>
            <w:tcBorders>
              <w:left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差分传播相移</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≤0.1°</w:t>
            </w:r>
          </w:p>
        </w:tc>
      </w:tr>
      <w:tr>
        <w:tblPrEx>
          <w:tblW w:w="7971" w:type="dxa"/>
          <w:jc w:val="center"/>
          <w:tblCellMar>
            <w:top w:w="0" w:type="dxa"/>
            <w:left w:w="108" w:type="dxa"/>
            <w:bottom w:w="0" w:type="dxa"/>
            <w:right w:w="108" w:type="dxa"/>
          </w:tblCellMar>
        </w:tblPrEx>
        <w:trPr>
          <w:jc w:val="center"/>
        </w:trPr>
        <w:tc>
          <w:tcPr>
            <w:tcW w:w="936" w:type="dxa"/>
            <w:vMerge/>
            <w:tcBorders>
              <w:left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差分传播相移率</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≤0.01°/km</w:t>
            </w:r>
          </w:p>
        </w:tc>
      </w:tr>
      <w:tr>
        <w:tblPrEx>
          <w:tblW w:w="7971" w:type="dxa"/>
          <w:jc w:val="center"/>
          <w:tblCellMar>
            <w:top w:w="0" w:type="dxa"/>
            <w:left w:w="108" w:type="dxa"/>
            <w:bottom w:w="0" w:type="dxa"/>
            <w:right w:w="108" w:type="dxa"/>
          </w:tblCellMar>
        </w:tblPrEx>
        <w:trPr>
          <w:jc w:val="center"/>
        </w:trPr>
        <w:tc>
          <w:tcPr>
            <w:tcW w:w="936" w:type="dxa"/>
            <w:vMerge/>
            <w:tcBorders>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相关系数</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≤0.001</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系统噪声系数</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≤3.5dB（脉宽1μs，带宽1MHz）</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系统线性动态范围</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≥95dB（脉宽1μs，带宽1MHz）</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系统相位噪声</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≤0.1°（脉宽1μs，带宽1MHz）</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实际地物对消能力</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≥50dB</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输出参数</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强度、速度、谱宽、差分反射率因子、差分传播相移、差分传播相移率、相关系数、信噪比</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电源要求</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三相AC380V±10%，50Hz±5%</w:t>
            </w:r>
          </w:p>
          <w:p>
            <w:pPr>
              <w:spacing w:line="360" w:lineRule="auto"/>
              <w:rPr>
                <w:rFonts w:ascii="宋体" w:hAnsi="宋体"/>
                <w:szCs w:val="21"/>
              </w:rPr>
            </w:pPr>
            <w:r>
              <w:rPr>
                <w:rFonts w:ascii="宋体" w:hAnsi="宋体" w:hint="eastAsia"/>
                <w:szCs w:val="21"/>
              </w:rPr>
              <w:t>或单相AC220V±10%，50Hz±5%</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重量</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≤3吨</w:t>
            </w:r>
          </w:p>
        </w:tc>
      </w:tr>
      <w:tr>
        <w:tblPrEx>
          <w:tblW w:w="7971" w:type="dxa"/>
          <w:jc w:val="center"/>
          <w:tblCellMar>
            <w:top w:w="0" w:type="dxa"/>
            <w:left w:w="108" w:type="dxa"/>
            <w:bottom w:w="0" w:type="dxa"/>
            <w:right w:w="108" w:type="dxa"/>
          </w:tblCellMar>
        </w:tblPrEx>
        <w:trPr>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环境要求</w:t>
            </w: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环境温度</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室内：0～+40℃</w:t>
            </w:r>
          </w:p>
          <w:p>
            <w:pPr>
              <w:spacing w:line="360" w:lineRule="auto"/>
              <w:rPr>
                <w:rFonts w:ascii="宋体" w:hAnsi="宋体"/>
                <w:szCs w:val="21"/>
              </w:rPr>
            </w:pPr>
            <w:r>
              <w:rPr>
                <w:rFonts w:ascii="宋体" w:hAnsi="宋体" w:hint="eastAsia"/>
                <w:szCs w:val="21"/>
              </w:rPr>
              <w:t>室外：-40～+50℃</w:t>
            </w:r>
          </w:p>
        </w:tc>
      </w:tr>
      <w:tr>
        <w:tblPrEx>
          <w:tblW w:w="797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贮存温度</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-40～+60℃</w:t>
            </w:r>
          </w:p>
        </w:tc>
      </w:tr>
      <w:tr>
        <w:tblPrEx>
          <w:tblW w:w="797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环境最大湿度</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室内：≤90%（+30℃）</w:t>
            </w:r>
          </w:p>
          <w:p>
            <w:pPr>
              <w:spacing w:line="360" w:lineRule="auto"/>
              <w:rPr>
                <w:rFonts w:ascii="宋体" w:hAnsi="宋体"/>
                <w:szCs w:val="21"/>
              </w:rPr>
            </w:pPr>
            <w:r>
              <w:rPr>
                <w:rFonts w:ascii="宋体" w:hAnsi="宋体" w:hint="eastAsia"/>
                <w:szCs w:val="21"/>
              </w:rPr>
              <w:t>室外：≤95%（+35℃）</w:t>
            </w:r>
          </w:p>
        </w:tc>
      </w:tr>
      <w:tr>
        <w:tblPrEx>
          <w:tblW w:w="797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工作高度</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海拔高度：≤5000m</w:t>
            </w:r>
          </w:p>
        </w:tc>
      </w:tr>
      <w:tr>
        <w:tblPrEx>
          <w:tblW w:w="797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冲击、振动、淋雨</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符合国家有关部门规定，且满足野外运输要求。</w:t>
            </w:r>
          </w:p>
        </w:tc>
      </w:tr>
      <w:tr>
        <w:tblPrEx>
          <w:tblW w:w="797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抗干扰</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电源干扰、电磁干扰、无线电频率干扰</w:t>
            </w:r>
          </w:p>
        </w:tc>
      </w:tr>
      <w:tr>
        <w:tblPrEx>
          <w:tblW w:w="7971" w:type="dxa"/>
          <w:jc w:val="center"/>
          <w:tblCellMar>
            <w:top w:w="0" w:type="dxa"/>
            <w:left w:w="108" w:type="dxa"/>
            <w:bottom w:w="0" w:type="dxa"/>
            <w:right w:w="108" w:type="dxa"/>
          </w:tblCellMar>
        </w:tblPrEx>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10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其它</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防水、防霉、防盐雾</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平均严重故障间隔时间（MTBCF）</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≥5000h</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平均故障修复时间</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≤0.5h</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架设方式</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固定架设</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雷达整机功耗</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≤15kW</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连续工作时间</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无人值守7×24h工作</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微波辐射安全性</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电磁辐射暴露限制应符合GJB5313A-2017的要求。</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安全标记</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雷达高压部位、微波泄漏部位、机械转动部位应有清晰、醒目的安全警示标记。</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互换性</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雷达备份零件、部件、组件和功能单元均能在现场更换，无需调整而正常工作。</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电磁兼容性</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雷达具有市电滤波和防电磁干扰的能力，设置静电屏蔽、磁屏蔽、电磁屏蔽，模拟地线、数字地线和安全地线严格分开。</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安全性</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雷达应有安全性设计,确保雷达按规定条件进行制造、安装、运输、贮存、使用和维护时的人身安全和设备安全。</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防雷要求</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雷达电源线输入端应加装防雷滤波器，室外电缆一律采用屏蔽电缆。</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绝缘性</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雷达各初级电源与大地间绝缘电阻应大于1MΩ。</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外观质量</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外观应协调一致。外表面应无凹痕、碰伤、裂痕和变形等缺陷；镀涂层不起泡、龟裂和脱落；金属零件无锈蚀、毛刺及其它机械损伤。</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标记与代号</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机柜、机箱、插件和线缆等应有统一的编号和标记，符合国家标准。</w:t>
            </w:r>
          </w:p>
          <w:p>
            <w:pPr>
              <w:spacing w:line="360" w:lineRule="auto"/>
              <w:rPr>
                <w:rFonts w:ascii="宋体" w:hAnsi="宋体"/>
                <w:szCs w:val="21"/>
              </w:rPr>
            </w:pPr>
            <w:r>
              <w:rPr>
                <w:rFonts w:ascii="宋体" w:hAnsi="宋体" w:hint="eastAsia"/>
                <w:szCs w:val="21"/>
              </w:rPr>
              <w:t>印制板、主要元器件等应在相应位置印有与电路图中项目代号相符的标记。</w:t>
            </w:r>
          </w:p>
          <w:p>
            <w:pPr>
              <w:spacing w:line="360" w:lineRule="auto"/>
              <w:rPr>
                <w:rFonts w:ascii="宋体" w:hAnsi="宋体"/>
                <w:szCs w:val="21"/>
              </w:rPr>
            </w:pPr>
            <w:r>
              <w:rPr>
                <w:rFonts w:ascii="宋体" w:hAnsi="宋体" w:hint="eastAsia"/>
                <w:szCs w:val="21"/>
              </w:rPr>
              <w:t>标记的文字、字母和符号应完整、规范、清晰和牢固，且便于识读。</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环境噪声要求</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天线罩内噪声不大于85dB，终端操作室噪声不大于65dB。</w:t>
            </w:r>
          </w:p>
        </w:tc>
      </w:tr>
      <w:tr>
        <w:tblPrEx>
          <w:tblW w:w="7971" w:type="dxa"/>
          <w:jc w:val="center"/>
          <w:tblCellMar>
            <w:top w:w="0" w:type="dxa"/>
            <w:left w:w="108" w:type="dxa"/>
            <w:bottom w:w="0" w:type="dxa"/>
            <w:right w:w="108" w:type="dxa"/>
          </w:tblCellMar>
        </w:tblPrEx>
        <w:trPr>
          <w:jc w:val="center"/>
        </w:trPr>
        <w:tc>
          <w:tcPr>
            <w:tcW w:w="3045"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雷达应有的铭牌包括的内容</w:t>
            </w:r>
          </w:p>
        </w:tc>
        <w:tc>
          <w:tcPr>
            <w:tcW w:w="492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雷达的名称、型号(代号)；出厂编号；出厂年月；制造厂商标。</w:t>
            </w:r>
          </w:p>
        </w:tc>
      </w:tr>
    </w:tbl>
    <w:p>
      <w:pPr>
        <w:spacing w:line="360" w:lineRule="auto"/>
        <w:rPr>
          <w:rFonts w:ascii="宋体" w:hAnsi="宋体"/>
          <w:b/>
          <w:szCs w:val="21"/>
        </w:rPr>
      </w:pPr>
      <w:r>
        <w:rPr>
          <w:rFonts w:ascii="宋体" w:hAnsi="宋体" w:hint="eastAsia"/>
          <w:b/>
          <w:bCs/>
          <w:szCs w:val="21"/>
        </w:rPr>
        <w:t>1.12.</w:t>
      </w:r>
      <w:r>
        <w:rPr>
          <w:rFonts w:ascii="宋体" w:hAnsi="宋体" w:hint="eastAsia"/>
          <w:b/>
          <w:szCs w:val="21"/>
        </w:rPr>
        <w:t>2.2环境适应性</w:t>
      </w:r>
    </w:p>
    <w:p>
      <w:pPr>
        <w:spacing w:line="360" w:lineRule="auto"/>
        <w:rPr>
          <w:rFonts w:ascii="宋体" w:hAnsi="宋体"/>
          <w:szCs w:val="21"/>
        </w:rPr>
      </w:pPr>
      <w:r>
        <w:rPr>
          <w:rFonts w:ascii="宋体" w:hAnsi="宋体" w:hint="eastAsia"/>
          <w:szCs w:val="21"/>
        </w:rPr>
        <w:t>（1）工作温度：-40～+50℃（舱外设备）；</w:t>
      </w:r>
    </w:p>
    <w:p>
      <w:pPr>
        <w:spacing w:line="360" w:lineRule="auto"/>
        <w:rPr>
          <w:rFonts w:ascii="宋体" w:hAnsi="宋体"/>
          <w:szCs w:val="21"/>
        </w:rPr>
      </w:pPr>
      <w:r>
        <w:rPr>
          <w:rFonts w:ascii="宋体" w:hAnsi="宋体" w:hint="eastAsia"/>
          <w:szCs w:val="21"/>
        </w:rPr>
        <w:t>（2）贮存温度：-40～+60℃；</w:t>
      </w:r>
    </w:p>
    <w:p>
      <w:pPr>
        <w:numPr>
          <w:ilvl w:val="0"/>
          <w:numId w:val="11"/>
        </w:numPr>
        <w:spacing w:line="360" w:lineRule="auto"/>
        <w:rPr>
          <w:rFonts w:ascii="宋体" w:hAnsi="宋体"/>
          <w:szCs w:val="21"/>
        </w:rPr>
      </w:pPr>
      <w:r>
        <w:rPr>
          <w:rFonts w:ascii="宋体" w:hAnsi="宋体" w:hint="eastAsia"/>
          <w:szCs w:val="21"/>
        </w:rPr>
        <w:t>相对湿度：95%±3%（35℃）。</w:t>
      </w:r>
    </w:p>
    <w:p>
      <w:pPr>
        <w:spacing w:line="360" w:lineRule="auto"/>
        <w:rPr>
          <w:rFonts w:ascii="宋体" w:hAnsi="宋体"/>
          <w:b/>
          <w:szCs w:val="21"/>
        </w:rPr>
      </w:pPr>
      <w:r>
        <w:rPr>
          <w:rFonts w:ascii="宋体" w:hAnsi="宋体" w:hint="eastAsia"/>
          <w:b/>
          <w:bCs/>
          <w:szCs w:val="21"/>
        </w:rPr>
        <w:t>1.12.</w:t>
      </w:r>
      <w:r>
        <w:rPr>
          <w:rFonts w:ascii="宋体" w:hAnsi="宋体" w:hint="eastAsia"/>
          <w:b/>
          <w:szCs w:val="21"/>
        </w:rPr>
        <w:t>2.3维修性</w:t>
      </w:r>
    </w:p>
    <w:p>
      <w:pPr>
        <w:spacing w:line="360" w:lineRule="auto"/>
        <w:rPr>
          <w:rFonts w:ascii="宋体" w:hAnsi="宋体"/>
          <w:szCs w:val="21"/>
        </w:rPr>
      </w:pPr>
      <w:r>
        <w:rPr>
          <w:rFonts w:ascii="宋体" w:hAnsi="宋体" w:hint="eastAsia"/>
          <w:szCs w:val="21"/>
        </w:rPr>
        <w:t xml:space="preserve">（1）雷达系统结构布局的设计在保证可靠性的条件下，确定最小可更 换单元，故障定位需能够定位到最小可更换单元，采用更换最小可更换单元的方法进行维修。 </w:t>
      </w:r>
    </w:p>
    <w:p>
      <w:pPr>
        <w:spacing w:line="360" w:lineRule="auto"/>
        <w:rPr>
          <w:rFonts w:ascii="宋体" w:hAnsi="宋体"/>
          <w:szCs w:val="21"/>
        </w:rPr>
      </w:pPr>
      <w:r>
        <w:rPr>
          <w:rFonts w:ascii="宋体" w:hAnsi="宋体" w:hint="eastAsia"/>
          <w:szCs w:val="21"/>
        </w:rPr>
        <w:t xml:space="preserve">（2）雷达系统的各模块与组件还应设置必要的工作状态指示，便于维修时检测。 </w:t>
      </w:r>
    </w:p>
    <w:p>
      <w:pPr>
        <w:spacing w:line="360" w:lineRule="auto"/>
        <w:rPr>
          <w:rFonts w:ascii="宋体" w:hAnsi="宋体"/>
          <w:szCs w:val="21"/>
        </w:rPr>
      </w:pPr>
      <w:r>
        <w:rPr>
          <w:rFonts w:ascii="宋体" w:hAnsi="宋体" w:hint="eastAsia"/>
          <w:szCs w:val="21"/>
        </w:rPr>
        <w:t xml:space="preserve">各模块、组件的装配应具有良好的可靠性，采用简单的通用工具即可进行维修操作。 </w:t>
      </w:r>
    </w:p>
    <w:p>
      <w:pPr>
        <w:numPr>
          <w:ilvl w:val="0"/>
          <w:numId w:val="11"/>
        </w:numPr>
        <w:spacing w:line="360" w:lineRule="auto"/>
        <w:rPr>
          <w:rFonts w:ascii="宋体" w:hAnsi="宋体"/>
          <w:szCs w:val="21"/>
        </w:rPr>
      </w:pPr>
      <w:r>
        <w:rPr>
          <w:rFonts w:ascii="宋体" w:hAnsi="宋体" w:hint="eastAsia"/>
          <w:szCs w:val="21"/>
        </w:rPr>
        <w:t>雷达系统中凡是需要维护或修理的部件均应设置观察窗口或检测点。</w:t>
      </w:r>
    </w:p>
    <w:p>
      <w:pPr>
        <w:spacing w:line="360" w:lineRule="auto"/>
        <w:rPr>
          <w:rFonts w:ascii="宋体" w:hAnsi="宋体"/>
          <w:b/>
          <w:szCs w:val="21"/>
        </w:rPr>
      </w:pPr>
      <w:r>
        <w:rPr>
          <w:rFonts w:ascii="宋体" w:hAnsi="宋体" w:hint="eastAsia"/>
          <w:b/>
          <w:bCs/>
          <w:szCs w:val="21"/>
        </w:rPr>
        <w:t>1.12.</w:t>
      </w:r>
      <w:r>
        <w:rPr>
          <w:rFonts w:ascii="宋体" w:hAnsi="宋体" w:hint="eastAsia"/>
          <w:b/>
          <w:szCs w:val="21"/>
        </w:rPr>
        <w:t>2.4可靠性</w:t>
      </w:r>
    </w:p>
    <w:p>
      <w:pPr>
        <w:spacing w:line="360" w:lineRule="auto"/>
        <w:rPr>
          <w:rFonts w:ascii="宋体" w:hAnsi="宋体"/>
          <w:szCs w:val="21"/>
        </w:rPr>
      </w:pPr>
      <w:r>
        <w:rPr>
          <w:rFonts w:ascii="宋体" w:hAnsi="宋体" w:hint="eastAsia"/>
          <w:szCs w:val="21"/>
        </w:rPr>
        <w:t>（1）雷达系统各分机和组件应充分贯彻通用化、系列化、组合化设计原则，结合机内测试装置（BITE），保证雷达系统的高可靠性工作。</w:t>
      </w:r>
    </w:p>
    <w:p>
      <w:pPr>
        <w:spacing w:line="360" w:lineRule="auto"/>
        <w:rPr>
          <w:rFonts w:ascii="宋体" w:hAnsi="宋体"/>
          <w:szCs w:val="21"/>
        </w:rPr>
      </w:pPr>
      <w:r>
        <w:rPr>
          <w:rFonts w:ascii="宋体" w:hAnsi="宋体" w:hint="eastAsia"/>
          <w:szCs w:val="21"/>
        </w:rPr>
        <w:t>（2）雷达系统中使用的元器件，无论在模拟还是数字电路中，优先选用集成电路进行设计；特别是数字电路，采用大规模和超大规模集成电路。</w:t>
      </w:r>
    </w:p>
    <w:p>
      <w:pPr>
        <w:spacing w:line="360" w:lineRule="auto"/>
        <w:rPr>
          <w:rFonts w:ascii="宋体" w:hAnsi="宋体"/>
          <w:szCs w:val="21"/>
        </w:rPr>
      </w:pPr>
      <w:r>
        <w:rPr>
          <w:rFonts w:ascii="宋体" w:hAnsi="宋体" w:hint="eastAsia"/>
          <w:szCs w:val="21"/>
        </w:rPr>
        <w:t>（3）在通用元器件选用上，应选用高可靠性产品。</w:t>
      </w:r>
    </w:p>
    <w:p>
      <w:pPr>
        <w:spacing w:line="360" w:lineRule="auto"/>
        <w:rPr>
          <w:rFonts w:ascii="宋体" w:hAnsi="宋体"/>
          <w:szCs w:val="21"/>
        </w:rPr>
      </w:pPr>
      <w:r>
        <w:rPr>
          <w:rFonts w:ascii="宋体" w:hAnsi="宋体" w:hint="eastAsia"/>
          <w:szCs w:val="21"/>
        </w:rPr>
        <w:t xml:space="preserve">（4）雷达各分系统应具有体积小、重量轻、工作安全以及效率高等优点。 </w:t>
      </w:r>
    </w:p>
    <w:p>
      <w:pPr>
        <w:spacing w:line="360" w:lineRule="auto"/>
        <w:rPr>
          <w:rFonts w:ascii="宋体" w:hAnsi="宋体"/>
          <w:szCs w:val="21"/>
        </w:rPr>
      </w:pPr>
      <w:r>
        <w:rPr>
          <w:rFonts w:ascii="宋体" w:hAnsi="宋体" w:hint="eastAsia"/>
          <w:szCs w:val="21"/>
        </w:rPr>
        <w:t>（5）在雷达系统的设计中，按照电磁兼容性设计标准要求进行，严格区分模拟地、数字地及安全地的接线关系，采取有效的电磁屏蔽措施。</w:t>
      </w:r>
    </w:p>
    <w:p>
      <w:pPr>
        <w:spacing w:line="360" w:lineRule="auto"/>
        <w:rPr>
          <w:rFonts w:ascii="宋体" w:hAnsi="宋体"/>
          <w:b/>
          <w:szCs w:val="21"/>
        </w:rPr>
      </w:pPr>
      <w:r>
        <w:rPr>
          <w:rFonts w:ascii="宋体" w:hAnsi="宋体" w:hint="eastAsia"/>
          <w:b/>
          <w:bCs/>
          <w:szCs w:val="21"/>
        </w:rPr>
        <w:t>1.12.</w:t>
      </w:r>
      <w:r>
        <w:rPr>
          <w:rFonts w:ascii="宋体" w:hAnsi="宋体" w:hint="eastAsia"/>
          <w:b/>
          <w:szCs w:val="21"/>
        </w:rPr>
        <w:t>3.天线</w:t>
      </w:r>
    </w:p>
    <w:p>
      <w:pPr>
        <w:spacing w:line="360" w:lineRule="auto"/>
        <w:rPr>
          <w:rFonts w:ascii="宋体" w:hAnsi="宋体"/>
          <w:szCs w:val="21"/>
        </w:rPr>
      </w:pPr>
      <w:r>
        <w:rPr>
          <w:rFonts w:ascii="宋体" w:hAnsi="宋体" w:hint="eastAsia"/>
          <w:szCs w:val="21"/>
        </w:rPr>
        <w:t>天线采用双线偏振平面相控阵天线，用于辐射微波能量和接收目标后向散射的微波信号。天线采用有源形式，天线与分布式数字收发单元相连接，通过控制各个信号通道幅度和相位，实现波束在垂直方向上的电子扫描，覆盖-2°～+60°扫描范围。具体指标见下表。</w:t>
      </w:r>
    </w:p>
    <w:p>
      <w:pPr>
        <w:spacing w:line="360" w:lineRule="auto"/>
        <w:rPr>
          <w:rFonts w:ascii="宋体" w:hAnsi="宋体"/>
          <w:szCs w:val="21"/>
          <w:lang w:bidi="en-US"/>
        </w:rPr>
      </w:pPr>
      <w:r>
        <w:rPr>
          <w:rFonts w:ascii="宋体" w:hAnsi="宋体" w:hint="eastAsia"/>
          <w:szCs w:val="21"/>
          <w:lang w:bidi="en-US"/>
        </w:rPr>
        <w:t>表2 天线技术性能指标表</w:t>
      </w:r>
    </w:p>
    <w:tbl>
      <w:tblPr>
        <w:tblStyle w:val="TableNormal"/>
        <w:tblW w:w="7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689"/>
        <w:gridCol w:w="5056"/>
      </w:tblGrid>
      <w:tr>
        <w:tblPrEx>
          <w:tblW w:w="7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524"/>
          <w:jc w:val="center"/>
        </w:trPr>
        <w:tc>
          <w:tcPr>
            <w:tcW w:w="2689" w:type="dxa"/>
            <w:vAlign w:val="center"/>
          </w:tcPr>
          <w:p>
            <w:pPr>
              <w:spacing w:line="360" w:lineRule="auto"/>
              <w:rPr>
                <w:rFonts w:ascii="宋体" w:hAnsi="宋体"/>
                <w:szCs w:val="21"/>
              </w:rPr>
            </w:pPr>
            <w:r>
              <w:rPr>
                <w:rFonts w:ascii="宋体" w:hAnsi="宋体" w:hint="eastAsia"/>
                <w:szCs w:val="21"/>
              </w:rPr>
              <w:t>项目</w:t>
            </w:r>
          </w:p>
        </w:tc>
        <w:tc>
          <w:tcPr>
            <w:tcW w:w="5056" w:type="dxa"/>
            <w:vAlign w:val="center"/>
          </w:tcPr>
          <w:p>
            <w:pPr>
              <w:spacing w:line="360" w:lineRule="auto"/>
              <w:rPr>
                <w:rFonts w:ascii="宋体" w:hAnsi="宋体"/>
                <w:szCs w:val="21"/>
              </w:rPr>
            </w:pPr>
            <w:r>
              <w:rPr>
                <w:rFonts w:ascii="宋体" w:hAnsi="宋体" w:hint="eastAsia"/>
                <w:szCs w:val="21"/>
              </w:rPr>
              <w:t>性能指标</w:t>
            </w:r>
          </w:p>
        </w:tc>
      </w:tr>
      <w:tr>
        <w:tblPrEx>
          <w:tblW w:w="7745" w:type="dxa"/>
          <w:jc w:val="center"/>
          <w:tblLayout w:type="fixed"/>
          <w:tblCellMar>
            <w:top w:w="0" w:type="dxa"/>
            <w:left w:w="108" w:type="dxa"/>
            <w:bottom w:w="0" w:type="dxa"/>
            <w:right w:w="108" w:type="dxa"/>
          </w:tblCellMar>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天线形式</w:t>
            </w:r>
          </w:p>
        </w:tc>
        <w:tc>
          <w:tcPr>
            <w:tcW w:w="505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平面双线偏振相控阵天线</w:t>
            </w:r>
          </w:p>
        </w:tc>
      </w:tr>
      <w:tr>
        <w:tblPrEx>
          <w:tblW w:w="7745" w:type="dxa"/>
          <w:jc w:val="center"/>
          <w:tblLayout w:type="fixed"/>
          <w:tblCellMar>
            <w:top w:w="0" w:type="dxa"/>
            <w:left w:w="108" w:type="dxa"/>
            <w:bottom w:w="0" w:type="dxa"/>
            <w:right w:w="108" w:type="dxa"/>
          </w:tblCellMar>
        </w:tblPrEx>
        <w:trPr>
          <w:trHeight w:val="613"/>
          <w:jc w:val="center"/>
        </w:trPr>
        <w:tc>
          <w:tcPr>
            <w:tcW w:w="268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极化方式</w:t>
            </w:r>
          </w:p>
        </w:tc>
        <w:tc>
          <w:tcPr>
            <w:tcW w:w="505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线性水平、垂直极化</w:t>
            </w:r>
          </w:p>
        </w:tc>
      </w:tr>
      <w:tr>
        <w:tblPrEx>
          <w:tblW w:w="7745" w:type="dxa"/>
          <w:jc w:val="center"/>
          <w:tblLayout w:type="fixed"/>
          <w:tblCellMar>
            <w:top w:w="0" w:type="dxa"/>
            <w:left w:w="108" w:type="dxa"/>
            <w:bottom w:w="0" w:type="dxa"/>
            <w:right w:w="108" w:type="dxa"/>
          </w:tblCellMar>
        </w:tblPrEx>
        <w:trPr>
          <w:trHeight w:val="613"/>
          <w:jc w:val="center"/>
        </w:trPr>
        <w:tc>
          <w:tcPr>
            <w:tcW w:w="268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方位波束宽度（水平极化和垂直极化）</w:t>
            </w:r>
          </w:p>
        </w:tc>
        <w:tc>
          <w:tcPr>
            <w:tcW w:w="505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发射、接收均≤1.8°</w:t>
            </w:r>
          </w:p>
        </w:tc>
      </w:tr>
      <w:tr>
        <w:tblPrEx>
          <w:tblW w:w="7745" w:type="dxa"/>
          <w:jc w:val="center"/>
          <w:tblLayout w:type="fixed"/>
          <w:tblCellMar>
            <w:top w:w="0" w:type="dxa"/>
            <w:left w:w="108" w:type="dxa"/>
            <w:bottom w:w="0" w:type="dxa"/>
            <w:right w:w="108" w:type="dxa"/>
          </w:tblCellMar>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电扫波束宽度（水平极化和垂直极化）</w:t>
            </w:r>
          </w:p>
        </w:tc>
        <w:tc>
          <w:tcPr>
            <w:tcW w:w="505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发射、接收均法向≤1.8°</w:t>
            </w:r>
          </w:p>
          <w:p>
            <w:pPr>
              <w:spacing w:line="360" w:lineRule="auto"/>
              <w:rPr>
                <w:rFonts w:ascii="宋体" w:hAnsi="宋体"/>
                <w:szCs w:val="21"/>
              </w:rPr>
            </w:pPr>
            <w:r>
              <w:rPr>
                <w:rFonts w:ascii="宋体" w:hAnsi="宋体" w:hint="eastAsia"/>
                <w:szCs w:val="21"/>
              </w:rPr>
              <w:t>偏离法向±20°H面和E面发射、接收均≤1.91°</w:t>
            </w:r>
          </w:p>
        </w:tc>
      </w:tr>
      <w:tr>
        <w:tblPrEx>
          <w:tblW w:w="7745" w:type="dxa"/>
          <w:jc w:val="center"/>
          <w:tblLayout w:type="fixed"/>
          <w:tblCellMar>
            <w:top w:w="0" w:type="dxa"/>
            <w:left w:w="108" w:type="dxa"/>
            <w:bottom w:w="0" w:type="dxa"/>
            <w:right w:w="108" w:type="dxa"/>
          </w:tblCellMar>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发射增益（法向、不含馈线）</w:t>
            </w:r>
          </w:p>
        </w:tc>
        <w:tc>
          <w:tcPr>
            <w:tcW w:w="505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≥38.5dB</w:t>
            </w:r>
          </w:p>
        </w:tc>
      </w:tr>
      <w:tr>
        <w:tblPrEx>
          <w:tblW w:w="7745" w:type="dxa"/>
          <w:jc w:val="center"/>
          <w:tblLayout w:type="fixed"/>
          <w:tblCellMar>
            <w:top w:w="0" w:type="dxa"/>
            <w:left w:w="108" w:type="dxa"/>
            <w:bottom w:w="0" w:type="dxa"/>
            <w:right w:w="108" w:type="dxa"/>
          </w:tblCellMar>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发射增益（偏离法向±20°、不含馈线）</w:t>
            </w:r>
          </w:p>
        </w:tc>
        <w:tc>
          <w:tcPr>
            <w:tcW w:w="505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≥37.5dB</w:t>
            </w:r>
          </w:p>
        </w:tc>
      </w:tr>
      <w:tr>
        <w:tblPrEx>
          <w:tblW w:w="7745" w:type="dxa"/>
          <w:jc w:val="center"/>
          <w:tblLayout w:type="fixed"/>
          <w:tblCellMar>
            <w:top w:w="0" w:type="dxa"/>
            <w:left w:w="108" w:type="dxa"/>
            <w:bottom w:w="0" w:type="dxa"/>
            <w:right w:w="108" w:type="dxa"/>
          </w:tblCellMar>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发射增益（发射4倍波束展宽、不含馈线）</w:t>
            </w:r>
          </w:p>
        </w:tc>
        <w:tc>
          <w:tcPr>
            <w:tcW w:w="505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≥30.5dB</w:t>
            </w:r>
          </w:p>
        </w:tc>
      </w:tr>
      <w:tr>
        <w:tblPrEx>
          <w:tblW w:w="7745" w:type="dxa"/>
          <w:jc w:val="center"/>
          <w:tblLayout w:type="fixed"/>
          <w:tblCellMar>
            <w:top w:w="0" w:type="dxa"/>
            <w:left w:w="108" w:type="dxa"/>
            <w:bottom w:w="0" w:type="dxa"/>
            <w:right w:w="108" w:type="dxa"/>
          </w:tblCellMar>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发射增益（发射8倍波束展宽、不含馈线）</w:t>
            </w:r>
          </w:p>
        </w:tc>
        <w:tc>
          <w:tcPr>
            <w:tcW w:w="505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≥27.5dB</w:t>
            </w:r>
          </w:p>
        </w:tc>
      </w:tr>
      <w:tr>
        <w:tblPrEx>
          <w:tblW w:w="7745" w:type="dxa"/>
          <w:jc w:val="center"/>
          <w:tblLayout w:type="fixed"/>
          <w:tblCellMar>
            <w:top w:w="0" w:type="dxa"/>
            <w:left w:w="108" w:type="dxa"/>
            <w:bottom w:w="0" w:type="dxa"/>
            <w:right w:w="108" w:type="dxa"/>
          </w:tblCellMar>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发射增益波动（发射4倍波束展宽）</w:t>
            </w:r>
          </w:p>
        </w:tc>
        <w:tc>
          <w:tcPr>
            <w:tcW w:w="505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≤1dB</w:t>
            </w:r>
          </w:p>
        </w:tc>
      </w:tr>
      <w:tr>
        <w:tblPrEx>
          <w:tblW w:w="7745" w:type="dxa"/>
          <w:jc w:val="center"/>
          <w:tblLayout w:type="fixed"/>
          <w:tblCellMar>
            <w:top w:w="0" w:type="dxa"/>
            <w:left w:w="108" w:type="dxa"/>
            <w:bottom w:w="0" w:type="dxa"/>
            <w:right w:w="108" w:type="dxa"/>
          </w:tblCellMar>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发射增益波动（发射8倍波束展宽）</w:t>
            </w:r>
          </w:p>
        </w:tc>
        <w:tc>
          <w:tcPr>
            <w:tcW w:w="505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≤2dB</w:t>
            </w:r>
          </w:p>
        </w:tc>
      </w:tr>
      <w:tr>
        <w:tblPrEx>
          <w:tblW w:w="7745" w:type="dxa"/>
          <w:jc w:val="center"/>
          <w:tblLayout w:type="fixed"/>
          <w:tblCellMar>
            <w:top w:w="0" w:type="dxa"/>
            <w:left w:w="108" w:type="dxa"/>
            <w:bottom w:w="0" w:type="dxa"/>
            <w:right w:w="108" w:type="dxa"/>
          </w:tblCellMar>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接收增益（法向、不含馈线）</w:t>
            </w:r>
          </w:p>
        </w:tc>
        <w:tc>
          <w:tcPr>
            <w:tcW w:w="505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≥37.5dB</w:t>
            </w:r>
          </w:p>
        </w:tc>
      </w:tr>
      <w:tr>
        <w:tblPrEx>
          <w:tblW w:w="7745" w:type="dxa"/>
          <w:jc w:val="center"/>
          <w:tblLayout w:type="fixed"/>
          <w:tblCellMar>
            <w:top w:w="0" w:type="dxa"/>
            <w:left w:w="108" w:type="dxa"/>
            <w:bottom w:w="0" w:type="dxa"/>
            <w:right w:w="108" w:type="dxa"/>
          </w:tblCellMar>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接收增益（偏离法向±20°、不含馈线）</w:t>
            </w:r>
          </w:p>
        </w:tc>
        <w:tc>
          <w:tcPr>
            <w:tcW w:w="505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≥36.5dB</w:t>
            </w:r>
          </w:p>
        </w:tc>
      </w:tr>
      <w:tr>
        <w:tblPrEx>
          <w:tblW w:w="7745" w:type="dxa"/>
          <w:jc w:val="center"/>
          <w:tblLayout w:type="fixed"/>
          <w:tblCellMar>
            <w:top w:w="0" w:type="dxa"/>
            <w:left w:w="108" w:type="dxa"/>
            <w:bottom w:w="0" w:type="dxa"/>
            <w:right w:w="108" w:type="dxa"/>
          </w:tblCellMar>
        </w:tblPrEx>
        <w:trPr>
          <w:trHeight w:val="613"/>
          <w:jc w:val="center"/>
        </w:trPr>
        <w:tc>
          <w:tcPr>
            <w:tcW w:w="268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方位方向最大副瓣电平</w:t>
            </w:r>
          </w:p>
        </w:tc>
        <w:tc>
          <w:tcPr>
            <w:tcW w:w="505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发射、接收均≤-30dB</w:t>
            </w:r>
          </w:p>
        </w:tc>
      </w:tr>
      <w:tr>
        <w:tblPrEx>
          <w:tblW w:w="7745" w:type="dxa"/>
          <w:jc w:val="center"/>
          <w:tblLayout w:type="fixed"/>
          <w:tblCellMar>
            <w:top w:w="0" w:type="dxa"/>
            <w:left w:w="108" w:type="dxa"/>
            <w:bottom w:w="0" w:type="dxa"/>
            <w:right w:w="108" w:type="dxa"/>
          </w:tblCellMar>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交叉极化隔离度</w:t>
            </w:r>
          </w:p>
        </w:tc>
        <w:tc>
          <w:tcPr>
            <w:tcW w:w="505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发射、接收均满足且偏离法向±10°≥35dB</w:t>
            </w:r>
          </w:p>
          <w:p>
            <w:pPr>
              <w:spacing w:line="360" w:lineRule="auto"/>
              <w:rPr>
                <w:rFonts w:ascii="宋体" w:hAnsi="宋体"/>
                <w:szCs w:val="21"/>
              </w:rPr>
            </w:pPr>
            <w:r>
              <w:rPr>
                <w:rFonts w:ascii="宋体" w:hAnsi="宋体" w:hint="eastAsia"/>
                <w:szCs w:val="21"/>
              </w:rPr>
              <w:t>发射、接收均满足且偏离法向±10°～±20°≥33dB</w:t>
            </w:r>
          </w:p>
        </w:tc>
      </w:tr>
      <w:tr>
        <w:tblPrEx>
          <w:tblW w:w="7745" w:type="dxa"/>
          <w:jc w:val="center"/>
          <w:tblLayout w:type="fixed"/>
          <w:tblCellMar>
            <w:top w:w="0" w:type="dxa"/>
            <w:left w:w="108" w:type="dxa"/>
            <w:bottom w:w="0" w:type="dxa"/>
            <w:right w:w="108" w:type="dxa"/>
          </w:tblCellMar>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双极化波束宽度差异</w:t>
            </w:r>
          </w:p>
        </w:tc>
        <w:tc>
          <w:tcPr>
            <w:tcW w:w="505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H面和E面发射、接收均≤波束宽度*5%</w:t>
            </w:r>
          </w:p>
        </w:tc>
      </w:tr>
      <w:tr>
        <w:tblPrEx>
          <w:tblW w:w="7745" w:type="dxa"/>
          <w:jc w:val="center"/>
          <w:tblLayout w:type="fixed"/>
          <w:tblCellMar>
            <w:top w:w="0" w:type="dxa"/>
            <w:left w:w="108" w:type="dxa"/>
            <w:bottom w:w="0" w:type="dxa"/>
            <w:right w:w="108" w:type="dxa"/>
          </w:tblCellMar>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双极化波束指向一致性</w:t>
            </w:r>
          </w:p>
        </w:tc>
        <w:tc>
          <w:tcPr>
            <w:tcW w:w="505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发射、接收均≤波束宽度*5%</w:t>
            </w:r>
          </w:p>
        </w:tc>
      </w:tr>
      <w:tr>
        <w:tblPrEx>
          <w:tblW w:w="7745" w:type="dxa"/>
          <w:jc w:val="center"/>
          <w:tblLayout w:type="fixed"/>
          <w:tblCellMar>
            <w:top w:w="0" w:type="dxa"/>
            <w:left w:w="108" w:type="dxa"/>
            <w:bottom w:w="0" w:type="dxa"/>
            <w:right w:w="108" w:type="dxa"/>
          </w:tblCellMar>
        </w:tblPrEx>
        <w:trPr>
          <w:trHeight w:val="590"/>
          <w:jc w:val="center"/>
        </w:trPr>
        <w:tc>
          <w:tcPr>
            <w:tcW w:w="2689"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驻波比</w:t>
            </w:r>
          </w:p>
        </w:tc>
        <w:tc>
          <w:tcPr>
            <w:tcW w:w="505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≤1.5</w:t>
            </w:r>
          </w:p>
        </w:tc>
      </w:tr>
    </w:tbl>
    <w:p>
      <w:pPr>
        <w:spacing w:line="360" w:lineRule="auto"/>
        <w:rPr>
          <w:rFonts w:ascii="宋体" w:hAnsi="宋体"/>
          <w:b/>
          <w:szCs w:val="21"/>
        </w:rPr>
      </w:pPr>
      <w:r>
        <w:rPr>
          <w:rFonts w:ascii="宋体" w:hAnsi="宋体" w:hint="eastAsia"/>
          <w:b/>
          <w:bCs/>
          <w:szCs w:val="21"/>
        </w:rPr>
        <w:t>1.12.</w:t>
      </w:r>
      <w:r>
        <w:rPr>
          <w:rFonts w:ascii="宋体" w:hAnsi="宋体" w:hint="eastAsia"/>
          <w:b/>
          <w:szCs w:val="21"/>
        </w:rPr>
        <w:t>4.伺服</w:t>
      </w:r>
    </w:p>
    <w:p>
      <w:pPr>
        <w:spacing w:line="360" w:lineRule="auto"/>
        <w:rPr>
          <w:rFonts w:ascii="宋体" w:hAnsi="宋体"/>
          <w:szCs w:val="21"/>
        </w:rPr>
      </w:pPr>
      <w:r>
        <w:rPr>
          <w:rFonts w:ascii="宋体" w:hAnsi="宋体" w:hint="eastAsia"/>
          <w:szCs w:val="21"/>
        </w:rPr>
        <w:t>方位方向采用机械扫描，方位控制选用数字式伺服系统，高精度伺服电机驱动，实现360°连续旋转扫描。雷达应支持平面位置扫描、体积扫描、扇形扫描、定点扫描等多种扫描方式，各种扫描方式均由软件控制完成。俯仰方向机械转动采用电机驱动，伺服应具备使天线阵面法向在俯仰0°～90°转动和定位的能力。</w:t>
      </w:r>
    </w:p>
    <w:p>
      <w:pPr>
        <w:spacing w:line="360" w:lineRule="auto"/>
        <w:rPr>
          <w:rFonts w:ascii="宋体" w:hAnsi="宋体"/>
          <w:szCs w:val="21"/>
        </w:rPr>
      </w:pPr>
      <w:r>
        <w:rPr>
          <w:rFonts w:ascii="宋体" w:hAnsi="宋体" w:hint="eastAsia"/>
          <w:szCs w:val="21"/>
        </w:rPr>
        <w:t>具体指标见下表。</w:t>
      </w:r>
    </w:p>
    <w:p>
      <w:pPr>
        <w:spacing w:line="360" w:lineRule="auto"/>
        <w:rPr>
          <w:rFonts w:ascii="宋体" w:hAnsi="宋体"/>
          <w:szCs w:val="21"/>
          <w:lang w:bidi="en-US"/>
        </w:rPr>
      </w:pPr>
      <w:r>
        <w:rPr>
          <w:rFonts w:ascii="宋体" w:hAnsi="宋体" w:hint="eastAsia"/>
          <w:szCs w:val="21"/>
          <w:lang w:bidi="en-US"/>
        </w:rPr>
        <w:t>表3 天线阵面和伺服系统技术性能指标表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151"/>
        <w:gridCol w:w="1672"/>
        <w:gridCol w:w="445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60"/>
          <w:jc w:val="center"/>
        </w:trPr>
        <w:tc>
          <w:tcPr>
            <w:tcW w:w="3823" w:type="dxa"/>
            <w:gridSpan w:val="2"/>
          </w:tcPr>
          <w:p>
            <w:pPr>
              <w:spacing w:line="360" w:lineRule="auto"/>
              <w:rPr>
                <w:rFonts w:ascii="宋体" w:hAnsi="宋体"/>
                <w:szCs w:val="21"/>
              </w:rPr>
            </w:pPr>
            <w:r>
              <w:rPr>
                <w:rFonts w:ascii="宋体" w:hAnsi="宋体" w:hint="eastAsia"/>
                <w:szCs w:val="21"/>
              </w:rPr>
              <w:t>项目</w:t>
            </w:r>
          </w:p>
        </w:tc>
        <w:tc>
          <w:tcPr>
            <w:tcW w:w="4457" w:type="dxa"/>
          </w:tcPr>
          <w:p>
            <w:pPr>
              <w:spacing w:line="360" w:lineRule="auto"/>
              <w:rPr>
                <w:rFonts w:ascii="宋体" w:hAnsi="宋体"/>
                <w:szCs w:val="21"/>
              </w:rPr>
            </w:pPr>
            <w:r>
              <w:rPr>
                <w:rFonts w:ascii="宋体" w:hAnsi="宋体" w:hint="eastAsia"/>
                <w:szCs w:val="21"/>
              </w:rPr>
              <w:t>性能指标</w:t>
            </w:r>
          </w:p>
        </w:tc>
      </w:tr>
      <w:tr>
        <w:tblPrEx>
          <w:tblW w:w="0" w:type="auto"/>
          <w:jc w:val="center"/>
          <w:tblLayout w:type="fixed"/>
          <w:tblCellMar>
            <w:top w:w="0" w:type="dxa"/>
            <w:left w:w="108" w:type="dxa"/>
            <w:bottom w:w="0" w:type="dxa"/>
            <w:right w:w="108" w:type="dxa"/>
          </w:tblCellMar>
        </w:tblPrEx>
        <w:trPr>
          <w:trHeight w:val="160"/>
          <w:jc w:val="center"/>
        </w:trPr>
        <w:tc>
          <w:tcPr>
            <w:tcW w:w="3823" w:type="dxa"/>
            <w:gridSpan w:val="2"/>
            <w:vAlign w:val="center"/>
          </w:tcPr>
          <w:p>
            <w:pPr>
              <w:spacing w:line="360" w:lineRule="auto"/>
              <w:rPr>
                <w:rFonts w:ascii="宋体" w:hAnsi="宋体"/>
                <w:szCs w:val="21"/>
              </w:rPr>
            </w:pPr>
            <w:r>
              <w:rPr>
                <w:rFonts w:ascii="宋体" w:hAnsi="宋体" w:hint="eastAsia"/>
                <w:szCs w:val="21"/>
              </w:rPr>
              <w:t>波束扫描方式</w:t>
            </w:r>
          </w:p>
        </w:tc>
        <w:tc>
          <w:tcPr>
            <w:tcW w:w="4457" w:type="dxa"/>
            <w:vAlign w:val="center"/>
          </w:tcPr>
          <w:p>
            <w:pPr>
              <w:spacing w:line="360" w:lineRule="auto"/>
              <w:rPr>
                <w:rFonts w:ascii="宋体" w:hAnsi="宋体"/>
                <w:szCs w:val="21"/>
              </w:rPr>
            </w:pPr>
            <w:r>
              <w:rPr>
                <w:rFonts w:ascii="宋体" w:hAnsi="宋体" w:hint="eastAsia"/>
                <w:szCs w:val="21"/>
              </w:rPr>
              <w:t>平面位置扫描、体积扫描、扇形扫描、定点扫描、用户自定义</w:t>
            </w:r>
          </w:p>
        </w:tc>
      </w:tr>
      <w:tr>
        <w:tblPrEx>
          <w:tblW w:w="0" w:type="auto"/>
          <w:jc w:val="center"/>
          <w:tblLayout w:type="fixed"/>
          <w:tblCellMar>
            <w:top w:w="0" w:type="dxa"/>
            <w:left w:w="108" w:type="dxa"/>
            <w:bottom w:w="0" w:type="dxa"/>
            <w:right w:w="108" w:type="dxa"/>
          </w:tblCellMar>
        </w:tblPrEx>
        <w:trPr>
          <w:trHeight w:val="160"/>
          <w:jc w:val="center"/>
        </w:trPr>
        <w:tc>
          <w:tcPr>
            <w:tcW w:w="2151" w:type="dxa"/>
            <w:vMerge w:val="restart"/>
            <w:vAlign w:val="center"/>
          </w:tcPr>
          <w:p>
            <w:pPr>
              <w:spacing w:line="360" w:lineRule="auto"/>
              <w:rPr>
                <w:rFonts w:ascii="宋体" w:hAnsi="宋体"/>
                <w:szCs w:val="21"/>
              </w:rPr>
            </w:pPr>
            <w:r>
              <w:rPr>
                <w:rFonts w:ascii="宋体" w:hAnsi="宋体" w:hint="eastAsia"/>
                <w:szCs w:val="21"/>
              </w:rPr>
              <w:t>波束扫描范围</w:t>
            </w:r>
          </w:p>
        </w:tc>
        <w:tc>
          <w:tcPr>
            <w:tcW w:w="1672" w:type="dxa"/>
            <w:vAlign w:val="center"/>
          </w:tcPr>
          <w:p>
            <w:pPr>
              <w:spacing w:line="360" w:lineRule="auto"/>
              <w:rPr>
                <w:rFonts w:ascii="宋体" w:hAnsi="宋体"/>
                <w:szCs w:val="21"/>
              </w:rPr>
            </w:pPr>
            <w:r>
              <w:rPr>
                <w:rFonts w:ascii="宋体" w:hAnsi="宋体" w:hint="eastAsia"/>
                <w:szCs w:val="21"/>
              </w:rPr>
              <w:t>方位机械扫描</w:t>
            </w:r>
          </w:p>
        </w:tc>
        <w:tc>
          <w:tcPr>
            <w:tcW w:w="4457" w:type="dxa"/>
            <w:vAlign w:val="center"/>
          </w:tcPr>
          <w:p>
            <w:pPr>
              <w:spacing w:line="360" w:lineRule="auto"/>
              <w:rPr>
                <w:rFonts w:ascii="宋体" w:hAnsi="宋体"/>
                <w:szCs w:val="21"/>
              </w:rPr>
            </w:pPr>
            <w:r>
              <w:rPr>
                <w:rFonts w:ascii="宋体" w:hAnsi="宋体" w:hint="eastAsia"/>
                <w:szCs w:val="21"/>
              </w:rPr>
              <w:t>0～360°连续扫描</w:t>
            </w:r>
          </w:p>
        </w:tc>
      </w:tr>
      <w:tr>
        <w:tblPrEx>
          <w:tblW w:w="0" w:type="auto"/>
          <w:jc w:val="center"/>
          <w:tblLayout w:type="fixed"/>
          <w:tblCellMar>
            <w:top w:w="0" w:type="dxa"/>
            <w:left w:w="108" w:type="dxa"/>
            <w:bottom w:w="0" w:type="dxa"/>
            <w:right w:w="108" w:type="dxa"/>
          </w:tblCellMar>
        </w:tblPrEx>
        <w:trPr>
          <w:trHeight w:val="160"/>
          <w:jc w:val="center"/>
        </w:trPr>
        <w:tc>
          <w:tcPr>
            <w:tcW w:w="2151" w:type="dxa"/>
            <w:vMerge/>
            <w:vAlign w:val="center"/>
          </w:tcPr>
          <w:p>
            <w:pPr>
              <w:spacing w:line="360" w:lineRule="auto"/>
              <w:rPr>
                <w:rFonts w:ascii="宋体" w:hAnsi="宋体"/>
                <w:szCs w:val="21"/>
              </w:rPr>
            </w:pPr>
          </w:p>
        </w:tc>
        <w:tc>
          <w:tcPr>
            <w:tcW w:w="1672" w:type="dxa"/>
            <w:vAlign w:val="center"/>
          </w:tcPr>
          <w:p>
            <w:pPr>
              <w:spacing w:line="360" w:lineRule="auto"/>
              <w:rPr>
                <w:rFonts w:ascii="宋体" w:hAnsi="宋体"/>
                <w:szCs w:val="21"/>
              </w:rPr>
            </w:pPr>
            <w:r>
              <w:rPr>
                <w:rFonts w:ascii="宋体" w:hAnsi="宋体" w:hint="eastAsia"/>
                <w:szCs w:val="21"/>
              </w:rPr>
              <w:t>俯仰电子扫描</w:t>
            </w:r>
          </w:p>
        </w:tc>
        <w:tc>
          <w:tcPr>
            <w:tcW w:w="4457" w:type="dxa"/>
            <w:vAlign w:val="center"/>
          </w:tcPr>
          <w:p>
            <w:pPr>
              <w:spacing w:line="360" w:lineRule="auto"/>
              <w:rPr>
                <w:rFonts w:ascii="宋体" w:hAnsi="宋体"/>
                <w:szCs w:val="21"/>
              </w:rPr>
            </w:pPr>
            <w:r>
              <w:rPr>
                <w:rFonts w:ascii="宋体" w:hAnsi="宋体" w:hint="eastAsia"/>
                <w:szCs w:val="21"/>
              </w:rPr>
              <w:t>-2～+60°</w:t>
            </w:r>
          </w:p>
        </w:tc>
      </w:tr>
      <w:tr>
        <w:tblPrEx>
          <w:tblW w:w="0" w:type="auto"/>
          <w:jc w:val="center"/>
          <w:tblLayout w:type="fixed"/>
          <w:tblCellMar>
            <w:top w:w="0" w:type="dxa"/>
            <w:left w:w="108" w:type="dxa"/>
            <w:bottom w:w="0" w:type="dxa"/>
            <w:right w:w="108" w:type="dxa"/>
          </w:tblCellMar>
        </w:tblPrEx>
        <w:trPr>
          <w:trHeight w:val="160"/>
          <w:jc w:val="center"/>
        </w:trPr>
        <w:tc>
          <w:tcPr>
            <w:tcW w:w="2151" w:type="dxa"/>
            <w:vMerge/>
            <w:vAlign w:val="center"/>
          </w:tcPr>
          <w:p>
            <w:pPr>
              <w:spacing w:line="360" w:lineRule="auto"/>
              <w:rPr>
                <w:rFonts w:ascii="宋体" w:hAnsi="宋体"/>
                <w:szCs w:val="21"/>
              </w:rPr>
            </w:pPr>
          </w:p>
        </w:tc>
        <w:tc>
          <w:tcPr>
            <w:tcW w:w="1672" w:type="dxa"/>
            <w:vAlign w:val="center"/>
          </w:tcPr>
          <w:p>
            <w:pPr>
              <w:spacing w:line="360" w:lineRule="auto"/>
              <w:rPr>
                <w:rFonts w:ascii="宋体" w:hAnsi="宋体"/>
                <w:szCs w:val="21"/>
              </w:rPr>
            </w:pPr>
            <w:r>
              <w:rPr>
                <w:rFonts w:ascii="宋体" w:hAnsi="宋体" w:hint="eastAsia"/>
                <w:szCs w:val="21"/>
              </w:rPr>
              <w:t>俯仰机械调整</w:t>
            </w:r>
          </w:p>
        </w:tc>
        <w:tc>
          <w:tcPr>
            <w:tcW w:w="4457" w:type="dxa"/>
            <w:vAlign w:val="center"/>
          </w:tcPr>
          <w:p>
            <w:pPr>
              <w:spacing w:line="360" w:lineRule="auto"/>
              <w:rPr>
                <w:rFonts w:ascii="宋体" w:hAnsi="宋体"/>
                <w:szCs w:val="21"/>
              </w:rPr>
            </w:pPr>
            <w:r>
              <w:rPr>
                <w:rFonts w:ascii="宋体" w:hAnsi="宋体" w:hint="eastAsia"/>
                <w:szCs w:val="21"/>
              </w:rPr>
              <w:t>天线阵面法向0～+90°</w:t>
            </w:r>
          </w:p>
        </w:tc>
      </w:tr>
      <w:tr>
        <w:tblPrEx>
          <w:tblW w:w="0" w:type="auto"/>
          <w:jc w:val="center"/>
          <w:tblLayout w:type="fixed"/>
          <w:tblCellMar>
            <w:top w:w="0" w:type="dxa"/>
            <w:left w:w="108" w:type="dxa"/>
            <w:bottom w:w="0" w:type="dxa"/>
            <w:right w:w="108" w:type="dxa"/>
          </w:tblCellMar>
        </w:tblPrEx>
        <w:trPr>
          <w:trHeight w:val="315"/>
          <w:jc w:val="center"/>
        </w:trPr>
        <w:tc>
          <w:tcPr>
            <w:tcW w:w="2151" w:type="dxa"/>
            <w:vAlign w:val="center"/>
          </w:tcPr>
          <w:p>
            <w:pPr>
              <w:spacing w:line="360" w:lineRule="auto"/>
              <w:rPr>
                <w:rFonts w:ascii="宋体" w:hAnsi="宋体"/>
                <w:szCs w:val="21"/>
              </w:rPr>
            </w:pPr>
            <w:r>
              <w:rPr>
                <w:rFonts w:ascii="宋体" w:hAnsi="宋体" w:hint="eastAsia"/>
                <w:szCs w:val="21"/>
              </w:rPr>
              <w:t>天线阵面扫描速度</w:t>
            </w:r>
          </w:p>
        </w:tc>
        <w:tc>
          <w:tcPr>
            <w:tcW w:w="1672" w:type="dxa"/>
            <w:vAlign w:val="center"/>
          </w:tcPr>
          <w:p>
            <w:pPr>
              <w:spacing w:line="360" w:lineRule="auto"/>
              <w:rPr>
                <w:rFonts w:ascii="宋体" w:hAnsi="宋体"/>
                <w:szCs w:val="21"/>
              </w:rPr>
            </w:pPr>
            <w:r>
              <w:rPr>
                <w:rFonts w:ascii="宋体" w:hAnsi="宋体" w:hint="eastAsia"/>
                <w:szCs w:val="21"/>
              </w:rPr>
              <w:t>方位</w:t>
            </w:r>
          </w:p>
        </w:tc>
        <w:tc>
          <w:tcPr>
            <w:tcW w:w="4457" w:type="dxa"/>
            <w:vAlign w:val="center"/>
          </w:tcPr>
          <w:p>
            <w:pPr>
              <w:spacing w:line="360" w:lineRule="auto"/>
              <w:rPr>
                <w:rFonts w:ascii="宋体" w:hAnsi="宋体"/>
                <w:szCs w:val="21"/>
              </w:rPr>
            </w:pPr>
            <w:r>
              <w:rPr>
                <w:rFonts w:ascii="宋体" w:hAnsi="宋体" w:hint="eastAsia"/>
                <w:szCs w:val="21"/>
              </w:rPr>
              <w:t>0～36°/s，≥6°/s时误差不大于5%</w:t>
            </w:r>
          </w:p>
        </w:tc>
      </w:tr>
      <w:tr>
        <w:tblPrEx>
          <w:tblW w:w="0" w:type="auto"/>
          <w:jc w:val="center"/>
          <w:tblLayout w:type="fixed"/>
          <w:tblCellMar>
            <w:top w:w="0" w:type="dxa"/>
            <w:left w:w="108" w:type="dxa"/>
            <w:bottom w:w="0" w:type="dxa"/>
            <w:right w:w="108" w:type="dxa"/>
          </w:tblCellMar>
        </w:tblPrEx>
        <w:trPr>
          <w:trHeight w:val="305"/>
          <w:jc w:val="center"/>
        </w:trPr>
        <w:tc>
          <w:tcPr>
            <w:tcW w:w="2151" w:type="dxa"/>
            <w:vMerge w:val="restart"/>
            <w:vAlign w:val="center"/>
          </w:tcPr>
          <w:p>
            <w:pPr>
              <w:spacing w:line="360" w:lineRule="auto"/>
              <w:rPr>
                <w:rFonts w:ascii="宋体" w:hAnsi="宋体"/>
                <w:szCs w:val="21"/>
              </w:rPr>
            </w:pPr>
            <w:r>
              <w:rPr>
                <w:rFonts w:ascii="宋体" w:hAnsi="宋体" w:hint="eastAsia"/>
                <w:szCs w:val="21"/>
              </w:rPr>
              <w:t>波束指向误差</w:t>
            </w:r>
          </w:p>
        </w:tc>
        <w:tc>
          <w:tcPr>
            <w:tcW w:w="1672" w:type="dxa"/>
            <w:vAlign w:val="center"/>
          </w:tcPr>
          <w:p>
            <w:pPr>
              <w:spacing w:line="360" w:lineRule="auto"/>
              <w:rPr>
                <w:rFonts w:ascii="宋体" w:hAnsi="宋体"/>
                <w:szCs w:val="21"/>
              </w:rPr>
            </w:pPr>
            <w:r>
              <w:rPr>
                <w:rFonts w:ascii="宋体" w:hAnsi="宋体" w:hint="eastAsia"/>
                <w:szCs w:val="21"/>
              </w:rPr>
              <w:t>方位</w:t>
            </w:r>
          </w:p>
        </w:tc>
        <w:tc>
          <w:tcPr>
            <w:tcW w:w="4457" w:type="dxa"/>
            <w:vAlign w:val="center"/>
          </w:tcPr>
          <w:p>
            <w:pPr>
              <w:spacing w:line="360" w:lineRule="auto"/>
              <w:rPr>
                <w:rFonts w:ascii="宋体" w:hAnsi="宋体"/>
                <w:szCs w:val="21"/>
              </w:rPr>
            </w:pPr>
            <w:r>
              <w:rPr>
                <w:rFonts w:ascii="宋体" w:hAnsi="宋体" w:hint="eastAsia"/>
                <w:szCs w:val="21"/>
              </w:rPr>
              <w:t>≤0.05°</w:t>
            </w:r>
          </w:p>
        </w:tc>
      </w:tr>
      <w:tr>
        <w:tblPrEx>
          <w:tblW w:w="0" w:type="auto"/>
          <w:jc w:val="center"/>
          <w:tblLayout w:type="fixed"/>
          <w:tblCellMar>
            <w:top w:w="0" w:type="dxa"/>
            <w:left w:w="108" w:type="dxa"/>
            <w:bottom w:w="0" w:type="dxa"/>
            <w:right w:w="108" w:type="dxa"/>
          </w:tblCellMar>
        </w:tblPrEx>
        <w:trPr>
          <w:trHeight w:val="256"/>
          <w:jc w:val="center"/>
        </w:trPr>
        <w:tc>
          <w:tcPr>
            <w:tcW w:w="2151" w:type="dxa"/>
            <w:vMerge/>
            <w:vAlign w:val="center"/>
          </w:tcPr>
          <w:p>
            <w:pPr>
              <w:spacing w:line="360" w:lineRule="auto"/>
              <w:rPr>
                <w:rFonts w:ascii="宋体" w:hAnsi="宋体"/>
                <w:szCs w:val="21"/>
              </w:rPr>
            </w:pPr>
          </w:p>
        </w:tc>
        <w:tc>
          <w:tcPr>
            <w:tcW w:w="1672" w:type="dxa"/>
            <w:vAlign w:val="center"/>
          </w:tcPr>
          <w:p>
            <w:pPr>
              <w:spacing w:line="360" w:lineRule="auto"/>
              <w:rPr>
                <w:rFonts w:ascii="宋体" w:hAnsi="宋体"/>
                <w:szCs w:val="21"/>
              </w:rPr>
            </w:pPr>
            <w:r>
              <w:rPr>
                <w:rFonts w:ascii="宋体" w:hAnsi="宋体" w:hint="eastAsia"/>
                <w:szCs w:val="21"/>
              </w:rPr>
              <w:t>俯仰</w:t>
            </w:r>
          </w:p>
        </w:tc>
        <w:tc>
          <w:tcPr>
            <w:tcW w:w="4457" w:type="dxa"/>
            <w:vAlign w:val="center"/>
          </w:tcPr>
          <w:p>
            <w:pPr>
              <w:spacing w:line="360" w:lineRule="auto"/>
              <w:rPr>
                <w:rFonts w:ascii="宋体" w:hAnsi="宋体"/>
                <w:szCs w:val="21"/>
              </w:rPr>
            </w:pPr>
            <w:r>
              <w:rPr>
                <w:rFonts w:ascii="宋体" w:hAnsi="宋体" w:hint="eastAsia"/>
                <w:szCs w:val="21"/>
              </w:rPr>
              <w:t>≤0.05°</w:t>
            </w:r>
          </w:p>
        </w:tc>
      </w:tr>
      <w:tr>
        <w:tblPrEx>
          <w:tblW w:w="0" w:type="auto"/>
          <w:jc w:val="center"/>
          <w:tblLayout w:type="fixed"/>
          <w:tblCellMar>
            <w:top w:w="0" w:type="dxa"/>
            <w:left w:w="108" w:type="dxa"/>
            <w:bottom w:w="0" w:type="dxa"/>
            <w:right w:w="108" w:type="dxa"/>
          </w:tblCellMar>
        </w:tblPrEx>
        <w:trPr>
          <w:trHeight w:val="288"/>
          <w:jc w:val="center"/>
        </w:trPr>
        <w:tc>
          <w:tcPr>
            <w:tcW w:w="2151" w:type="dxa"/>
            <w:vAlign w:val="center"/>
          </w:tcPr>
          <w:p>
            <w:pPr>
              <w:spacing w:line="360" w:lineRule="auto"/>
              <w:rPr>
                <w:rFonts w:ascii="宋体" w:hAnsi="宋体"/>
                <w:szCs w:val="21"/>
              </w:rPr>
            </w:pPr>
            <w:r>
              <w:rPr>
                <w:rFonts w:ascii="宋体" w:hAnsi="宋体" w:hint="eastAsia"/>
                <w:szCs w:val="21"/>
              </w:rPr>
              <w:t>伺服控制误差</w:t>
            </w:r>
          </w:p>
        </w:tc>
        <w:tc>
          <w:tcPr>
            <w:tcW w:w="1672" w:type="dxa"/>
            <w:vAlign w:val="center"/>
          </w:tcPr>
          <w:p>
            <w:pPr>
              <w:spacing w:line="360" w:lineRule="auto"/>
              <w:rPr>
                <w:rFonts w:ascii="宋体" w:hAnsi="宋体"/>
                <w:szCs w:val="21"/>
              </w:rPr>
            </w:pPr>
            <w:r>
              <w:rPr>
                <w:rFonts w:ascii="宋体" w:hAnsi="宋体" w:hint="eastAsia"/>
                <w:szCs w:val="21"/>
              </w:rPr>
              <w:t>方位</w:t>
            </w:r>
          </w:p>
        </w:tc>
        <w:tc>
          <w:tcPr>
            <w:tcW w:w="4457" w:type="dxa"/>
            <w:vAlign w:val="center"/>
          </w:tcPr>
          <w:p>
            <w:pPr>
              <w:spacing w:line="360" w:lineRule="auto"/>
              <w:rPr>
                <w:rFonts w:ascii="宋体" w:hAnsi="宋体"/>
                <w:szCs w:val="21"/>
              </w:rPr>
            </w:pPr>
            <w:r>
              <w:rPr>
                <w:rFonts w:ascii="宋体" w:hAnsi="宋体" w:hint="eastAsia"/>
                <w:szCs w:val="21"/>
              </w:rPr>
              <w:t>≤0.05°</w:t>
            </w:r>
          </w:p>
        </w:tc>
      </w:tr>
      <w:tr>
        <w:tblPrEx>
          <w:tblW w:w="0" w:type="auto"/>
          <w:jc w:val="center"/>
          <w:tblLayout w:type="fixed"/>
          <w:tblCellMar>
            <w:top w:w="0" w:type="dxa"/>
            <w:left w:w="108" w:type="dxa"/>
            <w:bottom w:w="0" w:type="dxa"/>
            <w:right w:w="108" w:type="dxa"/>
          </w:tblCellMar>
        </w:tblPrEx>
        <w:trPr>
          <w:trHeight w:val="288"/>
          <w:jc w:val="center"/>
        </w:trPr>
        <w:tc>
          <w:tcPr>
            <w:tcW w:w="3823" w:type="dxa"/>
            <w:gridSpan w:val="2"/>
            <w:vAlign w:val="center"/>
          </w:tcPr>
          <w:p>
            <w:pPr>
              <w:spacing w:line="360" w:lineRule="auto"/>
              <w:rPr>
                <w:rFonts w:ascii="宋体" w:hAnsi="宋体"/>
                <w:szCs w:val="21"/>
              </w:rPr>
            </w:pPr>
            <w:r>
              <w:rPr>
                <w:rFonts w:ascii="宋体" w:hAnsi="宋体" w:hint="eastAsia"/>
                <w:szCs w:val="21"/>
              </w:rPr>
              <w:t>天线座水平度</w:t>
            </w:r>
          </w:p>
        </w:tc>
        <w:tc>
          <w:tcPr>
            <w:tcW w:w="4457" w:type="dxa"/>
            <w:vAlign w:val="center"/>
          </w:tcPr>
          <w:p>
            <w:pPr>
              <w:spacing w:line="360" w:lineRule="auto"/>
              <w:rPr>
                <w:rFonts w:ascii="宋体" w:hAnsi="宋体"/>
                <w:szCs w:val="21"/>
              </w:rPr>
            </w:pPr>
            <w:r>
              <w:rPr>
                <w:rFonts w:ascii="宋体" w:hAnsi="宋体" w:hint="eastAsia"/>
                <w:szCs w:val="21"/>
              </w:rPr>
              <w:t>≤30″</w:t>
            </w:r>
          </w:p>
        </w:tc>
      </w:tr>
      <w:tr>
        <w:tblPrEx>
          <w:tblW w:w="0" w:type="auto"/>
          <w:jc w:val="center"/>
          <w:tblLayout w:type="fixed"/>
          <w:tblCellMar>
            <w:top w:w="0" w:type="dxa"/>
            <w:left w:w="108" w:type="dxa"/>
            <w:bottom w:w="0" w:type="dxa"/>
            <w:right w:w="108" w:type="dxa"/>
          </w:tblCellMar>
        </w:tblPrEx>
        <w:trPr>
          <w:trHeight w:val="160"/>
          <w:jc w:val="center"/>
        </w:trPr>
        <w:tc>
          <w:tcPr>
            <w:tcW w:w="3823" w:type="dxa"/>
            <w:gridSpan w:val="2"/>
            <w:vAlign w:val="center"/>
          </w:tcPr>
          <w:p>
            <w:pPr>
              <w:spacing w:line="360" w:lineRule="auto"/>
              <w:rPr>
                <w:rFonts w:ascii="宋体" w:hAnsi="宋体"/>
                <w:szCs w:val="21"/>
              </w:rPr>
            </w:pPr>
            <w:r>
              <w:rPr>
                <w:rFonts w:ascii="宋体" w:hAnsi="宋体" w:hint="eastAsia"/>
                <w:szCs w:val="21"/>
              </w:rPr>
              <w:t>天线阵面控制字长</w:t>
            </w:r>
          </w:p>
        </w:tc>
        <w:tc>
          <w:tcPr>
            <w:tcW w:w="4457" w:type="dxa"/>
            <w:vAlign w:val="center"/>
          </w:tcPr>
          <w:p>
            <w:pPr>
              <w:spacing w:line="360" w:lineRule="auto"/>
              <w:rPr>
                <w:rFonts w:ascii="宋体" w:hAnsi="宋体"/>
                <w:szCs w:val="21"/>
              </w:rPr>
            </w:pPr>
            <w:r>
              <w:rPr>
                <w:rFonts w:ascii="宋体" w:hAnsi="宋体" w:hint="eastAsia"/>
                <w:szCs w:val="21"/>
              </w:rPr>
              <w:t>≥16位</w:t>
            </w:r>
          </w:p>
        </w:tc>
      </w:tr>
      <w:tr>
        <w:tblPrEx>
          <w:tblW w:w="0" w:type="auto"/>
          <w:jc w:val="center"/>
          <w:tblLayout w:type="fixed"/>
          <w:tblCellMar>
            <w:top w:w="0" w:type="dxa"/>
            <w:left w:w="108" w:type="dxa"/>
            <w:bottom w:w="0" w:type="dxa"/>
            <w:right w:w="108" w:type="dxa"/>
          </w:tblCellMar>
        </w:tblPrEx>
        <w:trPr>
          <w:trHeight w:val="160"/>
          <w:jc w:val="center"/>
        </w:trPr>
        <w:tc>
          <w:tcPr>
            <w:tcW w:w="3823" w:type="dxa"/>
            <w:gridSpan w:val="2"/>
            <w:vAlign w:val="center"/>
          </w:tcPr>
          <w:p>
            <w:pPr>
              <w:spacing w:line="360" w:lineRule="auto"/>
              <w:rPr>
                <w:rFonts w:ascii="宋体" w:hAnsi="宋体"/>
                <w:szCs w:val="21"/>
              </w:rPr>
            </w:pPr>
            <w:r>
              <w:rPr>
                <w:rFonts w:ascii="宋体" w:hAnsi="宋体" w:hint="eastAsia"/>
                <w:szCs w:val="21"/>
              </w:rPr>
              <w:t>角度编码器字长</w:t>
            </w:r>
          </w:p>
        </w:tc>
        <w:tc>
          <w:tcPr>
            <w:tcW w:w="4457" w:type="dxa"/>
            <w:vAlign w:val="center"/>
          </w:tcPr>
          <w:p>
            <w:pPr>
              <w:spacing w:line="360" w:lineRule="auto"/>
              <w:rPr>
                <w:rFonts w:ascii="宋体" w:hAnsi="宋体"/>
                <w:szCs w:val="21"/>
              </w:rPr>
            </w:pPr>
            <w:r>
              <w:rPr>
                <w:rFonts w:ascii="宋体" w:hAnsi="宋体" w:hint="eastAsia"/>
                <w:szCs w:val="21"/>
              </w:rPr>
              <w:t>≥16位</w:t>
            </w:r>
          </w:p>
        </w:tc>
      </w:tr>
      <w:tr>
        <w:tblPrEx>
          <w:tblW w:w="0" w:type="auto"/>
          <w:jc w:val="center"/>
          <w:tblLayout w:type="fixed"/>
          <w:tblCellMar>
            <w:top w:w="0" w:type="dxa"/>
            <w:left w:w="108" w:type="dxa"/>
            <w:bottom w:w="0" w:type="dxa"/>
            <w:right w:w="108" w:type="dxa"/>
          </w:tblCellMar>
        </w:tblPrEx>
        <w:trPr>
          <w:trHeight w:val="160"/>
          <w:jc w:val="center"/>
        </w:trPr>
        <w:tc>
          <w:tcPr>
            <w:tcW w:w="3823" w:type="dxa"/>
            <w:gridSpan w:val="2"/>
            <w:vAlign w:val="center"/>
          </w:tcPr>
          <w:p>
            <w:pPr>
              <w:spacing w:line="360" w:lineRule="auto"/>
              <w:rPr>
                <w:rFonts w:ascii="宋体" w:hAnsi="宋体"/>
                <w:szCs w:val="21"/>
              </w:rPr>
            </w:pPr>
            <w:r>
              <w:rPr>
                <w:rFonts w:ascii="宋体" w:hAnsi="宋体" w:hint="eastAsia"/>
                <w:szCs w:val="21"/>
              </w:rPr>
              <w:t>安全与保护</w:t>
            </w:r>
          </w:p>
        </w:tc>
        <w:tc>
          <w:tcPr>
            <w:tcW w:w="4457" w:type="dxa"/>
            <w:vAlign w:val="center"/>
          </w:tcPr>
          <w:p>
            <w:pPr>
              <w:spacing w:line="360" w:lineRule="auto"/>
              <w:rPr>
                <w:rFonts w:ascii="宋体" w:hAnsi="宋体"/>
                <w:szCs w:val="21"/>
              </w:rPr>
            </w:pPr>
            <w:r>
              <w:rPr>
                <w:rFonts w:ascii="宋体" w:hAnsi="宋体" w:hint="eastAsia"/>
                <w:szCs w:val="21"/>
              </w:rPr>
              <w:t>天线阵面应设有辅助支撑锁定机构，以保证其在运输架设时的安全性和稳定性。天线阵面的方位和俯仰运转系统中应具有安全保护措施并具备锁定功能。</w:t>
            </w:r>
          </w:p>
        </w:tc>
      </w:tr>
    </w:tbl>
    <w:p>
      <w:pPr>
        <w:spacing w:line="360" w:lineRule="auto"/>
        <w:rPr>
          <w:rFonts w:ascii="宋体" w:hAnsi="宋体"/>
          <w:b/>
          <w:szCs w:val="21"/>
        </w:rPr>
      </w:pPr>
      <w:r>
        <w:rPr>
          <w:rFonts w:ascii="宋体" w:hAnsi="宋体" w:hint="eastAsia"/>
          <w:b/>
          <w:bCs/>
          <w:szCs w:val="21"/>
        </w:rPr>
        <w:t>1.12.</w:t>
      </w:r>
      <w:r>
        <w:rPr>
          <w:rFonts w:ascii="宋体" w:hAnsi="宋体" w:hint="eastAsia"/>
          <w:b/>
          <w:szCs w:val="21"/>
        </w:rPr>
        <w:t>5.数字收发单元</w:t>
      </w:r>
    </w:p>
    <w:p>
      <w:pPr>
        <w:spacing w:line="360" w:lineRule="auto"/>
        <w:rPr>
          <w:rFonts w:ascii="宋体" w:hAnsi="宋体"/>
          <w:b/>
          <w:szCs w:val="21"/>
        </w:rPr>
      </w:pPr>
      <w:r>
        <w:rPr>
          <w:rFonts w:ascii="宋体" w:hAnsi="宋体" w:hint="eastAsia"/>
          <w:b/>
          <w:bCs/>
          <w:szCs w:val="21"/>
        </w:rPr>
        <w:t>1.12.</w:t>
      </w:r>
      <w:r>
        <w:rPr>
          <w:rFonts w:ascii="宋体" w:hAnsi="宋体" w:hint="eastAsia"/>
          <w:b/>
          <w:szCs w:val="21"/>
        </w:rPr>
        <w:t>5.1发射单元</w:t>
      </w:r>
    </w:p>
    <w:p>
      <w:pPr>
        <w:spacing w:line="360" w:lineRule="auto"/>
        <w:rPr>
          <w:rFonts w:ascii="宋体" w:hAnsi="宋体"/>
          <w:szCs w:val="21"/>
        </w:rPr>
      </w:pPr>
      <w:r>
        <w:rPr>
          <w:rFonts w:ascii="宋体" w:hAnsi="宋体" w:hint="eastAsia"/>
          <w:szCs w:val="21"/>
        </w:rPr>
        <w:t>雷达采用分布式发射结构，每一个发射单元与对应天线单元相连接，通过有源方式在空间进行功率合成。雷达发射单元主要由上变频链路、功率放大器、收发开关、电源、故障检测及保护电路组成，用于产生雷达系统所需要的大功率射频信号。</w:t>
      </w:r>
    </w:p>
    <w:p>
      <w:pPr>
        <w:spacing w:line="360" w:lineRule="auto"/>
        <w:rPr>
          <w:rFonts w:ascii="宋体" w:hAnsi="宋体"/>
          <w:szCs w:val="21"/>
        </w:rPr>
      </w:pPr>
      <w:r>
        <w:rPr>
          <w:rFonts w:ascii="宋体" w:hAnsi="宋体" w:hint="eastAsia"/>
          <w:szCs w:val="21"/>
        </w:rPr>
        <w:t>雷达发射单元采用全固态放大链功率合成的方式，将激励信号通过功率放大后，输出大功率微波信号。分布式发射单元输出的微波功率信号送入天线的每一个辐射单元，由天线向空间辐射；接收雷达监控单元的控制指令，完成对发射单元的各种控制，并向监控单元反馈发射单元的工作状态和故障信息。具体指标见下表。</w:t>
      </w:r>
    </w:p>
    <w:p>
      <w:pPr>
        <w:spacing w:line="360" w:lineRule="auto"/>
        <w:rPr>
          <w:rFonts w:ascii="宋体" w:hAnsi="宋体"/>
          <w:szCs w:val="21"/>
          <w:lang w:bidi="en-US"/>
        </w:rPr>
      </w:pPr>
      <w:r>
        <w:rPr>
          <w:rFonts w:ascii="宋体" w:hAnsi="宋体" w:hint="eastAsia"/>
          <w:szCs w:val="21"/>
          <w:lang w:bidi="en-US"/>
        </w:rPr>
        <w:t>表4 发射单元技术性能指标表</w:t>
      </w:r>
    </w:p>
    <w:tbl>
      <w:tblPr>
        <w:tblStyle w:val="TableNormal"/>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012"/>
        <w:gridCol w:w="1385"/>
        <w:gridCol w:w="4962"/>
      </w:tblGrid>
      <w:tr>
        <w:tblPrEx>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25"/>
          <w:jc w:val="center"/>
        </w:trPr>
        <w:tc>
          <w:tcPr>
            <w:tcW w:w="3397" w:type="dxa"/>
            <w:gridSpan w:val="2"/>
            <w:vAlign w:val="center"/>
          </w:tcPr>
          <w:p>
            <w:pPr>
              <w:spacing w:line="360" w:lineRule="auto"/>
              <w:rPr>
                <w:rFonts w:ascii="宋体" w:hAnsi="宋体"/>
                <w:szCs w:val="21"/>
              </w:rPr>
            </w:pPr>
            <w:r>
              <w:rPr>
                <w:rFonts w:ascii="宋体" w:hAnsi="宋体" w:hint="eastAsia"/>
                <w:szCs w:val="21"/>
              </w:rPr>
              <w:t>项目</w:t>
            </w:r>
          </w:p>
        </w:tc>
        <w:tc>
          <w:tcPr>
            <w:tcW w:w="4962" w:type="dxa"/>
          </w:tcPr>
          <w:p>
            <w:pPr>
              <w:spacing w:line="360" w:lineRule="auto"/>
              <w:rPr>
                <w:rFonts w:ascii="宋体" w:hAnsi="宋体"/>
                <w:szCs w:val="21"/>
              </w:rPr>
            </w:pPr>
            <w:r>
              <w:rPr>
                <w:rFonts w:ascii="宋体" w:hAnsi="宋体" w:hint="eastAsia"/>
                <w:szCs w:val="21"/>
              </w:rPr>
              <w:t>性能指标</w:t>
            </w:r>
          </w:p>
        </w:tc>
      </w:tr>
      <w:tr>
        <w:tblPrEx>
          <w:tblW w:w="8359" w:type="dxa"/>
          <w:jc w:val="center"/>
          <w:tblLayout w:type="fixed"/>
          <w:tblCellMar>
            <w:top w:w="0" w:type="dxa"/>
            <w:left w:w="108" w:type="dxa"/>
            <w:bottom w:w="0" w:type="dxa"/>
            <w:right w:w="108" w:type="dxa"/>
          </w:tblCellMar>
        </w:tblPrEx>
        <w:trPr>
          <w:trHeight w:val="634"/>
          <w:jc w:val="center"/>
        </w:trPr>
        <w:tc>
          <w:tcPr>
            <w:tcW w:w="3397" w:type="dxa"/>
            <w:gridSpan w:val="2"/>
            <w:vAlign w:val="center"/>
          </w:tcPr>
          <w:p>
            <w:pPr>
              <w:spacing w:line="360" w:lineRule="auto"/>
              <w:rPr>
                <w:rFonts w:ascii="宋体" w:hAnsi="宋体"/>
                <w:szCs w:val="21"/>
              </w:rPr>
            </w:pPr>
            <w:r>
              <w:rPr>
                <w:rFonts w:ascii="宋体" w:hAnsi="宋体" w:hint="eastAsia"/>
                <w:szCs w:val="21"/>
              </w:rPr>
              <w:t>发射通道形式</w:t>
            </w:r>
          </w:p>
        </w:tc>
        <w:tc>
          <w:tcPr>
            <w:tcW w:w="4962" w:type="dxa"/>
            <w:vAlign w:val="center"/>
          </w:tcPr>
          <w:p>
            <w:pPr>
              <w:spacing w:line="360" w:lineRule="auto"/>
              <w:rPr>
                <w:rFonts w:ascii="宋体" w:hAnsi="宋体"/>
                <w:szCs w:val="21"/>
              </w:rPr>
            </w:pPr>
            <w:r>
              <w:rPr>
                <w:rFonts w:ascii="宋体" w:hAnsi="宋体" w:hint="eastAsia"/>
                <w:szCs w:val="21"/>
              </w:rPr>
              <w:t>全固态分布式</w:t>
            </w:r>
          </w:p>
        </w:tc>
      </w:tr>
      <w:tr>
        <w:tblPrEx>
          <w:tblW w:w="8359" w:type="dxa"/>
          <w:jc w:val="center"/>
          <w:tblLayout w:type="fixed"/>
          <w:tblCellMar>
            <w:top w:w="0" w:type="dxa"/>
            <w:left w:w="108" w:type="dxa"/>
            <w:bottom w:w="0" w:type="dxa"/>
            <w:right w:w="108" w:type="dxa"/>
          </w:tblCellMar>
        </w:tblPrEx>
        <w:trPr>
          <w:trHeight w:val="634"/>
          <w:jc w:val="center"/>
        </w:trPr>
        <w:tc>
          <w:tcPr>
            <w:tcW w:w="3397" w:type="dxa"/>
            <w:gridSpan w:val="2"/>
            <w:vAlign w:val="center"/>
          </w:tcPr>
          <w:p>
            <w:pPr>
              <w:spacing w:line="360" w:lineRule="auto"/>
              <w:rPr>
                <w:rFonts w:ascii="宋体" w:hAnsi="宋体"/>
                <w:szCs w:val="21"/>
              </w:rPr>
            </w:pPr>
            <w:r>
              <w:rPr>
                <w:rFonts w:ascii="宋体" w:hAnsi="宋体" w:hint="eastAsia"/>
                <w:szCs w:val="21"/>
              </w:rPr>
              <w:t>脉冲峰值功率（单极化）</w:t>
            </w:r>
          </w:p>
        </w:tc>
        <w:tc>
          <w:tcPr>
            <w:tcW w:w="4962" w:type="dxa"/>
            <w:vAlign w:val="center"/>
          </w:tcPr>
          <w:p>
            <w:pPr>
              <w:spacing w:line="360" w:lineRule="auto"/>
              <w:rPr>
                <w:rFonts w:ascii="宋体" w:hAnsi="宋体"/>
                <w:szCs w:val="21"/>
              </w:rPr>
            </w:pPr>
            <w:r>
              <w:rPr>
                <w:rFonts w:ascii="宋体" w:hAnsi="宋体" w:hint="eastAsia"/>
                <w:szCs w:val="21"/>
              </w:rPr>
              <w:t>≥1000W</w:t>
            </w:r>
          </w:p>
        </w:tc>
      </w:tr>
      <w:tr>
        <w:tblPrEx>
          <w:tblW w:w="8359" w:type="dxa"/>
          <w:jc w:val="center"/>
          <w:tblLayout w:type="fixed"/>
          <w:tblCellMar>
            <w:top w:w="0" w:type="dxa"/>
            <w:left w:w="108" w:type="dxa"/>
            <w:bottom w:w="0" w:type="dxa"/>
            <w:right w:w="108" w:type="dxa"/>
          </w:tblCellMar>
        </w:tblPrEx>
        <w:trPr>
          <w:trHeight w:val="342"/>
          <w:jc w:val="center"/>
        </w:trPr>
        <w:tc>
          <w:tcPr>
            <w:tcW w:w="3397" w:type="dxa"/>
            <w:gridSpan w:val="2"/>
            <w:vAlign w:val="center"/>
          </w:tcPr>
          <w:p>
            <w:pPr>
              <w:spacing w:line="360" w:lineRule="auto"/>
              <w:rPr>
                <w:rFonts w:ascii="宋体" w:hAnsi="宋体"/>
                <w:szCs w:val="21"/>
              </w:rPr>
            </w:pPr>
            <w:r>
              <w:rPr>
                <w:rFonts w:ascii="宋体" w:hAnsi="宋体" w:hint="eastAsia"/>
                <w:szCs w:val="21"/>
              </w:rPr>
              <w:t>EIRP（法向、单极化）</w:t>
            </w:r>
          </w:p>
        </w:tc>
        <w:tc>
          <w:tcPr>
            <w:tcW w:w="4962" w:type="dxa"/>
            <w:vAlign w:val="center"/>
          </w:tcPr>
          <w:p>
            <w:pPr>
              <w:spacing w:line="360" w:lineRule="auto"/>
              <w:rPr>
                <w:rFonts w:ascii="宋体" w:hAnsi="宋体"/>
                <w:szCs w:val="21"/>
              </w:rPr>
            </w:pPr>
            <w:r>
              <w:rPr>
                <w:rFonts w:ascii="宋体" w:hAnsi="宋体" w:hint="eastAsia"/>
                <w:szCs w:val="21"/>
              </w:rPr>
              <w:t>≥96.5dBm</w:t>
            </w:r>
          </w:p>
        </w:tc>
      </w:tr>
      <w:tr>
        <w:tblPrEx>
          <w:tblW w:w="8359" w:type="dxa"/>
          <w:jc w:val="center"/>
          <w:tblLayout w:type="fixed"/>
          <w:tblCellMar>
            <w:top w:w="0" w:type="dxa"/>
            <w:left w:w="108" w:type="dxa"/>
            <w:bottom w:w="0" w:type="dxa"/>
            <w:right w:w="108" w:type="dxa"/>
          </w:tblCellMar>
        </w:tblPrEx>
        <w:trPr>
          <w:trHeight w:val="342"/>
          <w:jc w:val="center"/>
        </w:trPr>
        <w:tc>
          <w:tcPr>
            <w:tcW w:w="3397" w:type="dxa"/>
            <w:gridSpan w:val="2"/>
            <w:vAlign w:val="center"/>
          </w:tcPr>
          <w:p>
            <w:pPr>
              <w:spacing w:line="360" w:lineRule="auto"/>
              <w:rPr>
                <w:rFonts w:ascii="宋体" w:hAnsi="宋体"/>
                <w:szCs w:val="21"/>
              </w:rPr>
            </w:pPr>
            <w:r>
              <w:rPr>
                <w:rFonts w:ascii="宋体" w:hAnsi="宋体" w:hint="eastAsia"/>
                <w:szCs w:val="21"/>
              </w:rPr>
              <w:t>EIRP（±20°、单极化）</w:t>
            </w:r>
          </w:p>
        </w:tc>
        <w:tc>
          <w:tcPr>
            <w:tcW w:w="4962" w:type="dxa"/>
            <w:vAlign w:val="center"/>
          </w:tcPr>
          <w:p>
            <w:pPr>
              <w:spacing w:line="360" w:lineRule="auto"/>
              <w:rPr>
                <w:rFonts w:ascii="宋体" w:hAnsi="宋体"/>
                <w:szCs w:val="21"/>
              </w:rPr>
            </w:pPr>
            <w:r>
              <w:rPr>
                <w:rFonts w:ascii="宋体" w:hAnsi="宋体" w:hint="eastAsia"/>
                <w:szCs w:val="21"/>
              </w:rPr>
              <w:t>≥95.5dBm</w:t>
            </w:r>
          </w:p>
        </w:tc>
      </w:tr>
      <w:tr>
        <w:tblPrEx>
          <w:tblW w:w="8359" w:type="dxa"/>
          <w:jc w:val="center"/>
          <w:tblLayout w:type="fixed"/>
          <w:tblCellMar>
            <w:top w:w="0" w:type="dxa"/>
            <w:left w:w="108" w:type="dxa"/>
            <w:bottom w:w="0" w:type="dxa"/>
            <w:right w:w="108" w:type="dxa"/>
          </w:tblCellMar>
        </w:tblPrEx>
        <w:trPr>
          <w:trHeight w:val="342"/>
          <w:jc w:val="center"/>
        </w:trPr>
        <w:tc>
          <w:tcPr>
            <w:tcW w:w="3397" w:type="dxa"/>
            <w:gridSpan w:val="2"/>
            <w:vAlign w:val="center"/>
          </w:tcPr>
          <w:p>
            <w:pPr>
              <w:spacing w:line="360" w:lineRule="auto"/>
              <w:rPr>
                <w:rFonts w:ascii="宋体" w:hAnsi="宋体"/>
                <w:szCs w:val="21"/>
              </w:rPr>
            </w:pPr>
            <w:r>
              <w:rPr>
                <w:rFonts w:ascii="宋体" w:hAnsi="宋体" w:hint="eastAsia"/>
                <w:szCs w:val="21"/>
              </w:rPr>
              <w:t>EIRP（4倍波束展宽、单极化）</w:t>
            </w:r>
          </w:p>
        </w:tc>
        <w:tc>
          <w:tcPr>
            <w:tcW w:w="4962" w:type="dxa"/>
            <w:vAlign w:val="center"/>
          </w:tcPr>
          <w:p>
            <w:pPr>
              <w:spacing w:line="360" w:lineRule="auto"/>
              <w:rPr>
                <w:rFonts w:ascii="宋体" w:hAnsi="宋体"/>
                <w:szCs w:val="21"/>
              </w:rPr>
            </w:pPr>
            <w:r>
              <w:rPr>
                <w:rFonts w:ascii="宋体" w:hAnsi="宋体" w:hint="eastAsia"/>
                <w:szCs w:val="21"/>
              </w:rPr>
              <w:t>≥88.5dBm</w:t>
            </w:r>
          </w:p>
        </w:tc>
      </w:tr>
      <w:tr>
        <w:tblPrEx>
          <w:tblW w:w="8359" w:type="dxa"/>
          <w:jc w:val="center"/>
          <w:tblLayout w:type="fixed"/>
          <w:tblCellMar>
            <w:top w:w="0" w:type="dxa"/>
            <w:left w:w="108" w:type="dxa"/>
            <w:bottom w:w="0" w:type="dxa"/>
            <w:right w:w="108" w:type="dxa"/>
          </w:tblCellMar>
        </w:tblPrEx>
        <w:trPr>
          <w:trHeight w:val="342"/>
          <w:jc w:val="center"/>
        </w:trPr>
        <w:tc>
          <w:tcPr>
            <w:tcW w:w="3397" w:type="dxa"/>
            <w:gridSpan w:val="2"/>
            <w:vAlign w:val="center"/>
          </w:tcPr>
          <w:p>
            <w:pPr>
              <w:spacing w:line="360" w:lineRule="auto"/>
              <w:rPr>
                <w:rFonts w:ascii="宋体" w:hAnsi="宋体"/>
                <w:szCs w:val="21"/>
              </w:rPr>
            </w:pPr>
            <w:r>
              <w:rPr>
                <w:rFonts w:ascii="宋体" w:hAnsi="宋体" w:hint="eastAsia"/>
                <w:szCs w:val="21"/>
              </w:rPr>
              <w:t>EIRP（8倍波束展宽、单极化）</w:t>
            </w:r>
          </w:p>
        </w:tc>
        <w:tc>
          <w:tcPr>
            <w:tcW w:w="4962" w:type="dxa"/>
            <w:vAlign w:val="center"/>
          </w:tcPr>
          <w:p>
            <w:pPr>
              <w:spacing w:line="360" w:lineRule="auto"/>
              <w:rPr>
                <w:rFonts w:ascii="宋体" w:hAnsi="宋体"/>
                <w:szCs w:val="21"/>
              </w:rPr>
            </w:pPr>
            <w:r>
              <w:rPr>
                <w:rFonts w:ascii="宋体" w:hAnsi="宋体" w:hint="eastAsia"/>
                <w:szCs w:val="21"/>
              </w:rPr>
              <w:t>≥85.5dBm</w:t>
            </w:r>
          </w:p>
        </w:tc>
      </w:tr>
      <w:tr>
        <w:tblPrEx>
          <w:tblW w:w="8359" w:type="dxa"/>
          <w:jc w:val="center"/>
          <w:tblLayout w:type="fixed"/>
          <w:tblCellMar>
            <w:top w:w="0" w:type="dxa"/>
            <w:left w:w="108" w:type="dxa"/>
            <w:bottom w:w="0" w:type="dxa"/>
            <w:right w:w="108" w:type="dxa"/>
          </w:tblCellMar>
        </w:tblPrEx>
        <w:trPr>
          <w:trHeight w:val="342"/>
          <w:jc w:val="center"/>
        </w:trPr>
        <w:tc>
          <w:tcPr>
            <w:tcW w:w="3397" w:type="dxa"/>
            <w:gridSpan w:val="2"/>
            <w:vAlign w:val="center"/>
          </w:tcPr>
          <w:p>
            <w:pPr>
              <w:spacing w:line="360" w:lineRule="auto"/>
              <w:rPr>
                <w:rFonts w:ascii="宋体" w:hAnsi="宋体"/>
                <w:szCs w:val="21"/>
              </w:rPr>
            </w:pPr>
            <w:r>
              <w:rPr>
                <w:rFonts w:ascii="宋体" w:hAnsi="宋体" w:hint="eastAsia"/>
                <w:szCs w:val="21"/>
              </w:rPr>
              <w:t>校准后EIRP偏差</w:t>
            </w:r>
          </w:p>
        </w:tc>
        <w:tc>
          <w:tcPr>
            <w:tcW w:w="4962" w:type="dxa"/>
            <w:vAlign w:val="center"/>
          </w:tcPr>
          <w:p>
            <w:pPr>
              <w:spacing w:line="360" w:lineRule="auto"/>
              <w:rPr>
                <w:rFonts w:ascii="宋体" w:hAnsi="宋体"/>
                <w:szCs w:val="21"/>
              </w:rPr>
            </w:pPr>
            <w:r>
              <w:rPr>
                <w:rFonts w:ascii="宋体" w:hAnsi="宋体" w:hint="eastAsia"/>
                <w:szCs w:val="21"/>
              </w:rPr>
              <w:t>≤0.8dB</w:t>
            </w:r>
          </w:p>
        </w:tc>
      </w:tr>
      <w:tr>
        <w:tblPrEx>
          <w:tblW w:w="8359" w:type="dxa"/>
          <w:jc w:val="center"/>
          <w:tblLayout w:type="fixed"/>
          <w:tblCellMar>
            <w:top w:w="0" w:type="dxa"/>
            <w:left w:w="108" w:type="dxa"/>
            <w:bottom w:w="0" w:type="dxa"/>
            <w:right w:w="108" w:type="dxa"/>
          </w:tblCellMar>
        </w:tblPrEx>
        <w:trPr>
          <w:trHeight w:val="342"/>
          <w:jc w:val="center"/>
        </w:trPr>
        <w:tc>
          <w:tcPr>
            <w:tcW w:w="3397" w:type="dxa"/>
            <w:gridSpan w:val="2"/>
            <w:vAlign w:val="center"/>
          </w:tcPr>
          <w:p>
            <w:pPr>
              <w:spacing w:line="360" w:lineRule="auto"/>
              <w:rPr>
                <w:rFonts w:ascii="宋体" w:hAnsi="宋体"/>
                <w:szCs w:val="21"/>
              </w:rPr>
            </w:pPr>
            <w:r>
              <w:rPr>
                <w:rFonts w:ascii="宋体" w:hAnsi="宋体" w:hint="eastAsia"/>
                <w:szCs w:val="21"/>
              </w:rPr>
              <w:t>最大发射占空比</w:t>
            </w:r>
          </w:p>
        </w:tc>
        <w:tc>
          <w:tcPr>
            <w:tcW w:w="4962" w:type="dxa"/>
            <w:vAlign w:val="center"/>
          </w:tcPr>
          <w:p>
            <w:pPr>
              <w:spacing w:line="360" w:lineRule="auto"/>
              <w:rPr>
                <w:rFonts w:ascii="宋体" w:hAnsi="宋体"/>
                <w:szCs w:val="21"/>
              </w:rPr>
            </w:pPr>
            <w:r>
              <w:rPr>
                <w:rFonts w:ascii="宋体" w:hAnsi="宋体" w:hint="eastAsia"/>
                <w:szCs w:val="21"/>
              </w:rPr>
              <w:t>≥20%</w:t>
            </w:r>
          </w:p>
        </w:tc>
      </w:tr>
      <w:tr>
        <w:tblPrEx>
          <w:tblW w:w="8359" w:type="dxa"/>
          <w:jc w:val="center"/>
          <w:tblLayout w:type="fixed"/>
          <w:tblCellMar>
            <w:top w:w="0" w:type="dxa"/>
            <w:left w:w="108" w:type="dxa"/>
            <w:bottom w:w="0" w:type="dxa"/>
            <w:right w:w="108" w:type="dxa"/>
          </w:tblCellMar>
        </w:tblPrEx>
        <w:trPr>
          <w:trHeight w:val="355"/>
          <w:jc w:val="center"/>
        </w:trPr>
        <w:tc>
          <w:tcPr>
            <w:tcW w:w="3397" w:type="dxa"/>
            <w:gridSpan w:val="2"/>
            <w:vAlign w:val="center"/>
          </w:tcPr>
          <w:p>
            <w:pPr>
              <w:spacing w:line="360" w:lineRule="auto"/>
              <w:rPr>
                <w:rFonts w:ascii="宋体" w:hAnsi="宋体"/>
                <w:szCs w:val="21"/>
              </w:rPr>
            </w:pPr>
            <w:r>
              <w:rPr>
                <w:rFonts w:ascii="宋体" w:hAnsi="宋体" w:hint="eastAsia"/>
                <w:szCs w:val="21"/>
              </w:rPr>
              <w:t>发射脉冲宽度</w:t>
            </w:r>
          </w:p>
        </w:tc>
        <w:tc>
          <w:tcPr>
            <w:tcW w:w="4962" w:type="dxa"/>
            <w:vAlign w:val="center"/>
          </w:tcPr>
          <w:p>
            <w:pPr>
              <w:spacing w:line="360" w:lineRule="auto"/>
              <w:rPr>
                <w:rFonts w:ascii="宋体" w:hAnsi="宋体"/>
                <w:szCs w:val="21"/>
              </w:rPr>
            </w:pPr>
            <w:r>
              <w:rPr>
                <w:rFonts w:ascii="宋体" w:hAnsi="宋体" w:hint="eastAsia"/>
                <w:szCs w:val="21"/>
              </w:rPr>
              <w:t>0.2～200μs可选，典型脉冲宽度包括0.5μs、1.0μs、2.0μs、10μs、20μs、40μs、80μs等。</w:t>
            </w:r>
          </w:p>
          <w:p>
            <w:pPr>
              <w:spacing w:line="360" w:lineRule="auto"/>
              <w:rPr>
                <w:rFonts w:ascii="宋体" w:hAnsi="宋体"/>
                <w:szCs w:val="21"/>
              </w:rPr>
            </w:pPr>
            <w:r>
              <w:rPr>
                <w:rFonts w:ascii="宋体" w:hAnsi="宋体" w:hint="eastAsia"/>
                <w:szCs w:val="21"/>
              </w:rPr>
              <w:t>脉冲宽度≥0.5μs时，上升沿：≤200ns，下降沿：≤200ns。</w:t>
            </w:r>
          </w:p>
          <w:p>
            <w:pPr>
              <w:spacing w:line="360" w:lineRule="auto"/>
              <w:rPr>
                <w:rFonts w:ascii="宋体" w:hAnsi="宋体"/>
                <w:szCs w:val="21"/>
              </w:rPr>
            </w:pPr>
            <w:r>
              <w:rPr>
                <w:rFonts w:ascii="宋体" w:hAnsi="宋体" w:hint="eastAsia"/>
                <w:szCs w:val="21"/>
              </w:rPr>
              <w:t>脉冲宽度≥1.0μs时，顶降：≤5%。</w:t>
            </w:r>
          </w:p>
        </w:tc>
      </w:tr>
      <w:tr>
        <w:tblPrEx>
          <w:tblW w:w="8359" w:type="dxa"/>
          <w:jc w:val="center"/>
          <w:tblLayout w:type="fixed"/>
          <w:tblCellMar>
            <w:top w:w="0" w:type="dxa"/>
            <w:left w:w="108" w:type="dxa"/>
            <w:bottom w:w="0" w:type="dxa"/>
            <w:right w:w="108" w:type="dxa"/>
          </w:tblCellMar>
        </w:tblPrEx>
        <w:trPr>
          <w:trHeight w:val="342"/>
          <w:jc w:val="center"/>
        </w:trPr>
        <w:tc>
          <w:tcPr>
            <w:tcW w:w="3397" w:type="dxa"/>
            <w:gridSpan w:val="2"/>
            <w:vAlign w:val="center"/>
          </w:tcPr>
          <w:p>
            <w:pPr>
              <w:spacing w:line="360" w:lineRule="auto"/>
              <w:rPr>
                <w:rFonts w:ascii="宋体" w:hAnsi="宋体"/>
                <w:szCs w:val="21"/>
              </w:rPr>
            </w:pPr>
            <w:r>
              <w:rPr>
                <w:rFonts w:ascii="宋体" w:hAnsi="宋体" w:hint="eastAsia"/>
                <w:szCs w:val="21"/>
              </w:rPr>
              <w:t>脉冲重复频率</w:t>
            </w:r>
          </w:p>
        </w:tc>
        <w:tc>
          <w:tcPr>
            <w:tcW w:w="4962" w:type="dxa"/>
            <w:vAlign w:val="center"/>
          </w:tcPr>
          <w:p>
            <w:pPr>
              <w:spacing w:line="360" w:lineRule="auto"/>
              <w:rPr>
                <w:rFonts w:ascii="宋体" w:hAnsi="宋体"/>
                <w:szCs w:val="21"/>
              </w:rPr>
            </w:pPr>
            <w:r>
              <w:rPr>
                <w:rFonts w:ascii="宋体" w:hAnsi="宋体" w:hint="eastAsia"/>
                <w:szCs w:val="21"/>
              </w:rPr>
              <w:t>300～5000Hz</w:t>
            </w:r>
          </w:p>
        </w:tc>
      </w:tr>
      <w:tr>
        <w:tblPrEx>
          <w:tblW w:w="8359" w:type="dxa"/>
          <w:jc w:val="center"/>
          <w:tblLayout w:type="fixed"/>
          <w:tblCellMar>
            <w:top w:w="0" w:type="dxa"/>
            <w:left w:w="108" w:type="dxa"/>
            <w:bottom w:w="0" w:type="dxa"/>
            <w:right w:w="108" w:type="dxa"/>
          </w:tblCellMar>
        </w:tblPrEx>
        <w:trPr>
          <w:trHeight w:val="355"/>
          <w:jc w:val="center"/>
        </w:trPr>
        <w:tc>
          <w:tcPr>
            <w:tcW w:w="3397" w:type="dxa"/>
            <w:gridSpan w:val="2"/>
            <w:vAlign w:val="center"/>
          </w:tcPr>
          <w:p>
            <w:pPr>
              <w:spacing w:line="360" w:lineRule="auto"/>
              <w:rPr>
                <w:rFonts w:ascii="宋体" w:hAnsi="宋体"/>
                <w:szCs w:val="21"/>
              </w:rPr>
            </w:pPr>
            <w:r>
              <w:rPr>
                <w:rFonts w:ascii="宋体" w:hAnsi="宋体" w:hint="eastAsia"/>
                <w:szCs w:val="21"/>
              </w:rPr>
              <w:t>输出端极限改善因子</w:t>
            </w:r>
          </w:p>
        </w:tc>
        <w:tc>
          <w:tcPr>
            <w:tcW w:w="4962" w:type="dxa"/>
            <w:vAlign w:val="center"/>
          </w:tcPr>
          <w:p>
            <w:pPr>
              <w:spacing w:line="360" w:lineRule="auto"/>
              <w:rPr>
                <w:rFonts w:ascii="宋体" w:hAnsi="宋体"/>
                <w:szCs w:val="21"/>
              </w:rPr>
            </w:pPr>
            <w:r>
              <w:rPr>
                <w:rFonts w:ascii="宋体" w:hAnsi="宋体" w:hint="eastAsia"/>
                <w:szCs w:val="21"/>
              </w:rPr>
              <w:t>≥52dB（重复频率1000Hz、脉冲宽度1μs、带宽1MHz）</w:t>
            </w:r>
          </w:p>
        </w:tc>
      </w:tr>
      <w:tr>
        <w:tblPrEx>
          <w:tblW w:w="8359" w:type="dxa"/>
          <w:jc w:val="center"/>
          <w:tblLayout w:type="fixed"/>
          <w:tblCellMar>
            <w:top w:w="0" w:type="dxa"/>
            <w:left w:w="108" w:type="dxa"/>
            <w:bottom w:w="0" w:type="dxa"/>
            <w:right w:w="108" w:type="dxa"/>
          </w:tblCellMar>
        </w:tblPrEx>
        <w:trPr>
          <w:trHeight w:val="572"/>
          <w:jc w:val="center"/>
        </w:trPr>
        <w:tc>
          <w:tcPr>
            <w:tcW w:w="2012" w:type="dxa"/>
            <w:vMerge w:val="restart"/>
            <w:vAlign w:val="center"/>
          </w:tcPr>
          <w:p>
            <w:pPr>
              <w:spacing w:line="360" w:lineRule="auto"/>
              <w:rPr>
                <w:rFonts w:ascii="宋体" w:hAnsi="宋体"/>
                <w:szCs w:val="21"/>
              </w:rPr>
            </w:pPr>
            <w:r>
              <w:rPr>
                <w:rFonts w:ascii="宋体" w:hAnsi="宋体" w:hint="eastAsia"/>
                <w:szCs w:val="21"/>
              </w:rPr>
              <w:t>频谱特性（距中心频率频谱线衰减量-40dB处）</w:t>
            </w:r>
          </w:p>
        </w:tc>
        <w:tc>
          <w:tcPr>
            <w:tcW w:w="1385" w:type="dxa"/>
            <w:vAlign w:val="center"/>
          </w:tcPr>
          <w:p>
            <w:pPr>
              <w:spacing w:line="360" w:lineRule="auto"/>
              <w:rPr>
                <w:rFonts w:ascii="宋体" w:hAnsi="宋体"/>
                <w:szCs w:val="21"/>
              </w:rPr>
            </w:pPr>
            <w:r>
              <w:rPr>
                <w:rFonts w:ascii="宋体" w:hAnsi="宋体" w:hint="eastAsia"/>
                <w:szCs w:val="21"/>
              </w:rPr>
              <w:t>左频偏</w:t>
            </w:r>
          </w:p>
        </w:tc>
        <w:tc>
          <w:tcPr>
            <w:tcW w:w="4962" w:type="dxa"/>
            <w:vAlign w:val="center"/>
          </w:tcPr>
          <w:p>
            <w:pPr>
              <w:spacing w:line="360" w:lineRule="auto"/>
              <w:rPr>
                <w:rFonts w:ascii="宋体" w:hAnsi="宋体"/>
                <w:szCs w:val="21"/>
              </w:rPr>
            </w:pPr>
            <w:r>
              <w:rPr>
                <w:rFonts w:ascii="宋体" w:hAnsi="宋体" w:hint="eastAsia"/>
                <w:szCs w:val="21"/>
              </w:rPr>
              <w:t>≥-15MHz（脉宽1μs，带宽1MHz）</w:t>
            </w:r>
          </w:p>
        </w:tc>
      </w:tr>
      <w:tr>
        <w:tblPrEx>
          <w:tblW w:w="8359" w:type="dxa"/>
          <w:jc w:val="center"/>
          <w:tblLayout w:type="fixed"/>
          <w:tblCellMar>
            <w:top w:w="0" w:type="dxa"/>
            <w:left w:w="108" w:type="dxa"/>
            <w:bottom w:w="0" w:type="dxa"/>
            <w:right w:w="108" w:type="dxa"/>
          </w:tblCellMar>
        </w:tblPrEx>
        <w:trPr>
          <w:trHeight w:val="342"/>
          <w:jc w:val="center"/>
        </w:trPr>
        <w:tc>
          <w:tcPr>
            <w:tcW w:w="2012" w:type="dxa"/>
            <w:vMerge/>
            <w:vAlign w:val="center"/>
          </w:tcPr>
          <w:p>
            <w:pPr>
              <w:spacing w:line="360" w:lineRule="auto"/>
              <w:rPr>
                <w:rFonts w:ascii="宋体" w:hAnsi="宋体"/>
                <w:szCs w:val="21"/>
              </w:rPr>
            </w:pPr>
          </w:p>
        </w:tc>
        <w:tc>
          <w:tcPr>
            <w:tcW w:w="1385" w:type="dxa"/>
            <w:vAlign w:val="center"/>
          </w:tcPr>
          <w:p>
            <w:pPr>
              <w:spacing w:line="360" w:lineRule="auto"/>
              <w:rPr>
                <w:rFonts w:ascii="宋体" w:hAnsi="宋体"/>
                <w:szCs w:val="21"/>
              </w:rPr>
            </w:pPr>
            <w:r>
              <w:rPr>
                <w:rFonts w:ascii="宋体" w:hAnsi="宋体" w:hint="eastAsia"/>
                <w:szCs w:val="21"/>
              </w:rPr>
              <w:t>右频偏</w:t>
            </w:r>
          </w:p>
        </w:tc>
        <w:tc>
          <w:tcPr>
            <w:tcW w:w="4962" w:type="dxa"/>
            <w:vAlign w:val="center"/>
          </w:tcPr>
          <w:p>
            <w:pPr>
              <w:spacing w:line="360" w:lineRule="auto"/>
              <w:rPr>
                <w:rFonts w:ascii="宋体" w:hAnsi="宋体"/>
                <w:szCs w:val="21"/>
              </w:rPr>
            </w:pPr>
            <w:r>
              <w:rPr>
                <w:rFonts w:ascii="宋体" w:hAnsi="宋体" w:hint="eastAsia"/>
                <w:szCs w:val="21"/>
              </w:rPr>
              <w:t>≤15MHz（脉宽1μs，带宽1MHz）</w:t>
            </w:r>
          </w:p>
        </w:tc>
      </w:tr>
      <w:tr>
        <w:tblPrEx>
          <w:tblW w:w="8359" w:type="dxa"/>
          <w:jc w:val="center"/>
          <w:tblLayout w:type="fixed"/>
          <w:tblCellMar>
            <w:top w:w="0" w:type="dxa"/>
            <w:left w:w="108" w:type="dxa"/>
            <w:bottom w:w="0" w:type="dxa"/>
            <w:right w:w="108" w:type="dxa"/>
          </w:tblCellMar>
        </w:tblPrEx>
        <w:trPr>
          <w:trHeight w:val="342"/>
          <w:jc w:val="center"/>
        </w:trPr>
        <w:tc>
          <w:tcPr>
            <w:tcW w:w="3397" w:type="dxa"/>
            <w:gridSpan w:val="2"/>
            <w:vAlign w:val="center"/>
          </w:tcPr>
          <w:p>
            <w:pPr>
              <w:spacing w:line="360" w:lineRule="auto"/>
              <w:rPr>
                <w:rFonts w:ascii="宋体" w:hAnsi="宋体"/>
                <w:szCs w:val="21"/>
              </w:rPr>
            </w:pPr>
            <w:r>
              <w:rPr>
                <w:rFonts w:ascii="宋体" w:hAnsi="宋体" w:hint="eastAsia"/>
                <w:szCs w:val="21"/>
              </w:rPr>
              <w:t>谐波和杂散抑制</w:t>
            </w:r>
          </w:p>
        </w:tc>
        <w:tc>
          <w:tcPr>
            <w:tcW w:w="4962" w:type="dxa"/>
            <w:vAlign w:val="center"/>
          </w:tcPr>
          <w:p>
            <w:pPr>
              <w:spacing w:line="360" w:lineRule="auto"/>
              <w:rPr>
                <w:rFonts w:ascii="宋体" w:hAnsi="宋体"/>
                <w:szCs w:val="21"/>
              </w:rPr>
            </w:pPr>
            <w:r>
              <w:rPr>
                <w:rFonts w:ascii="宋体" w:hAnsi="宋体" w:hint="eastAsia"/>
                <w:szCs w:val="21"/>
              </w:rPr>
              <w:t>≥40dB</w:t>
            </w:r>
          </w:p>
        </w:tc>
      </w:tr>
      <w:tr>
        <w:tblPrEx>
          <w:tblW w:w="8359" w:type="dxa"/>
          <w:jc w:val="center"/>
          <w:tblLayout w:type="fixed"/>
          <w:tblCellMar>
            <w:top w:w="0" w:type="dxa"/>
            <w:left w:w="108" w:type="dxa"/>
            <w:bottom w:w="0" w:type="dxa"/>
            <w:right w:w="108" w:type="dxa"/>
          </w:tblCellMar>
        </w:tblPrEx>
        <w:trPr>
          <w:trHeight w:val="342"/>
          <w:jc w:val="center"/>
        </w:trPr>
        <w:tc>
          <w:tcPr>
            <w:tcW w:w="3397" w:type="dxa"/>
            <w:gridSpan w:val="2"/>
            <w:vAlign w:val="center"/>
          </w:tcPr>
          <w:p>
            <w:pPr>
              <w:spacing w:line="360" w:lineRule="auto"/>
              <w:rPr>
                <w:rFonts w:ascii="宋体" w:hAnsi="宋体"/>
                <w:szCs w:val="21"/>
              </w:rPr>
            </w:pPr>
            <w:r>
              <w:rPr>
                <w:rFonts w:ascii="宋体" w:hAnsi="宋体" w:hint="eastAsia"/>
                <w:szCs w:val="21"/>
              </w:rPr>
              <w:t>故障检测和保护</w:t>
            </w:r>
          </w:p>
        </w:tc>
        <w:tc>
          <w:tcPr>
            <w:tcW w:w="4962" w:type="dxa"/>
            <w:vAlign w:val="center"/>
          </w:tcPr>
          <w:p>
            <w:pPr>
              <w:spacing w:line="360" w:lineRule="auto"/>
              <w:rPr>
                <w:rFonts w:ascii="宋体" w:hAnsi="宋体"/>
                <w:szCs w:val="21"/>
              </w:rPr>
            </w:pPr>
            <w:r>
              <w:rPr>
                <w:rFonts w:ascii="宋体" w:hAnsi="宋体" w:hint="eastAsia"/>
                <w:szCs w:val="21"/>
              </w:rPr>
              <w:t>发生过温，过压，过流等情况时可报警并实现自保，输出功率低时输出报警信号</w:t>
            </w:r>
          </w:p>
        </w:tc>
      </w:tr>
    </w:tbl>
    <w:p>
      <w:pPr>
        <w:spacing w:line="360" w:lineRule="auto"/>
        <w:rPr>
          <w:rFonts w:ascii="宋体" w:hAnsi="宋体"/>
          <w:b/>
          <w:szCs w:val="21"/>
        </w:rPr>
      </w:pPr>
      <w:r>
        <w:rPr>
          <w:rFonts w:ascii="宋体" w:hAnsi="宋体" w:hint="eastAsia"/>
          <w:b/>
          <w:bCs/>
          <w:szCs w:val="21"/>
        </w:rPr>
        <w:t>1.12.</w:t>
      </w:r>
      <w:r>
        <w:rPr>
          <w:rFonts w:ascii="宋体" w:hAnsi="宋体" w:hint="eastAsia"/>
          <w:b/>
          <w:szCs w:val="21"/>
        </w:rPr>
        <w:t>5.2接收单元</w:t>
      </w:r>
    </w:p>
    <w:p>
      <w:pPr>
        <w:spacing w:line="360" w:lineRule="auto"/>
        <w:rPr>
          <w:rFonts w:ascii="宋体" w:hAnsi="宋体"/>
          <w:szCs w:val="21"/>
        </w:rPr>
      </w:pPr>
      <w:r>
        <w:rPr>
          <w:rFonts w:ascii="宋体" w:hAnsi="宋体" w:hint="eastAsia"/>
          <w:szCs w:val="21"/>
        </w:rPr>
        <w:t>雷达采用分布式接收结构，每一个接收单元与相对应天线单元相连接。接收单元主要完成回波信号的低噪声放大、滤波、下变频和数字中频采样；接收雷达监控单元的控制指令，完成对接收单元的各种控制，并向监控单元反馈接收单元的工作状态和故障信息。具体指标见下表。</w:t>
      </w:r>
    </w:p>
    <w:p>
      <w:pPr>
        <w:spacing w:line="360" w:lineRule="auto"/>
        <w:rPr>
          <w:rFonts w:ascii="宋体" w:hAnsi="宋体"/>
          <w:szCs w:val="21"/>
        </w:rPr>
      </w:pPr>
      <w:r>
        <w:rPr>
          <w:rFonts w:ascii="宋体" w:hAnsi="宋体" w:hint="eastAsia"/>
          <w:szCs w:val="21"/>
        </w:rPr>
        <w:t>表5 接收单元技术性能指标表</w:t>
      </w:r>
    </w:p>
    <w:tbl>
      <w:tblPr>
        <w:tblStyle w:val="TableNormal"/>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487"/>
        <w:gridCol w:w="4877"/>
      </w:tblGrid>
      <w:tr>
        <w:tblPrEx>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487" w:type="dxa"/>
            <w:vAlign w:val="center"/>
          </w:tcPr>
          <w:p>
            <w:pPr>
              <w:spacing w:line="360" w:lineRule="auto"/>
              <w:rPr>
                <w:rFonts w:ascii="宋体" w:hAnsi="宋体"/>
                <w:szCs w:val="21"/>
              </w:rPr>
            </w:pPr>
            <w:r>
              <w:rPr>
                <w:rFonts w:ascii="宋体" w:hAnsi="宋体" w:hint="eastAsia"/>
                <w:szCs w:val="21"/>
              </w:rPr>
              <w:t>项目</w:t>
            </w:r>
          </w:p>
        </w:tc>
        <w:tc>
          <w:tcPr>
            <w:tcW w:w="4877" w:type="dxa"/>
            <w:vAlign w:val="center"/>
          </w:tcPr>
          <w:p>
            <w:pPr>
              <w:spacing w:line="360" w:lineRule="auto"/>
              <w:rPr>
                <w:rFonts w:ascii="宋体" w:hAnsi="宋体"/>
                <w:szCs w:val="21"/>
              </w:rPr>
            </w:pPr>
            <w:r>
              <w:rPr>
                <w:rFonts w:ascii="宋体" w:hAnsi="宋体" w:hint="eastAsia"/>
                <w:szCs w:val="21"/>
              </w:rPr>
              <w:t>性能指标</w:t>
            </w:r>
          </w:p>
        </w:tc>
      </w:tr>
      <w:tr>
        <w:tblPrEx>
          <w:tblW w:w="8364" w:type="dxa"/>
          <w:jc w:val="center"/>
          <w:tblLayout w:type="fixed"/>
          <w:tblCellMar>
            <w:top w:w="0" w:type="dxa"/>
            <w:left w:w="108" w:type="dxa"/>
            <w:bottom w:w="0" w:type="dxa"/>
            <w:right w:w="108" w:type="dxa"/>
          </w:tblCellMar>
        </w:tblPrEx>
        <w:trPr>
          <w:jc w:val="center"/>
        </w:trPr>
        <w:tc>
          <w:tcPr>
            <w:tcW w:w="3487" w:type="dxa"/>
            <w:vAlign w:val="center"/>
          </w:tcPr>
          <w:p>
            <w:pPr>
              <w:spacing w:line="360" w:lineRule="auto"/>
              <w:rPr>
                <w:rFonts w:ascii="宋体" w:hAnsi="宋体"/>
                <w:szCs w:val="21"/>
              </w:rPr>
            </w:pPr>
            <w:r>
              <w:rPr>
                <w:rFonts w:ascii="宋体" w:hAnsi="宋体" w:hint="eastAsia"/>
                <w:szCs w:val="21"/>
              </w:rPr>
              <w:t>G/T（法向、带宽1MHz）</w:t>
            </w:r>
          </w:p>
        </w:tc>
        <w:tc>
          <w:tcPr>
            <w:tcW w:w="4877" w:type="dxa"/>
            <w:vAlign w:val="center"/>
          </w:tcPr>
          <w:p>
            <w:pPr>
              <w:spacing w:line="360" w:lineRule="auto"/>
              <w:rPr>
                <w:rFonts w:ascii="宋体" w:hAnsi="宋体"/>
                <w:szCs w:val="21"/>
              </w:rPr>
            </w:pPr>
            <w:r>
              <w:rPr>
                <w:rFonts w:ascii="宋体" w:hAnsi="宋体" w:hint="eastAsia"/>
                <w:szCs w:val="21"/>
              </w:rPr>
              <w:t>≥6.5dB/K</w:t>
            </w:r>
          </w:p>
        </w:tc>
      </w:tr>
      <w:tr>
        <w:tblPrEx>
          <w:tblW w:w="8364" w:type="dxa"/>
          <w:jc w:val="center"/>
          <w:tblLayout w:type="fixed"/>
          <w:tblCellMar>
            <w:top w:w="0" w:type="dxa"/>
            <w:left w:w="108" w:type="dxa"/>
            <w:bottom w:w="0" w:type="dxa"/>
            <w:right w:w="108" w:type="dxa"/>
          </w:tblCellMar>
        </w:tblPrEx>
        <w:trPr>
          <w:jc w:val="center"/>
        </w:trPr>
        <w:tc>
          <w:tcPr>
            <w:tcW w:w="3487" w:type="dxa"/>
            <w:vAlign w:val="center"/>
          </w:tcPr>
          <w:p>
            <w:pPr>
              <w:spacing w:line="360" w:lineRule="auto"/>
              <w:rPr>
                <w:rFonts w:ascii="宋体" w:hAnsi="宋体"/>
                <w:szCs w:val="21"/>
              </w:rPr>
            </w:pPr>
            <w:r>
              <w:rPr>
                <w:rFonts w:ascii="宋体" w:hAnsi="宋体" w:hint="eastAsia"/>
                <w:szCs w:val="21"/>
              </w:rPr>
              <w:t>G/T（±20°、带宽1MHz）</w:t>
            </w:r>
          </w:p>
        </w:tc>
        <w:tc>
          <w:tcPr>
            <w:tcW w:w="4877" w:type="dxa"/>
            <w:vAlign w:val="center"/>
          </w:tcPr>
          <w:p>
            <w:pPr>
              <w:spacing w:line="360" w:lineRule="auto"/>
              <w:rPr>
                <w:rFonts w:ascii="宋体" w:hAnsi="宋体"/>
                <w:szCs w:val="21"/>
              </w:rPr>
            </w:pPr>
            <w:r>
              <w:rPr>
                <w:rFonts w:ascii="宋体" w:hAnsi="宋体" w:hint="eastAsia"/>
                <w:szCs w:val="21"/>
              </w:rPr>
              <w:t>≥5.5dB/K</w:t>
            </w:r>
          </w:p>
        </w:tc>
      </w:tr>
      <w:tr>
        <w:tblPrEx>
          <w:tblW w:w="8364" w:type="dxa"/>
          <w:jc w:val="center"/>
          <w:tblLayout w:type="fixed"/>
          <w:tblCellMar>
            <w:top w:w="0" w:type="dxa"/>
            <w:left w:w="108" w:type="dxa"/>
            <w:bottom w:w="0" w:type="dxa"/>
            <w:right w:w="108" w:type="dxa"/>
          </w:tblCellMar>
        </w:tblPrEx>
        <w:trPr>
          <w:jc w:val="center"/>
        </w:trPr>
        <w:tc>
          <w:tcPr>
            <w:tcW w:w="3487" w:type="dxa"/>
            <w:vAlign w:val="center"/>
          </w:tcPr>
          <w:p>
            <w:pPr>
              <w:spacing w:line="360" w:lineRule="auto"/>
              <w:rPr>
                <w:rFonts w:ascii="宋体" w:hAnsi="宋体"/>
                <w:szCs w:val="21"/>
              </w:rPr>
            </w:pPr>
            <w:r>
              <w:rPr>
                <w:rFonts w:ascii="宋体" w:hAnsi="宋体" w:hint="eastAsia"/>
                <w:szCs w:val="21"/>
              </w:rPr>
              <w:t>校准后G/T偏差</w:t>
            </w:r>
          </w:p>
        </w:tc>
        <w:tc>
          <w:tcPr>
            <w:tcW w:w="4877" w:type="dxa"/>
            <w:vAlign w:val="center"/>
          </w:tcPr>
          <w:p>
            <w:pPr>
              <w:spacing w:line="360" w:lineRule="auto"/>
              <w:rPr>
                <w:rFonts w:ascii="宋体" w:hAnsi="宋体"/>
                <w:szCs w:val="21"/>
              </w:rPr>
            </w:pPr>
            <w:r>
              <w:rPr>
                <w:rFonts w:ascii="宋体" w:hAnsi="宋体" w:hint="eastAsia"/>
                <w:szCs w:val="21"/>
              </w:rPr>
              <w:t>≤0.8dB</w:t>
            </w:r>
          </w:p>
        </w:tc>
      </w:tr>
      <w:tr>
        <w:tblPrEx>
          <w:tblW w:w="8364" w:type="dxa"/>
          <w:jc w:val="center"/>
          <w:tblLayout w:type="fixed"/>
          <w:tblCellMar>
            <w:top w:w="0" w:type="dxa"/>
            <w:left w:w="108" w:type="dxa"/>
            <w:bottom w:w="0" w:type="dxa"/>
            <w:right w:w="108" w:type="dxa"/>
          </w:tblCellMar>
        </w:tblPrEx>
        <w:trPr>
          <w:jc w:val="center"/>
        </w:trPr>
        <w:tc>
          <w:tcPr>
            <w:tcW w:w="3487" w:type="dxa"/>
            <w:vAlign w:val="center"/>
          </w:tcPr>
          <w:p>
            <w:pPr>
              <w:spacing w:line="360" w:lineRule="auto"/>
              <w:rPr>
                <w:rFonts w:ascii="宋体" w:hAnsi="宋体"/>
                <w:szCs w:val="21"/>
              </w:rPr>
            </w:pPr>
            <w:r>
              <w:rPr>
                <w:rFonts w:ascii="宋体" w:hAnsi="宋体" w:hint="eastAsia"/>
                <w:szCs w:val="21"/>
              </w:rPr>
              <w:t>噪声系数</w:t>
            </w:r>
          </w:p>
        </w:tc>
        <w:tc>
          <w:tcPr>
            <w:tcW w:w="4877" w:type="dxa"/>
            <w:vAlign w:val="center"/>
          </w:tcPr>
          <w:p>
            <w:pPr>
              <w:spacing w:line="360" w:lineRule="auto"/>
              <w:rPr>
                <w:rFonts w:ascii="宋体" w:hAnsi="宋体"/>
                <w:szCs w:val="21"/>
              </w:rPr>
            </w:pPr>
            <w:r>
              <w:rPr>
                <w:rFonts w:ascii="宋体" w:hAnsi="宋体" w:hint="eastAsia"/>
                <w:szCs w:val="21"/>
              </w:rPr>
              <w:t>≤3dB（脉宽1μs，带宽1MHz）</w:t>
            </w:r>
          </w:p>
        </w:tc>
      </w:tr>
      <w:tr>
        <w:tblPrEx>
          <w:tblW w:w="8364" w:type="dxa"/>
          <w:jc w:val="center"/>
          <w:tblLayout w:type="fixed"/>
          <w:tblCellMar>
            <w:top w:w="0" w:type="dxa"/>
            <w:left w:w="108" w:type="dxa"/>
            <w:bottom w:w="0" w:type="dxa"/>
            <w:right w:w="108" w:type="dxa"/>
          </w:tblCellMar>
        </w:tblPrEx>
        <w:trPr>
          <w:jc w:val="center"/>
        </w:trPr>
        <w:tc>
          <w:tcPr>
            <w:tcW w:w="3487" w:type="dxa"/>
            <w:vAlign w:val="center"/>
          </w:tcPr>
          <w:p>
            <w:pPr>
              <w:spacing w:line="360" w:lineRule="auto"/>
              <w:rPr>
                <w:rFonts w:ascii="宋体" w:hAnsi="宋体"/>
                <w:szCs w:val="21"/>
              </w:rPr>
            </w:pPr>
            <w:r>
              <w:rPr>
                <w:rFonts w:ascii="宋体" w:hAnsi="宋体" w:hint="eastAsia"/>
                <w:szCs w:val="21"/>
              </w:rPr>
              <w:t>线性动态范围</w:t>
            </w:r>
          </w:p>
        </w:tc>
        <w:tc>
          <w:tcPr>
            <w:tcW w:w="4877" w:type="dxa"/>
            <w:vAlign w:val="center"/>
          </w:tcPr>
          <w:p>
            <w:pPr>
              <w:spacing w:line="360" w:lineRule="auto"/>
              <w:rPr>
                <w:rFonts w:ascii="宋体" w:hAnsi="宋体"/>
                <w:szCs w:val="21"/>
              </w:rPr>
            </w:pPr>
            <w:r>
              <w:rPr>
                <w:rFonts w:ascii="宋体" w:hAnsi="宋体" w:hint="eastAsia"/>
                <w:szCs w:val="21"/>
              </w:rPr>
              <w:t>≥77dB（脉宽1μs，带宽1MHz）</w:t>
            </w:r>
          </w:p>
        </w:tc>
      </w:tr>
      <w:tr>
        <w:tblPrEx>
          <w:tblW w:w="8364" w:type="dxa"/>
          <w:jc w:val="center"/>
          <w:tblLayout w:type="fixed"/>
          <w:tblCellMar>
            <w:top w:w="0" w:type="dxa"/>
            <w:left w:w="108" w:type="dxa"/>
            <w:bottom w:w="0" w:type="dxa"/>
            <w:right w:w="108" w:type="dxa"/>
          </w:tblCellMar>
        </w:tblPrEx>
        <w:trPr>
          <w:jc w:val="center"/>
        </w:trPr>
        <w:tc>
          <w:tcPr>
            <w:tcW w:w="3487" w:type="dxa"/>
            <w:vAlign w:val="center"/>
          </w:tcPr>
          <w:p>
            <w:pPr>
              <w:spacing w:line="360" w:lineRule="auto"/>
              <w:rPr>
                <w:rFonts w:ascii="宋体" w:hAnsi="宋体"/>
                <w:szCs w:val="21"/>
              </w:rPr>
            </w:pPr>
            <w:r>
              <w:rPr>
                <w:rFonts w:ascii="宋体" w:hAnsi="宋体" w:hint="eastAsia"/>
                <w:szCs w:val="21"/>
              </w:rPr>
              <w:t>最小可测功率（灵敏度）</w:t>
            </w:r>
          </w:p>
        </w:tc>
        <w:tc>
          <w:tcPr>
            <w:tcW w:w="4877" w:type="dxa"/>
            <w:vAlign w:val="center"/>
          </w:tcPr>
          <w:p>
            <w:pPr>
              <w:spacing w:line="360" w:lineRule="auto"/>
              <w:rPr>
                <w:rFonts w:ascii="宋体" w:hAnsi="宋体"/>
                <w:szCs w:val="21"/>
              </w:rPr>
            </w:pPr>
            <w:r>
              <w:rPr>
                <w:rFonts w:ascii="宋体" w:hAnsi="宋体" w:hint="eastAsia"/>
                <w:szCs w:val="21"/>
              </w:rPr>
              <w:t>≤-110dBm（脉宽1μs，带宽1MHz）</w:t>
            </w:r>
          </w:p>
        </w:tc>
      </w:tr>
      <w:tr>
        <w:tblPrEx>
          <w:tblW w:w="8364" w:type="dxa"/>
          <w:jc w:val="center"/>
          <w:tblLayout w:type="fixed"/>
          <w:tblCellMar>
            <w:top w:w="0" w:type="dxa"/>
            <w:left w:w="108" w:type="dxa"/>
            <w:bottom w:w="0" w:type="dxa"/>
            <w:right w:w="108" w:type="dxa"/>
          </w:tblCellMar>
        </w:tblPrEx>
        <w:trPr>
          <w:jc w:val="center"/>
        </w:trPr>
        <w:tc>
          <w:tcPr>
            <w:tcW w:w="3487" w:type="dxa"/>
            <w:vAlign w:val="center"/>
          </w:tcPr>
          <w:p>
            <w:pPr>
              <w:spacing w:line="360" w:lineRule="auto"/>
              <w:rPr>
                <w:rFonts w:ascii="宋体" w:hAnsi="宋体"/>
                <w:szCs w:val="21"/>
              </w:rPr>
            </w:pPr>
            <w:r>
              <w:rPr>
                <w:rFonts w:ascii="宋体" w:hAnsi="宋体" w:hint="eastAsia"/>
                <w:szCs w:val="21"/>
              </w:rPr>
              <w:t>镜频抑制度</w:t>
            </w:r>
          </w:p>
        </w:tc>
        <w:tc>
          <w:tcPr>
            <w:tcW w:w="4877" w:type="dxa"/>
            <w:vAlign w:val="center"/>
          </w:tcPr>
          <w:p>
            <w:pPr>
              <w:spacing w:line="360" w:lineRule="auto"/>
              <w:rPr>
                <w:rFonts w:ascii="宋体" w:hAnsi="宋体"/>
                <w:szCs w:val="21"/>
              </w:rPr>
            </w:pPr>
            <w:r>
              <w:rPr>
                <w:rFonts w:ascii="宋体" w:hAnsi="宋体" w:hint="eastAsia"/>
                <w:szCs w:val="21"/>
              </w:rPr>
              <w:t>≥60dBc</w:t>
            </w:r>
          </w:p>
        </w:tc>
      </w:tr>
    </w:tbl>
    <w:p>
      <w:pPr>
        <w:spacing w:line="360" w:lineRule="auto"/>
        <w:rPr>
          <w:rFonts w:ascii="宋体" w:hAnsi="宋体"/>
          <w:szCs w:val="21"/>
          <w:lang w:bidi="en-US"/>
        </w:rPr>
      </w:pPr>
    </w:p>
    <w:p>
      <w:pPr>
        <w:spacing w:line="360" w:lineRule="auto"/>
        <w:rPr>
          <w:rFonts w:ascii="宋体" w:hAnsi="宋体"/>
          <w:b/>
          <w:szCs w:val="21"/>
        </w:rPr>
      </w:pPr>
      <w:r>
        <w:rPr>
          <w:rFonts w:ascii="宋体" w:hAnsi="宋体" w:hint="eastAsia"/>
          <w:b/>
          <w:bCs/>
          <w:szCs w:val="21"/>
        </w:rPr>
        <w:t>1.12.</w:t>
      </w:r>
      <w:r>
        <w:rPr>
          <w:rFonts w:ascii="宋体" w:hAnsi="宋体" w:hint="eastAsia"/>
          <w:b/>
          <w:szCs w:val="21"/>
        </w:rPr>
        <w:t>6.数字波束控制与合成</w:t>
      </w:r>
    </w:p>
    <w:p>
      <w:pPr>
        <w:spacing w:line="360" w:lineRule="auto"/>
        <w:rPr>
          <w:rFonts w:ascii="宋体" w:hAnsi="宋体"/>
          <w:szCs w:val="21"/>
        </w:rPr>
      </w:pPr>
      <w:r>
        <w:rPr>
          <w:rFonts w:ascii="宋体" w:hAnsi="宋体" w:hint="eastAsia"/>
          <w:szCs w:val="21"/>
        </w:rPr>
        <w:t>数字波束控制与合成单元可根据终端指令控制每个收发单元的幅度和相位，使波束在工作范围内精准指向；幅度/相位控制应支持多种加权模式，使雷达的收发旁瓣受控，适用于不同场合；具备同时多波束接收能力，并可完成接收多波束数字合成。具备空间波束捷变功能。所有单元的波束控制与合成都应该是独立的。</w:t>
      </w:r>
    </w:p>
    <w:p>
      <w:pPr>
        <w:spacing w:line="360" w:lineRule="auto"/>
        <w:rPr>
          <w:rFonts w:ascii="宋体" w:hAnsi="宋体"/>
          <w:szCs w:val="21"/>
        </w:rPr>
      </w:pPr>
      <w:r>
        <w:rPr>
          <w:rFonts w:ascii="宋体" w:hAnsi="宋体" w:hint="eastAsia"/>
          <w:szCs w:val="21"/>
        </w:rPr>
        <w:t>波束控制和合成在数字域上完成，并应具备宽发窄收和窄发窄收能力。能够对每个单元的幅相测量值进行处理，并能够记录和输出订正前和订正后的数据。能够对宽发导致的发射天线方向图变化进行订正。具体指标见下表。</w:t>
      </w:r>
    </w:p>
    <w:p>
      <w:pPr>
        <w:spacing w:line="360" w:lineRule="auto"/>
        <w:rPr>
          <w:rFonts w:ascii="宋体" w:hAnsi="宋体"/>
          <w:szCs w:val="21"/>
          <w:lang w:bidi="en-US"/>
        </w:rPr>
      </w:pPr>
      <w:r>
        <w:rPr>
          <w:rFonts w:ascii="宋体" w:hAnsi="宋体" w:hint="eastAsia"/>
          <w:szCs w:val="21"/>
          <w:lang w:bidi="en-US"/>
        </w:rPr>
        <w:t>表6 数字波束控制与合成单元技术性能指标表</w:t>
      </w:r>
    </w:p>
    <w:tbl>
      <w:tblPr>
        <w:tblStyle w:val="TableNormal"/>
        <w:tblW w:w="8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31"/>
        <w:gridCol w:w="3532"/>
      </w:tblGrid>
      <w:tr>
        <w:tblPrEx>
          <w:tblW w:w="8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34"/>
          <w:jc w:val="center"/>
        </w:trPr>
        <w:tc>
          <w:tcPr>
            <w:tcW w:w="4531" w:type="dxa"/>
            <w:vAlign w:val="center"/>
          </w:tcPr>
          <w:p>
            <w:pPr>
              <w:spacing w:line="360" w:lineRule="auto"/>
              <w:rPr>
                <w:rFonts w:ascii="宋体" w:hAnsi="宋体"/>
                <w:szCs w:val="21"/>
              </w:rPr>
            </w:pPr>
            <w:r>
              <w:rPr>
                <w:rFonts w:ascii="宋体" w:hAnsi="宋体" w:hint="eastAsia"/>
                <w:szCs w:val="21"/>
              </w:rPr>
              <w:t>项目</w:t>
            </w:r>
          </w:p>
        </w:tc>
        <w:tc>
          <w:tcPr>
            <w:tcW w:w="3532" w:type="dxa"/>
            <w:vAlign w:val="center"/>
          </w:tcPr>
          <w:p>
            <w:pPr>
              <w:spacing w:line="360" w:lineRule="auto"/>
              <w:rPr>
                <w:rFonts w:ascii="宋体" w:hAnsi="宋体"/>
                <w:szCs w:val="21"/>
              </w:rPr>
            </w:pPr>
            <w:r>
              <w:rPr>
                <w:rFonts w:ascii="宋体" w:hAnsi="宋体" w:hint="eastAsia"/>
                <w:szCs w:val="21"/>
              </w:rPr>
              <w:t>性能指标</w:t>
            </w:r>
          </w:p>
        </w:tc>
      </w:tr>
      <w:tr>
        <w:tblPrEx>
          <w:tblW w:w="8063" w:type="dxa"/>
          <w:jc w:val="center"/>
          <w:tblCellMar>
            <w:top w:w="0" w:type="dxa"/>
            <w:left w:w="108" w:type="dxa"/>
            <w:bottom w:w="0" w:type="dxa"/>
            <w:right w:w="108" w:type="dxa"/>
          </w:tblCellMar>
        </w:tblPrEx>
        <w:trPr>
          <w:jc w:val="center"/>
        </w:trPr>
        <w:tc>
          <w:tcPr>
            <w:tcW w:w="4531" w:type="dxa"/>
            <w:vAlign w:val="center"/>
          </w:tcPr>
          <w:p>
            <w:pPr>
              <w:spacing w:line="360" w:lineRule="auto"/>
              <w:rPr>
                <w:rFonts w:ascii="宋体" w:hAnsi="宋体"/>
                <w:szCs w:val="21"/>
              </w:rPr>
            </w:pPr>
            <w:r>
              <w:rPr>
                <w:rFonts w:ascii="宋体" w:hAnsi="宋体" w:hint="eastAsia"/>
                <w:szCs w:val="21"/>
              </w:rPr>
              <w:t>波束控制和合成形式</w:t>
            </w:r>
          </w:p>
        </w:tc>
        <w:tc>
          <w:tcPr>
            <w:tcW w:w="3532" w:type="dxa"/>
            <w:vAlign w:val="center"/>
          </w:tcPr>
          <w:p>
            <w:pPr>
              <w:spacing w:line="360" w:lineRule="auto"/>
              <w:rPr>
                <w:rFonts w:ascii="宋体" w:hAnsi="宋体"/>
                <w:szCs w:val="21"/>
              </w:rPr>
            </w:pPr>
            <w:r>
              <w:rPr>
                <w:rFonts w:ascii="宋体" w:hAnsi="宋体" w:hint="eastAsia"/>
                <w:szCs w:val="21"/>
              </w:rPr>
              <w:t>数字域</w:t>
            </w:r>
          </w:p>
        </w:tc>
      </w:tr>
      <w:tr>
        <w:tblPrEx>
          <w:tblW w:w="8063" w:type="dxa"/>
          <w:jc w:val="center"/>
          <w:tblCellMar>
            <w:top w:w="0" w:type="dxa"/>
            <w:left w:w="108" w:type="dxa"/>
            <w:bottom w:w="0" w:type="dxa"/>
            <w:right w:w="108" w:type="dxa"/>
          </w:tblCellMar>
        </w:tblPrEx>
        <w:trPr>
          <w:jc w:val="center"/>
        </w:trPr>
        <w:tc>
          <w:tcPr>
            <w:tcW w:w="4531" w:type="dxa"/>
            <w:vAlign w:val="center"/>
          </w:tcPr>
          <w:p>
            <w:pPr>
              <w:spacing w:line="360" w:lineRule="auto"/>
              <w:rPr>
                <w:rFonts w:ascii="宋体" w:hAnsi="宋体"/>
                <w:szCs w:val="21"/>
              </w:rPr>
            </w:pPr>
            <w:r>
              <w:rPr>
                <w:rFonts w:ascii="宋体" w:hAnsi="宋体" w:hint="eastAsia"/>
                <w:szCs w:val="21"/>
              </w:rPr>
              <w:t>波束控制精度（基于波束宽度）</w:t>
            </w:r>
          </w:p>
        </w:tc>
        <w:tc>
          <w:tcPr>
            <w:tcW w:w="3532" w:type="dxa"/>
            <w:vAlign w:val="center"/>
          </w:tcPr>
          <w:p>
            <w:pPr>
              <w:spacing w:line="360" w:lineRule="auto"/>
              <w:rPr>
                <w:rFonts w:ascii="宋体" w:hAnsi="宋体"/>
                <w:szCs w:val="21"/>
              </w:rPr>
            </w:pPr>
            <w:r>
              <w:rPr>
                <w:rFonts w:ascii="宋体" w:hAnsi="宋体" w:hint="eastAsia"/>
                <w:szCs w:val="21"/>
              </w:rPr>
              <w:t>≤5%</w:t>
            </w:r>
          </w:p>
        </w:tc>
      </w:tr>
      <w:tr>
        <w:tblPrEx>
          <w:tblW w:w="8063" w:type="dxa"/>
          <w:jc w:val="center"/>
          <w:tblCellMar>
            <w:top w:w="0" w:type="dxa"/>
            <w:left w:w="108" w:type="dxa"/>
            <w:bottom w:w="0" w:type="dxa"/>
            <w:right w:w="108" w:type="dxa"/>
          </w:tblCellMar>
        </w:tblPrEx>
        <w:trPr>
          <w:jc w:val="center"/>
        </w:trPr>
        <w:tc>
          <w:tcPr>
            <w:tcW w:w="4531" w:type="dxa"/>
            <w:vAlign w:val="center"/>
          </w:tcPr>
          <w:p>
            <w:pPr>
              <w:spacing w:line="360" w:lineRule="auto"/>
              <w:rPr>
                <w:rFonts w:ascii="宋体" w:hAnsi="宋体"/>
                <w:szCs w:val="21"/>
              </w:rPr>
            </w:pPr>
            <w:r>
              <w:rPr>
                <w:rFonts w:ascii="宋体" w:hAnsi="宋体" w:hint="eastAsia"/>
                <w:szCs w:val="21"/>
              </w:rPr>
              <w:t>电扫方向上双线偏振波束指向误差（基于波束宽度）</w:t>
            </w:r>
          </w:p>
        </w:tc>
        <w:tc>
          <w:tcPr>
            <w:tcW w:w="3532" w:type="dxa"/>
            <w:vAlign w:val="center"/>
          </w:tcPr>
          <w:p>
            <w:pPr>
              <w:spacing w:line="360" w:lineRule="auto"/>
              <w:rPr>
                <w:rFonts w:ascii="宋体" w:hAnsi="宋体"/>
                <w:szCs w:val="21"/>
              </w:rPr>
            </w:pPr>
            <w:r>
              <w:rPr>
                <w:rFonts w:ascii="宋体" w:hAnsi="宋体" w:hint="eastAsia"/>
                <w:szCs w:val="21"/>
              </w:rPr>
              <w:t>≤5%</w:t>
            </w:r>
          </w:p>
        </w:tc>
      </w:tr>
      <w:tr>
        <w:tblPrEx>
          <w:tblW w:w="8063" w:type="dxa"/>
          <w:jc w:val="center"/>
          <w:tblCellMar>
            <w:top w:w="0" w:type="dxa"/>
            <w:left w:w="108" w:type="dxa"/>
            <w:bottom w:w="0" w:type="dxa"/>
            <w:right w:w="108" w:type="dxa"/>
          </w:tblCellMar>
        </w:tblPrEx>
        <w:trPr>
          <w:jc w:val="center"/>
        </w:trPr>
        <w:tc>
          <w:tcPr>
            <w:tcW w:w="4531" w:type="dxa"/>
            <w:vAlign w:val="center"/>
          </w:tcPr>
          <w:p>
            <w:pPr>
              <w:spacing w:line="360" w:lineRule="auto"/>
              <w:rPr>
                <w:rFonts w:ascii="宋体" w:hAnsi="宋体"/>
                <w:szCs w:val="21"/>
              </w:rPr>
            </w:pPr>
            <w:r>
              <w:rPr>
                <w:rFonts w:ascii="宋体" w:hAnsi="宋体" w:hint="eastAsia"/>
                <w:szCs w:val="21"/>
              </w:rPr>
              <w:t>电扫方向上双线偏振3dB波束宽度误差（基于波束宽度）</w:t>
            </w:r>
          </w:p>
        </w:tc>
        <w:tc>
          <w:tcPr>
            <w:tcW w:w="3532" w:type="dxa"/>
            <w:vAlign w:val="center"/>
          </w:tcPr>
          <w:p>
            <w:pPr>
              <w:spacing w:line="360" w:lineRule="auto"/>
              <w:rPr>
                <w:rFonts w:ascii="宋体" w:hAnsi="宋体"/>
                <w:szCs w:val="21"/>
              </w:rPr>
            </w:pPr>
            <w:r>
              <w:rPr>
                <w:rFonts w:ascii="宋体" w:hAnsi="宋体" w:hint="eastAsia"/>
                <w:szCs w:val="21"/>
              </w:rPr>
              <w:t>≤5%</w:t>
            </w:r>
          </w:p>
        </w:tc>
      </w:tr>
      <w:tr>
        <w:tblPrEx>
          <w:tblW w:w="8063" w:type="dxa"/>
          <w:jc w:val="center"/>
          <w:tblCellMar>
            <w:top w:w="0" w:type="dxa"/>
            <w:left w:w="108" w:type="dxa"/>
            <w:bottom w:w="0" w:type="dxa"/>
            <w:right w:w="108" w:type="dxa"/>
          </w:tblCellMar>
        </w:tblPrEx>
        <w:trPr>
          <w:jc w:val="center"/>
        </w:trPr>
        <w:tc>
          <w:tcPr>
            <w:tcW w:w="4531" w:type="dxa"/>
            <w:vAlign w:val="center"/>
          </w:tcPr>
          <w:p>
            <w:pPr>
              <w:spacing w:line="360" w:lineRule="auto"/>
              <w:rPr>
                <w:rFonts w:ascii="宋体" w:hAnsi="宋体"/>
                <w:szCs w:val="21"/>
              </w:rPr>
            </w:pPr>
            <w:r>
              <w:rPr>
                <w:rFonts w:ascii="宋体" w:hAnsi="宋体" w:hint="eastAsia"/>
                <w:szCs w:val="21"/>
              </w:rPr>
              <w:t>同时接收波束数（单极化）</w:t>
            </w:r>
          </w:p>
        </w:tc>
        <w:tc>
          <w:tcPr>
            <w:tcW w:w="3532" w:type="dxa"/>
            <w:vAlign w:val="center"/>
          </w:tcPr>
          <w:p>
            <w:pPr>
              <w:spacing w:line="360" w:lineRule="auto"/>
              <w:rPr>
                <w:rFonts w:ascii="宋体" w:hAnsi="宋体"/>
                <w:szCs w:val="21"/>
              </w:rPr>
            </w:pPr>
            <w:r>
              <w:rPr>
                <w:rFonts w:ascii="宋体" w:hAnsi="宋体" w:hint="eastAsia"/>
                <w:szCs w:val="21"/>
              </w:rPr>
              <w:t>≥16个波束</w:t>
            </w:r>
          </w:p>
        </w:tc>
      </w:tr>
      <w:tr>
        <w:tblPrEx>
          <w:tblW w:w="8063" w:type="dxa"/>
          <w:jc w:val="center"/>
          <w:tblCellMar>
            <w:top w:w="0" w:type="dxa"/>
            <w:left w:w="108" w:type="dxa"/>
            <w:bottom w:w="0" w:type="dxa"/>
            <w:right w:w="108" w:type="dxa"/>
          </w:tblCellMar>
        </w:tblPrEx>
        <w:trPr>
          <w:jc w:val="center"/>
        </w:trPr>
        <w:tc>
          <w:tcPr>
            <w:tcW w:w="4531" w:type="dxa"/>
            <w:vAlign w:val="center"/>
          </w:tcPr>
          <w:p>
            <w:pPr>
              <w:spacing w:line="360" w:lineRule="auto"/>
              <w:rPr>
                <w:rFonts w:ascii="宋体" w:hAnsi="宋体"/>
                <w:szCs w:val="21"/>
              </w:rPr>
            </w:pPr>
            <w:r>
              <w:rPr>
                <w:rFonts w:ascii="宋体" w:hAnsi="宋体" w:hint="eastAsia"/>
                <w:szCs w:val="21"/>
              </w:rPr>
              <w:t>电扫方向发射最大副瓣电平</w:t>
            </w:r>
          </w:p>
        </w:tc>
        <w:tc>
          <w:tcPr>
            <w:tcW w:w="3532" w:type="dxa"/>
            <w:vAlign w:val="center"/>
          </w:tcPr>
          <w:p>
            <w:pPr>
              <w:spacing w:line="360" w:lineRule="auto"/>
              <w:rPr>
                <w:rFonts w:ascii="宋体" w:hAnsi="宋体"/>
                <w:szCs w:val="21"/>
              </w:rPr>
            </w:pPr>
            <w:r>
              <w:rPr>
                <w:rFonts w:ascii="宋体" w:hAnsi="宋体" w:hint="eastAsia"/>
                <w:szCs w:val="21"/>
              </w:rPr>
              <w:t>≤-23dB</w:t>
            </w:r>
          </w:p>
        </w:tc>
      </w:tr>
      <w:tr>
        <w:tblPrEx>
          <w:tblW w:w="8063" w:type="dxa"/>
          <w:jc w:val="center"/>
          <w:tblCellMar>
            <w:top w:w="0" w:type="dxa"/>
            <w:left w:w="108" w:type="dxa"/>
            <w:bottom w:w="0" w:type="dxa"/>
            <w:right w:w="108" w:type="dxa"/>
          </w:tblCellMar>
        </w:tblPrEx>
        <w:trPr>
          <w:jc w:val="center"/>
        </w:trPr>
        <w:tc>
          <w:tcPr>
            <w:tcW w:w="4531" w:type="dxa"/>
            <w:vAlign w:val="center"/>
          </w:tcPr>
          <w:p>
            <w:pPr>
              <w:spacing w:line="360" w:lineRule="auto"/>
              <w:rPr>
                <w:rFonts w:ascii="宋体" w:hAnsi="宋体"/>
                <w:szCs w:val="21"/>
              </w:rPr>
            </w:pPr>
            <w:r>
              <w:rPr>
                <w:rFonts w:ascii="宋体" w:hAnsi="宋体" w:hint="eastAsia"/>
                <w:szCs w:val="21"/>
              </w:rPr>
              <w:t>电扫方向接收最大副瓣电平</w:t>
            </w:r>
          </w:p>
        </w:tc>
        <w:tc>
          <w:tcPr>
            <w:tcW w:w="3532" w:type="dxa"/>
            <w:vAlign w:val="center"/>
          </w:tcPr>
          <w:p>
            <w:pPr>
              <w:spacing w:line="360" w:lineRule="auto"/>
              <w:rPr>
                <w:rFonts w:ascii="宋体" w:hAnsi="宋体"/>
                <w:szCs w:val="21"/>
              </w:rPr>
            </w:pPr>
            <w:r>
              <w:rPr>
                <w:rFonts w:ascii="宋体" w:hAnsi="宋体" w:hint="eastAsia"/>
                <w:szCs w:val="21"/>
              </w:rPr>
              <w:t>≤-35dB</w:t>
            </w:r>
          </w:p>
        </w:tc>
      </w:tr>
    </w:tbl>
    <w:p>
      <w:pPr>
        <w:spacing w:line="360" w:lineRule="auto"/>
        <w:rPr>
          <w:rFonts w:ascii="宋体" w:hAnsi="宋体"/>
          <w:b/>
          <w:szCs w:val="21"/>
        </w:rPr>
      </w:pPr>
      <w:r>
        <w:rPr>
          <w:rFonts w:ascii="宋体" w:hAnsi="宋体" w:hint="eastAsia"/>
          <w:b/>
          <w:bCs/>
          <w:szCs w:val="21"/>
        </w:rPr>
        <w:t>1.12.</w:t>
      </w:r>
      <w:r>
        <w:rPr>
          <w:rFonts w:ascii="宋体" w:hAnsi="宋体" w:hint="eastAsia"/>
          <w:b/>
          <w:szCs w:val="21"/>
        </w:rPr>
        <w:t>7.信号处理单元</w:t>
      </w:r>
    </w:p>
    <w:p>
      <w:pPr>
        <w:spacing w:line="360" w:lineRule="auto"/>
        <w:rPr>
          <w:rFonts w:ascii="宋体" w:hAnsi="宋体"/>
          <w:szCs w:val="21"/>
        </w:rPr>
      </w:pPr>
      <w:r>
        <w:rPr>
          <w:rFonts w:ascii="宋体" w:hAnsi="宋体" w:hint="eastAsia"/>
          <w:szCs w:val="21"/>
        </w:rPr>
        <w:t>信号处理单元具有多普勒和双线偏振信号的处理能力。信号处理主要包括脉冲压缩处理、积分处理、脉冲对处理（PPP）和快速傅里叶变换（FFT），可输出强度Z（滤波前和滤波后）、径向速度V、速度谱宽W、差分反射率因子ZDR、差分传播相移ΦDP、差分传播相移率KDP、相关系数ρhv和信噪比SNR等数据，同时具有速度退模糊和距离退折叠的能力。该模块还能向终端提供观测数据和状态信息等。</w:t>
      </w:r>
    </w:p>
    <w:p>
      <w:pPr>
        <w:spacing w:line="360" w:lineRule="auto"/>
        <w:rPr>
          <w:rFonts w:ascii="宋体" w:hAnsi="宋体"/>
          <w:szCs w:val="21"/>
        </w:rPr>
      </w:pPr>
      <w:r>
        <w:rPr>
          <w:rFonts w:ascii="宋体" w:hAnsi="宋体" w:hint="eastAsia"/>
          <w:szCs w:val="21"/>
        </w:rPr>
        <w:t>信号处理单元对信号强度的估算，在距离上采用可由用户选择的按库累积平均，在方位角上采用累积平均。径向速度、速度谱宽的估算采用PPP、FFT或其他等效算法，并可使用双重频进行扫描。具有地物、电磁干扰、风电场等非气象回波识别和抑制的能力。具体指标见下表。</w:t>
      </w:r>
    </w:p>
    <w:p>
      <w:pPr>
        <w:spacing w:line="360" w:lineRule="auto"/>
        <w:rPr>
          <w:rFonts w:ascii="宋体" w:hAnsi="宋体"/>
          <w:szCs w:val="21"/>
          <w:lang w:bidi="en-US"/>
        </w:rPr>
      </w:pPr>
      <w:r>
        <w:rPr>
          <w:rFonts w:ascii="宋体" w:hAnsi="宋体" w:hint="eastAsia"/>
          <w:szCs w:val="21"/>
          <w:lang w:bidi="en-US"/>
        </w:rPr>
        <w:t>表7 信号处理单元技术性能指标表</w:t>
      </w:r>
    </w:p>
    <w:tbl>
      <w:tblPr>
        <w:tblStyle w:val="TableNormal"/>
        <w:tblW w:w="8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579"/>
        <w:gridCol w:w="5528"/>
      </w:tblGrid>
      <w:tr>
        <w:tblPrEx>
          <w:tblW w:w="8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2579" w:type="dxa"/>
            <w:vAlign w:val="center"/>
          </w:tcPr>
          <w:p>
            <w:pPr>
              <w:spacing w:line="360" w:lineRule="auto"/>
              <w:rPr>
                <w:rFonts w:ascii="宋体" w:hAnsi="宋体"/>
                <w:szCs w:val="21"/>
              </w:rPr>
            </w:pPr>
            <w:r>
              <w:rPr>
                <w:rFonts w:ascii="宋体" w:hAnsi="宋体" w:hint="eastAsia"/>
                <w:szCs w:val="21"/>
              </w:rPr>
              <w:t>项目</w:t>
            </w:r>
          </w:p>
        </w:tc>
        <w:tc>
          <w:tcPr>
            <w:tcW w:w="5528" w:type="dxa"/>
            <w:vAlign w:val="center"/>
          </w:tcPr>
          <w:p>
            <w:pPr>
              <w:spacing w:line="360" w:lineRule="auto"/>
              <w:rPr>
                <w:rFonts w:ascii="宋体" w:hAnsi="宋体"/>
                <w:szCs w:val="21"/>
              </w:rPr>
            </w:pPr>
            <w:r>
              <w:rPr>
                <w:rFonts w:ascii="宋体" w:hAnsi="宋体" w:hint="eastAsia"/>
                <w:szCs w:val="21"/>
              </w:rPr>
              <w:t>性能指标</w:t>
            </w:r>
          </w:p>
        </w:tc>
      </w:tr>
      <w:tr>
        <w:tblPrEx>
          <w:tblW w:w="8107" w:type="dxa"/>
          <w:jc w:val="center"/>
          <w:tblCellMar>
            <w:top w:w="0" w:type="dxa"/>
            <w:left w:w="108" w:type="dxa"/>
            <w:bottom w:w="0" w:type="dxa"/>
            <w:right w:w="108" w:type="dxa"/>
          </w:tblCellMar>
        </w:tblPrEx>
        <w:trPr>
          <w:jc w:val="center"/>
        </w:trPr>
        <w:tc>
          <w:tcPr>
            <w:tcW w:w="2579" w:type="dxa"/>
            <w:vAlign w:val="center"/>
          </w:tcPr>
          <w:p>
            <w:pPr>
              <w:spacing w:line="360" w:lineRule="auto"/>
              <w:rPr>
                <w:rFonts w:ascii="宋体" w:hAnsi="宋体"/>
                <w:szCs w:val="21"/>
              </w:rPr>
            </w:pPr>
            <w:r>
              <w:rPr>
                <w:rFonts w:ascii="宋体" w:hAnsi="宋体" w:hint="eastAsia"/>
                <w:szCs w:val="21"/>
              </w:rPr>
              <w:t>最大脉冲压缩比</w:t>
            </w:r>
          </w:p>
        </w:tc>
        <w:tc>
          <w:tcPr>
            <w:tcW w:w="5528" w:type="dxa"/>
            <w:vAlign w:val="center"/>
          </w:tcPr>
          <w:p>
            <w:pPr>
              <w:spacing w:line="360" w:lineRule="auto"/>
              <w:rPr>
                <w:rFonts w:ascii="宋体" w:hAnsi="宋体"/>
                <w:szCs w:val="21"/>
              </w:rPr>
            </w:pPr>
            <w:r>
              <w:rPr>
                <w:rFonts w:ascii="宋体" w:hAnsi="宋体" w:hint="eastAsia"/>
                <w:szCs w:val="21"/>
              </w:rPr>
              <w:t>≥100</w:t>
            </w:r>
          </w:p>
        </w:tc>
      </w:tr>
      <w:tr>
        <w:tblPrEx>
          <w:tblW w:w="8107" w:type="dxa"/>
          <w:jc w:val="center"/>
          <w:tblCellMar>
            <w:top w:w="0" w:type="dxa"/>
            <w:left w:w="108" w:type="dxa"/>
            <w:bottom w:w="0" w:type="dxa"/>
            <w:right w:w="108" w:type="dxa"/>
          </w:tblCellMar>
        </w:tblPrEx>
        <w:trPr>
          <w:jc w:val="center"/>
        </w:trPr>
        <w:tc>
          <w:tcPr>
            <w:tcW w:w="2579" w:type="dxa"/>
            <w:vAlign w:val="center"/>
          </w:tcPr>
          <w:p>
            <w:pPr>
              <w:spacing w:line="360" w:lineRule="auto"/>
              <w:rPr>
                <w:rFonts w:ascii="宋体" w:hAnsi="宋体"/>
                <w:szCs w:val="21"/>
              </w:rPr>
            </w:pPr>
            <w:r>
              <w:rPr>
                <w:rFonts w:ascii="宋体" w:hAnsi="宋体" w:hint="eastAsia"/>
                <w:szCs w:val="21"/>
              </w:rPr>
              <w:t>脉冲压缩主副瓣比</w:t>
            </w:r>
          </w:p>
        </w:tc>
        <w:tc>
          <w:tcPr>
            <w:tcW w:w="5528" w:type="dxa"/>
            <w:vAlign w:val="center"/>
          </w:tcPr>
          <w:p>
            <w:pPr>
              <w:spacing w:line="360" w:lineRule="auto"/>
              <w:rPr>
                <w:rFonts w:ascii="宋体" w:hAnsi="宋体"/>
                <w:szCs w:val="21"/>
              </w:rPr>
            </w:pPr>
            <w:r>
              <w:rPr>
                <w:rFonts w:ascii="宋体" w:hAnsi="宋体" w:hint="eastAsia"/>
                <w:szCs w:val="21"/>
              </w:rPr>
              <w:t>≥50dB（脉压比≥100）</w:t>
            </w:r>
          </w:p>
        </w:tc>
      </w:tr>
      <w:tr>
        <w:tblPrEx>
          <w:tblW w:w="8107" w:type="dxa"/>
          <w:jc w:val="center"/>
          <w:tblCellMar>
            <w:top w:w="0" w:type="dxa"/>
            <w:left w:w="108" w:type="dxa"/>
            <w:bottom w:w="0" w:type="dxa"/>
            <w:right w:w="108" w:type="dxa"/>
          </w:tblCellMar>
        </w:tblPrEx>
        <w:trPr>
          <w:jc w:val="center"/>
        </w:trPr>
        <w:tc>
          <w:tcPr>
            <w:tcW w:w="2579" w:type="dxa"/>
            <w:vAlign w:val="center"/>
          </w:tcPr>
          <w:p>
            <w:pPr>
              <w:spacing w:line="360" w:lineRule="auto"/>
              <w:rPr>
                <w:rFonts w:ascii="宋体" w:hAnsi="宋体"/>
                <w:szCs w:val="21"/>
              </w:rPr>
            </w:pPr>
            <w:r>
              <w:rPr>
                <w:rFonts w:ascii="宋体" w:hAnsi="宋体" w:hint="eastAsia"/>
                <w:szCs w:val="21"/>
              </w:rPr>
              <w:t>脉冲累计平均次数</w:t>
            </w:r>
          </w:p>
        </w:tc>
        <w:tc>
          <w:tcPr>
            <w:tcW w:w="5528" w:type="dxa"/>
            <w:vAlign w:val="center"/>
          </w:tcPr>
          <w:p>
            <w:pPr>
              <w:spacing w:line="360" w:lineRule="auto"/>
              <w:rPr>
                <w:rFonts w:ascii="宋体" w:hAnsi="宋体"/>
                <w:szCs w:val="21"/>
              </w:rPr>
            </w:pPr>
            <w:r>
              <w:rPr>
                <w:rFonts w:ascii="宋体" w:hAnsi="宋体" w:hint="eastAsia"/>
                <w:szCs w:val="21"/>
              </w:rPr>
              <w:t>16～512可选</w:t>
            </w:r>
          </w:p>
        </w:tc>
      </w:tr>
      <w:tr>
        <w:tblPrEx>
          <w:tblW w:w="8107" w:type="dxa"/>
          <w:jc w:val="center"/>
          <w:tblCellMar>
            <w:top w:w="0" w:type="dxa"/>
            <w:left w:w="108" w:type="dxa"/>
            <w:bottom w:w="0" w:type="dxa"/>
            <w:right w:w="108" w:type="dxa"/>
          </w:tblCellMar>
        </w:tblPrEx>
        <w:trPr>
          <w:jc w:val="center"/>
        </w:trPr>
        <w:tc>
          <w:tcPr>
            <w:tcW w:w="2579" w:type="dxa"/>
            <w:vAlign w:val="center"/>
          </w:tcPr>
          <w:p>
            <w:pPr>
              <w:spacing w:line="360" w:lineRule="auto"/>
              <w:rPr>
                <w:rFonts w:ascii="宋体" w:hAnsi="宋体"/>
                <w:szCs w:val="21"/>
              </w:rPr>
            </w:pPr>
            <w:r>
              <w:rPr>
                <w:rFonts w:ascii="宋体" w:hAnsi="宋体" w:hint="eastAsia"/>
                <w:szCs w:val="21"/>
              </w:rPr>
              <w:t>强度、速度处理方式</w:t>
            </w:r>
          </w:p>
        </w:tc>
        <w:tc>
          <w:tcPr>
            <w:tcW w:w="5528" w:type="dxa"/>
            <w:vAlign w:val="center"/>
          </w:tcPr>
          <w:p>
            <w:pPr>
              <w:spacing w:line="360" w:lineRule="auto"/>
              <w:rPr>
                <w:rFonts w:ascii="宋体" w:hAnsi="宋体"/>
                <w:szCs w:val="21"/>
              </w:rPr>
            </w:pPr>
            <w:r>
              <w:rPr>
                <w:rFonts w:ascii="宋体" w:hAnsi="宋体" w:hint="eastAsia"/>
                <w:szCs w:val="21"/>
              </w:rPr>
              <w:t>FFT/PPP处理</w:t>
            </w:r>
          </w:p>
        </w:tc>
      </w:tr>
      <w:tr>
        <w:tblPrEx>
          <w:tblW w:w="8107" w:type="dxa"/>
          <w:jc w:val="center"/>
          <w:tblCellMar>
            <w:top w:w="0" w:type="dxa"/>
            <w:left w:w="108" w:type="dxa"/>
            <w:bottom w:w="0" w:type="dxa"/>
            <w:right w:w="108" w:type="dxa"/>
          </w:tblCellMar>
        </w:tblPrEx>
        <w:trPr>
          <w:jc w:val="center"/>
        </w:trPr>
        <w:tc>
          <w:tcPr>
            <w:tcW w:w="2579" w:type="dxa"/>
            <w:vAlign w:val="center"/>
          </w:tcPr>
          <w:p>
            <w:pPr>
              <w:spacing w:line="360" w:lineRule="auto"/>
              <w:rPr>
                <w:rFonts w:ascii="宋体" w:hAnsi="宋体"/>
                <w:szCs w:val="21"/>
              </w:rPr>
            </w:pPr>
            <w:r>
              <w:rPr>
                <w:rFonts w:ascii="宋体" w:hAnsi="宋体" w:hint="eastAsia"/>
                <w:szCs w:val="21"/>
              </w:rPr>
              <w:t>相关系数处理方式</w:t>
            </w:r>
          </w:p>
        </w:tc>
        <w:tc>
          <w:tcPr>
            <w:tcW w:w="5528" w:type="dxa"/>
            <w:vAlign w:val="center"/>
          </w:tcPr>
          <w:p>
            <w:pPr>
              <w:spacing w:line="360" w:lineRule="auto"/>
              <w:rPr>
                <w:rFonts w:ascii="宋体" w:hAnsi="宋体"/>
                <w:szCs w:val="21"/>
              </w:rPr>
            </w:pPr>
            <w:r>
              <w:rPr>
                <w:rFonts w:ascii="宋体" w:hAnsi="宋体" w:hint="eastAsia"/>
                <w:szCs w:val="21"/>
              </w:rPr>
              <w:t>一阶相关或多阶相关</w:t>
            </w:r>
          </w:p>
        </w:tc>
      </w:tr>
      <w:tr>
        <w:tblPrEx>
          <w:tblW w:w="8107" w:type="dxa"/>
          <w:jc w:val="center"/>
          <w:tblCellMar>
            <w:top w:w="0" w:type="dxa"/>
            <w:left w:w="108" w:type="dxa"/>
            <w:bottom w:w="0" w:type="dxa"/>
            <w:right w:w="108" w:type="dxa"/>
          </w:tblCellMar>
        </w:tblPrEx>
        <w:trPr>
          <w:jc w:val="center"/>
        </w:trPr>
        <w:tc>
          <w:tcPr>
            <w:tcW w:w="2579" w:type="dxa"/>
            <w:vAlign w:val="center"/>
          </w:tcPr>
          <w:p>
            <w:pPr>
              <w:spacing w:line="360" w:lineRule="auto"/>
              <w:rPr>
                <w:rFonts w:ascii="宋体" w:hAnsi="宋体"/>
                <w:szCs w:val="21"/>
              </w:rPr>
            </w:pPr>
            <w:r>
              <w:rPr>
                <w:rFonts w:ascii="宋体" w:hAnsi="宋体" w:hint="eastAsia"/>
                <w:szCs w:val="21"/>
              </w:rPr>
              <w:t>距离退模糊方法</w:t>
            </w:r>
          </w:p>
        </w:tc>
        <w:tc>
          <w:tcPr>
            <w:tcW w:w="5528" w:type="dxa"/>
            <w:vAlign w:val="center"/>
          </w:tcPr>
          <w:p>
            <w:pPr>
              <w:spacing w:line="360" w:lineRule="auto"/>
              <w:rPr>
                <w:rFonts w:ascii="宋体" w:hAnsi="宋体"/>
                <w:szCs w:val="21"/>
              </w:rPr>
            </w:pPr>
            <w:r>
              <w:rPr>
                <w:rFonts w:ascii="宋体" w:hAnsi="宋体" w:hint="eastAsia"/>
                <w:szCs w:val="21"/>
              </w:rPr>
              <w:t>相位编码或其他等效方法</w:t>
            </w:r>
          </w:p>
        </w:tc>
      </w:tr>
      <w:tr>
        <w:tblPrEx>
          <w:tblW w:w="8107" w:type="dxa"/>
          <w:jc w:val="center"/>
          <w:tblCellMar>
            <w:top w:w="0" w:type="dxa"/>
            <w:left w:w="108" w:type="dxa"/>
            <w:bottom w:w="0" w:type="dxa"/>
            <w:right w:w="108" w:type="dxa"/>
          </w:tblCellMar>
        </w:tblPrEx>
        <w:trPr>
          <w:jc w:val="center"/>
        </w:trPr>
        <w:tc>
          <w:tcPr>
            <w:tcW w:w="2579" w:type="dxa"/>
            <w:vAlign w:val="center"/>
          </w:tcPr>
          <w:p>
            <w:pPr>
              <w:spacing w:line="360" w:lineRule="auto"/>
              <w:rPr>
                <w:rFonts w:ascii="宋体" w:hAnsi="宋体"/>
                <w:szCs w:val="21"/>
              </w:rPr>
            </w:pPr>
            <w:r>
              <w:rPr>
                <w:rFonts w:ascii="宋体" w:hAnsi="宋体" w:hint="eastAsia"/>
                <w:szCs w:val="21"/>
              </w:rPr>
              <w:t>速度退模糊方法</w:t>
            </w:r>
          </w:p>
        </w:tc>
        <w:tc>
          <w:tcPr>
            <w:tcW w:w="5528" w:type="dxa"/>
            <w:vAlign w:val="center"/>
          </w:tcPr>
          <w:p>
            <w:pPr>
              <w:spacing w:line="360" w:lineRule="auto"/>
              <w:rPr>
                <w:rFonts w:ascii="宋体" w:hAnsi="宋体"/>
                <w:szCs w:val="21"/>
              </w:rPr>
            </w:pPr>
            <w:r>
              <w:rPr>
                <w:rFonts w:ascii="宋体" w:hAnsi="宋体" w:hint="eastAsia"/>
                <w:szCs w:val="21"/>
              </w:rPr>
              <w:t>双重频或其他等效方法</w:t>
            </w:r>
          </w:p>
        </w:tc>
      </w:tr>
      <w:tr>
        <w:tblPrEx>
          <w:tblW w:w="8107" w:type="dxa"/>
          <w:jc w:val="center"/>
          <w:tblCellMar>
            <w:top w:w="0" w:type="dxa"/>
            <w:left w:w="108" w:type="dxa"/>
            <w:bottom w:w="0" w:type="dxa"/>
            <w:right w:w="108" w:type="dxa"/>
          </w:tblCellMar>
        </w:tblPrEx>
        <w:trPr>
          <w:jc w:val="center"/>
        </w:trPr>
        <w:tc>
          <w:tcPr>
            <w:tcW w:w="2579" w:type="dxa"/>
            <w:vAlign w:val="center"/>
          </w:tcPr>
          <w:p>
            <w:pPr>
              <w:spacing w:line="360" w:lineRule="auto"/>
              <w:rPr>
                <w:rFonts w:ascii="宋体" w:hAnsi="宋体"/>
                <w:szCs w:val="21"/>
              </w:rPr>
            </w:pPr>
            <w:r>
              <w:rPr>
                <w:rFonts w:ascii="宋体" w:hAnsi="宋体" w:hint="eastAsia"/>
                <w:szCs w:val="21"/>
              </w:rPr>
              <w:t>非气象回波识别和抑制</w:t>
            </w:r>
          </w:p>
        </w:tc>
        <w:tc>
          <w:tcPr>
            <w:tcW w:w="5528" w:type="dxa"/>
            <w:vAlign w:val="center"/>
          </w:tcPr>
          <w:p>
            <w:pPr>
              <w:spacing w:line="360" w:lineRule="auto"/>
              <w:rPr>
                <w:rFonts w:ascii="宋体" w:hAnsi="宋体"/>
                <w:szCs w:val="21"/>
              </w:rPr>
            </w:pPr>
            <w:r>
              <w:rPr>
                <w:rFonts w:ascii="宋体" w:hAnsi="宋体" w:hint="eastAsia"/>
                <w:szCs w:val="21"/>
              </w:rPr>
              <w:t>具有电磁干扰、风电干扰及其它干扰的自动处理能力</w:t>
            </w:r>
          </w:p>
        </w:tc>
      </w:tr>
      <w:tr>
        <w:tblPrEx>
          <w:tblW w:w="8107" w:type="dxa"/>
          <w:jc w:val="center"/>
          <w:tblCellMar>
            <w:top w:w="0" w:type="dxa"/>
            <w:left w:w="108" w:type="dxa"/>
            <w:bottom w:w="0" w:type="dxa"/>
            <w:right w:w="108" w:type="dxa"/>
          </w:tblCellMar>
        </w:tblPrEx>
        <w:trPr>
          <w:jc w:val="center"/>
        </w:trPr>
        <w:tc>
          <w:tcPr>
            <w:tcW w:w="2579" w:type="dxa"/>
            <w:vAlign w:val="center"/>
          </w:tcPr>
          <w:p>
            <w:pPr>
              <w:spacing w:line="360" w:lineRule="auto"/>
              <w:rPr>
                <w:rFonts w:ascii="宋体" w:hAnsi="宋体"/>
                <w:szCs w:val="21"/>
              </w:rPr>
            </w:pPr>
            <w:r>
              <w:rPr>
                <w:rFonts w:ascii="宋体" w:hAnsi="宋体" w:hint="eastAsia"/>
                <w:szCs w:val="21"/>
              </w:rPr>
              <w:t>参数估计</w:t>
            </w:r>
          </w:p>
        </w:tc>
        <w:tc>
          <w:tcPr>
            <w:tcW w:w="5528" w:type="dxa"/>
            <w:vAlign w:val="center"/>
          </w:tcPr>
          <w:p>
            <w:pPr>
              <w:spacing w:line="360" w:lineRule="auto"/>
              <w:rPr>
                <w:rFonts w:ascii="宋体" w:hAnsi="宋体"/>
                <w:szCs w:val="21"/>
              </w:rPr>
            </w:pPr>
            <w:r>
              <w:rPr>
                <w:rFonts w:ascii="宋体" w:hAnsi="宋体" w:hint="eastAsia"/>
                <w:szCs w:val="21"/>
              </w:rPr>
              <w:t>合理方法处理多脉宽条件下参数估算</w:t>
            </w:r>
          </w:p>
        </w:tc>
      </w:tr>
      <w:tr>
        <w:tblPrEx>
          <w:tblW w:w="8107" w:type="dxa"/>
          <w:jc w:val="center"/>
          <w:tblCellMar>
            <w:top w:w="0" w:type="dxa"/>
            <w:left w:w="108" w:type="dxa"/>
            <w:bottom w:w="0" w:type="dxa"/>
            <w:right w:w="108" w:type="dxa"/>
          </w:tblCellMar>
        </w:tblPrEx>
        <w:trPr>
          <w:jc w:val="center"/>
        </w:trPr>
        <w:tc>
          <w:tcPr>
            <w:tcW w:w="2579" w:type="dxa"/>
            <w:vAlign w:val="center"/>
          </w:tcPr>
          <w:p>
            <w:pPr>
              <w:spacing w:line="360" w:lineRule="auto"/>
              <w:rPr>
                <w:rFonts w:ascii="宋体" w:hAnsi="宋体"/>
                <w:szCs w:val="21"/>
              </w:rPr>
            </w:pPr>
            <w:r>
              <w:rPr>
                <w:rFonts w:ascii="宋体" w:hAnsi="宋体" w:hint="eastAsia"/>
                <w:szCs w:val="21"/>
              </w:rPr>
              <w:t>地物抑制</w:t>
            </w:r>
          </w:p>
        </w:tc>
        <w:tc>
          <w:tcPr>
            <w:tcW w:w="5528" w:type="dxa"/>
            <w:vAlign w:val="center"/>
          </w:tcPr>
          <w:p>
            <w:pPr>
              <w:spacing w:line="360" w:lineRule="auto"/>
              <w:rPr>
                <w:rFonts w:ascii="宋体" w:hAnsi="宋体"/>
                <w:szCs w:val="21"/>
              </w:rPr>
            </w:pPr>
            <w:r>
              <w:rPr>
                <w:rFonts w:ascii="宋体" w:hAnsi="宋体" w:hint="eastAsia"/>
                <w:szCs w:val="21"/>
              </w:rPr>
              <w:t>深度学习或其他等效方法</w:t>
            </w:r>
          </w:p>
        </w:tc>
      </w:tr>
      <w:tr>
        <w:tblPrEx>
          <w:tblW w:w="8107" w:type="dxa"/>
          <w:jc w:val="center"/>
          <w:tblCellMar>
            <w:top w:w="0" w:type="dxa"/>
            <w:left w:w="108" w:type="dxa"/>
            <w:bottom w:w="0" w:type="dxa"/>
            <w:right w:w="108" w:type="dxa"/>
          </w:tblCellMar>
        </w:tblPrEx>
        <w:trPr>
          <w:jc w:val="center"/>
        </w:trPr>
        <w:tc>
          <w:tcPr>
            <w:tcW w:w="2579" w:type="dxa"/>
            <w:vAlign w:val="center"/>
          </w:tcPr>
          <w:p>
            <w:pPr>
              <w:spacing w:line="360" w:lineRule="auto"/>
              <w:rPr>
                <w:rFonts w:ascii="宋体" w:hAnsi="宋体"/>
                <w:szCs w:val="21"/>
              </w:rPr>
            </w:pPr>
            <w:r>
              <w:rPr>
                <w:rFonts w:ascii="宋体" w:hAnsi="宋体" w:hint="eastAsia"/>
                <w:szCs w:val="21"/>
              </w:rPr>
              <w:t>故障检测和保护</w:t>
            </w:r>
          </w:p>
        </w:tc>
        <w:tc>
          <w:tcPr>
            <w:tcW w:w="5528" w:type="dxa"/>
            <w:vAlign w:val="center"/>
          </w:tcPr>
          <w:p>
            <w:pPr>
              <w:spacing w:line="360" w:lineRule="auto"/>
              <w:rPr>
                <w:rFonts w:ascii="宋体" w:hAnsi="宋体"/>
                <w:szCs w:val="21"/>
              </w:rPr>
            </w:pPr>
            <w:r>
              <w:rPr>
                <w:rFonts w:ascii="宋体" w:hAnsi="宋体" w:hint="eastAsia"/>
                <w:szCs w:val="21"/>
              </w:rPr>
              <w:t>数据丢包，参数输出等故障</w:t>
            </w:r>
          </w:p>
        </w:tc>
      </w:tr>
    </w:tbl>
    <w:p>
      <w:pPr>
        <w:spacing w:line="360" w:lineRule="auto"/>
        <w:rPr>
          <w:rFonts w:ascii="宋体" w:hAnsi="宋体"/>
          <w:b/>
          <w:szCs w:val="21"/>
        </w:rPr>
      </w:pPr>
      <w:r>
        <w:rPr>
          <w:rFonts w:ascii="宋体" w:hAnsi="宋体" w:hint="eastAsia"/>
          <w:b/>
          <w:bCs/>
          <w:szCs w:val="21"/>
        </w:rPr>
        <w:t>1.12.</w:t>
      </w:r>
      <w:r>
        <w:rPr>
          <w:rFonts w:ascii="宋体" w:hAnsi="宋体" w:hint="eastAsia"/>
          <w:b/>
          <w:szCs w:val="21"/>
        </w:rPr>
        <w:t>8.雷达标定</w:t>
      </w:r>
    </w:p>
    <w:p>
      <w:pPr>
        <w:spacing w:line="360" w:lineRule="auto"/>
        <w:rPr>
          <w:rFonts w:ascii="宋体" w:hAnsi="宋体"/>
          <w:szCs w:val="21"/>
        </w:rPr>
      </w:pPr>
      <w:r>
        <w:rPr>
          <w:rFonts w:ascii="宋体" w:hAnsi="宋体" w:hint="eastAsia"/>
          <w:szCs w:val="21"/>
        </w:rPr>
        <w:t>系统应具有通过机内外仪表等设备开展系统主要参数指标的自动测试及标定的功能。标定功能按照在线标定、离线标定两类进行设计。雷达根据预先设置的测试程序，自动完成各项参数的测试和结果存储。标定结果设有独立告警门限并在记录文件中保存，在本地可保存不少于6个月的数据，并可在固定目录下查看历史标定记录。</w:t>
      </w:r>
    </w:p>
    <w:p>
      <w:pPr>
        <w:spacing w:line="360" w:lineRule="auto"/>
        <w:rPr>
          <w:rFonts w:ascii="宋体" w:hAnsi="宋体"/>
          <w:b/>
          <w:szCs w:val="21"/>
        </w:rPr>
      </w:pPr>
      <w:r>
        <w:rPr>
          <w:rFonts w:ascii="宋体" w:hAnsi="宋体" w:hint="eastAsia"/>
          <w:b/>
          <w:bCs/>
          <w:szCs w:val="21"/>
        </w:rPr>
        <w:t>1.12</w:t>
      </w:r>
      <w:r>
        <w:rPr>
          <w:rFonts w:ascii="宋体" w:hAnsi="宋体" w:hint="eastAsia"/>
          <w:b/>
          <w:szCs w:val="21"/>
        </w:rPr>
        <w:t>8.1在线标定</w:t>
      </w:r>
    </w:p>
    <w:p>
      <w:pPr>
        <w:spacing w:line="360" w:lineRule="auto"/>
        <w:rPr>
          <w:rFonts w:ascii="宋体" w:hAnsi="宋体"/>
          <w:szCs w:val="21"/>
        </w:rPr>
      </w:pPr>
      <w:r>
        <w:rPr>
          <w:rFonts w:ascii="宋体" w:hAnsi="宋体" w:hint="eastAsia"/>
          <w:szCs w:val="21"/>
        </w:rPr>
        <w:t>（1）收发单元标定</w:t>
      </w:r>
    </w:p>
    <w:p>
      <w:pPr>
        <w:spacing w:line="360" w:lineRule="auto"/>
        <w:rPr>
          <w:rFonts w:ascii="宋体" w:hAnsi="宋体"/>
          <w:szCs w:val="21"/>
        </w:rPr>
      </w:pPr>
      <w:r>
        <w:rPr>
          <w:rFonts w:ascii="宋体" w:hAnsi="宋体" w:hint="eastAsia"/>
          <w:szCs w:val="21"/>
        </w:rPr>
        <w:t>每个收发单元具备收发幅相测试能力，标定周期可任意设置，做完一次包含所有单元标定的时间不超过4min。</w:t>
      </w:r>
    </w:p>
    <w:p>
      <w:pPr>
        <w:spacing w:line="360" w:lineRule="auto"/>
        <w:rPr>
          <w:rFonts w:ascii="宋体" w:hAnsi="宋体"/>
          <w:szCs w:val="21"/>
        </w:rPr>
      </w:pPr>
      <w:r>
        <w:rPr>
          <w:rFonts w:ascii="宋体" w:hAnsi="宋体" w:hint="eastAsia"/>
          <w:szCs w:val="21"/>
        </w:rPr>
        <w:t>收发单元在线标定项包括但不限于发射峰值功率、接收噪声系数、相位噪声等。</w:t>
      </w:r>
    </w:p>
    <w:p>
      <w:pPr>
        <w:spacing w:line="360" w:lineRule="auto"/>
        <w:rPr>
          <w:rFonts w:ascii="宋体" w:hAnsi="宋体"/>
          <w:szCs w:val="21"/>
        </w:rPr>
      </w:pPr>
      <w:r>
        <w:rPr>
          <w:rFonts w:ascii="宋体" w:hAnsi="宋体" w:hint="eastAsia"/>
          <w:szCs w:val="21"/>
        </w:rPr>
        <w:t>（2）系统标定</w:t>
      </w:r>
    </w:p>
    <w:p>
      <w:pPr>
        <w:spacing w:line="360" w:lineRule="auto"/>
        <w:rPr>
          <w:rFonts w:ascii="宋体" w:hAnsi="宋体"/>
          <w:szCs w:val="21"/>
        </w:rPr>
      </w:pPr>
      <w:r>
        <w:rPr>
          <w:rFonts w:ascii="宋体" w:hAnsi="宋体" w:hint="eastAsia"/>
          <w:szCs w:val="21"/>
        </w:rPr>
        <w:t>系统在线标定应能够使用每个收发单元的测试数据通过特定算法形成系统标定结果，标定项目包括但不限于发射峰值功率、接收噪声系数、接收动态范围、系统相位噪声、回波强度、滤波前后功率比、径向速度、差分反射率因子、差分传播相移、通道间幅相一致性、标定常数等。雷达可依据标定结果自动修正偏差，提高雷达探测准确度。</w:t>
      </w:r>
    </w:p>
    <w:p>
      <w:pPr>
        <w:spacing w:line="360" w:lineRule="auto"/>
        <w:rPr>
          <w:rFonts w:ascii="宋体" w:hAnsi="宋体"/>
          <w:b/>
          <w:szCs w:val="21"/>
        </w:rPr>
      </w:pPr>
      <w:r>
        <w:rPr>
          <w:rFonts w:ascii="宋体" w:hAnsi="宋体" w:hint="eastAsia"/>
          <w:b/>
          <w:bCs/>
          <w:szCs w:val="21"/>
        </w:rPr>
        <w:t>1.12.</w:t>
      </w:r>
      <w:r>
        <w:rPr>
          <w:rFonts w:ascii="宋体" w:hAnsi="宋体" w:hint="eastAsia"/>
          <w:b/>
          <w:szCs w:val="21"/>
        </w:rPr>
        <w:t>8.2离线标定</w:t>
      </w:r>
    </w:p>
    <w:p>
      <w:pPr>
        <w:spacing w:line="360" w:lineRule="auto"/>
        <w:rPr>
          <w:rFonts w:ascii="宋体" w:hAnsi="宋体"/>
          <w:szCs w:val="21"/>
        </w:rPr>
      </w:pPr>
      <w:r>
        <w:rPr>
          <w:rFonts w:ascii="宋体" w:hAnsi="宋体" w:hint="eastAsia"/>
          <w:szCs w:val="21"/>
        </w:rPr>
        <w:t>（1）收发单元标定</w:t>
      </w:r>
    </w:p>
    <w:p>
      <w:pPr>
        <w:spacing w:line="360" w:lineRule="auto"/>
        <w:rPr>
          <w:rFonts w:ascii="宋体" w:hAnsi="宋体"/>
          <w:szCs w:val="21"/>
        </w:rPr>
      </w:pPr>
      <w:r>
        <w:rPr>
          <w:rFonts w:ascii="宋体" w:hAnsi="宋体" w:hint="eastAsia"/>
          <w:szCs w:val="21"/>
        </w:rPr>
        <w:t>收发单元离线标定项包括但不限于发射脉冲宽度、发射峰值功率、发射信号相位、发射脉冲射频频谱、发射输出极限改善因子、接收噪声系数、最小可测功率、接收动态范围、相位噪声等。</w:t>
      </w:r>
    </w:p>
    <w:p>
      <w:pPr>
        <w:spacing w:line="360" w:lineRule="auto"/>
        <w:rPr>
          <w:rFonts w:ascii="宋体" w:hAnsi="宋体"/>
          <w:szCs w:val="21"/>
        </w:rPr>
      </w:pPr>
      <w:r>
        <w:rPr>
          <w:rFonts w:ascii="宋体" w:hAnsi="宋体" w:hint="eastAsia"/>
          <w:szCs w:val="21"/>
        </w:rPr>
        <w:t>根据离线标定结果订正在线标定误差。</w:t>
      </w:r>
    </w:p>
    <w:p>
      <w:pPr>
        <w:spacing w:line="360" w:lineRule="auto"/>
        <w:rPr>
          <w:rFonts w:ascii="宋体" w:hAnsi="宋体"/>
          <w:szCs w:val="21"/>
        </w:rPr>
      </w:pPr>
      <w:r>
        <w:rPr>
          <w:rFonts w:ascii="宋体" w:hAnsi="宋体" w:hint="eastAsia"/>
          <w:szCs w:val="21"/>
        </w:rPr>
        <w:t>（2）系统标定</w:t>
      </w:r>
    </w:p>
    <w:p>
      <w:pPr>
        <w:spacing w:line="360" w:lineRule="auto"/>
        <w:rPr>
          <w:rFonts w:ascii="宋体" w:hAnsi="宋体"/>
          <w:szCs w:val="21"/>
        </w:rPr>
      </w:pPr>
      <w:r>
        <w:rPr>
          <w:rFonts w:ascii="宋体" w:hAnsi="宋体" w:hint="eastAsia"/>
          <w:szCs w:val="21"/>
        </w:rPr>
        <w:t>系统离线标定主要采用远场方式，根据离线标定结果订正在线标定误差。标定项包括但不限于天线波束指向误差、发射脉冲宽度、EIRP、发射脉冲射频频谱、发射输出极限改善因子、G/T、最小可测功率、接收动态范围、脉冲压缩主副瓣比、系统相位噪声、地物对消能力、回波强度、径向速度、差分反射率因子、差分传播相移等。主要测试项目及测试方法包括：</w:t>
      </w:r>
    </w:p>
    <w:p>
      <w:pPr>
        <w:spacing w:line="360" w:lineRule="auto"/>
        <w:rPr>
          <w:rFonts w:ascii="宋体" w:hAnsi="宋体"/>
          <w:szCs w:val="21"/>
        </w:rPr>
      </w:pPr>
      <w:r>
        <w:rPr>
          <w:rFonts w:ascii="宋体" w:hAnsi="宋体" w:hint="eastAsia"/>
          <w:szCs w:val="21"/>
        </w:rPr>
        <w:t>天线波束指向误差：采用太阳作为信号源或使用等效方法检查天线波束指向误差。</w:t>
      </w:r>
    </w:p>
    <w:p>
      <w:pPr>
        <w:spacing w:line="360" w:lineRule="auto"/>
        <w:rPr>
          <w:rFonts w:ascii="宋体" w:hAnsi="宋体"/>
          <w:szCs w:val="21"/>
        </w:rPr>
      </w:pPr>
      <w:r>
        <w:rPr>
          <w:rFonts w:ascii="宋体" w:hAnsi="宋体" w:hint="eastAsia"/>
          <w:szCs w:val="21"/>
        </w:rPr>
        <w:t>发射脉冲宽度、EIRP、发射脉冲射频频谱、发射输出极限改善因子、G/T、最小可测功率、接收动态范围、脉冲压缩主副瓣比、系统相位噪声、回波强度、径向速度、差分反射率因子、差分传播相移：使用专用测量设备。</w:t>
      </w:r>
    </w:p>
    <w:p>
      <w:pPr>
        <w:spacing w:line="360" w:lineRule="auto"/>
        <w:rPr>
          <w:rFonts w:ascii="宋体" w:hAnsi="宋体"/>
          <w:szCs w:val="21"/>
        </w:rPr>
      </w:pPr>
      <w:r>
        <w:rPr>
          <w:rFonts w:ascii="宋体" w:hAnsi="宋体" w:hint="eastAsia"/>
          <w:szCs w:val="21"/>
        </w:rPr>
        <w:t>地物对消能力：比较对消前和对消后的回波强度，检查系统对实际地物的抑制能力。</w:t>
      </w:r>
    </w:p>
    <w:p>
      <w:pPr>
        <w:spacing w:line="360" w:lineRule="auto"/>
        <w:rPr>
          <w:rFonts w:ascii="宋体" w:hAnsi="宋体"/>
          <w:szCs w:val="21"/>
        </w:rPr>
      </w:pPr>
      <w:r>
        <w:rPr>
          <w:rFonts w:ascii="宋体" w:hAnsi="宋体" w:hint="eastAsia"/>
          <w:szCs w:val="21"/>
        </w:rPr>
        <w:t>金属球标定：使用标准反射金属球对回波强度、差分反射率因子、差分传播相移、相关系数进行标定。</w:t>
      </w:r>
    </w:p>
    <w:p>
      <w:pPr>
        <w:spacing w:line="360" w:lineRule="auto"/>
        <w:rPr>
          <w:rFonts w:ascii="宋体" w:hAnsi="宋体"/>
          <w:szCs w:val="21"/>
        </w:rPr>
      </w:pPr>
      <w:r>
        <w:rPr>
          <w:rFonts w:ascii="宋体" w:hAnsi="宋体" w:hint="eastAsia"/>
          <w:szCs w:val="21"/>
        </w:rPr>
        <w:t>天顶法：采用小雨滴作为球形散射体检查两个极化的一致性。</w:t>
      </w:r>
    </w:p>
    <w:p>
      <w:pPr>
        <w:spacing w:line="360" w:lineRule="auto"/>
        <w:rPr>
          <w:rFonts w:ascii="宋体" w:hAnsi="宋体"/>
          <w:b/>
          <w:szCs w:val="21"/>
        </w:rPr>
      </w:pPr>
      <w:r>
        <w:rPr>
          <w:rFonts w:ascii="宋体" w:hAnsi="宋体" w:hint="eastAsia"/>
          <w:b/>
          <w:bCs/>
          <w:szCs w:val="21"/>
        </w:rPr>
        <w:t>1.12.</w:t>
      </w:r>
      <w:r>
        <w:rPr>
          <w:rFonts w:ascii="宋体" w:hAnsi="宋体" w:hint="eastAsia"/>
          <w:b/>
          <w:szCs w:val="21"/>
        </w:rPr>
        <w:t>9.监控与显示</w:t>
      </w:r>
    </w:p>
    <w:p>
      <w:pPr>
        <w:spacing w:line="360" w:lineRule="auto"/>
        <w:rPr>
          <w:rFonts w:ascii="宋体" w:hAnsi="宋体"/>
          <w:b/>
          <w:szCs w:val="21"/>
        </w:rPr>
      </w:pPr>
      <w:r>
        <w:rPr>
          <w:rFonts w:ascii="宋体" w:hAnsi="宋体" w:hint="eastAsia"/>
          <w:b/>
          <w:bCs/>
          <w:szCs w:val="21"/>
        </w:rPr>
        <w:t>1.12.</w:t>
      </w:r>
      <w:r>
        <w:rPr>
          <w:rFonts w:ascii="宋体" w:hAnsi="宋体" w:hint="eastAsia"/>
          <w:b/>
          <w:szCs w:val="21"/>
        </w:rPr>
        <w:t>9.1雷达及附属设备监测</w:t>
      </w:r>
    </w:p>
    <w:p>
      <w:pPr>
        <w:spacing w:line="360" w:lineRule="auto"/>
        <w:rPr>
          <w:rFonts w:ascii="宋体" w:hAnsi="宋体"/>
          <w:szCs w:val="21"/>
        </w:rPr>
      </w:pPr>
      <w:r>
        <w:rPr>
          <w:rFonts w:ascii="宋体" w:hAnsi="宋体" w:hint="eastAsia"/>
          <w:szCs w:val="21"/>
        </w:rPr>
        <w:t>具备本地和远程在线监测，显示雷达自动测试结果，并上传基础参数的能力，其中基础参数包括但不限于：雷达静态参数、雷达运行模式参数、雷达在线标定参数等。完整记录适配参数变更、软件更迭等信息。雷达机内测试设备应实时监测对雷达工作有影响的因素，并根据影响情况分为有影响和严重影响两类，分别对应于一般告警和自动停机告警两种，并自动存储、上传工作状态和告警信息。对雷达运行环境状态参数进行在线采集、监测、显示、记录并上传，上传参数包括但不限于天线阵面温度、底座温度。具体指标见下表。</w:t>
      </w:r>
    </w:p>
    <w:p>
      <w:pPr>
        <w:spacing w:line="360" w:lineRule="auto"/>
        <w:rPr>
          <w:rFonts w:ascii="宋体" w:hAnsi="宋体"/>
          <w:szCs w:val="21"/>
          <w:lang w:bidi="en-US"/>
        </w:rPr>
      </w:pPr>
    </w:p>
    <w:p>
      <w:pPr>
        <w:spacing w:line="360" w:lineRule="auto"/>
        <w:rPr>
          <w:rFonts w:ascii="宋体" w:hAnsi="宋体"/>
          <w:szCs w:val="21"/>
          <w:lang w:bidi="en-US"/>
        </w:rPr>
      </w:pPr>
      <w:r>
        <w:rPr>
          <w:rFonts w:ascii="宋体" w:hAnsi="宋体" w:hint="eastAsia"/>
          <w:szCs w:val="21"/>
          <w:lang w:bidi="en-US"/>
        </w:rPr>
        <w:t>表8 上传参数列表</w:t>
      </w:r>
    </w:p>
    <w:tbl>
      <w:tblPr>
        <w:tblStyle w:val="TableNormal"/>
        <w:tblW w:w="8367" w:type="dxa"/>
        <w:jc w:val="center"/>
        <w:tblCellMar>
          <w:top w:w="0" w:type="dxa"/>
          <w:left w:w="108" w:type="dxa"/>
          <w:bottom w:w="0" w:type="dxa"/>
          <w:right w:w="108" w:type="dxa"/>
        </w:tblCellMar>
      </w:tblPr>
      <w:tblGrid>
        <w:gridCol w:w="936"/>
        <w:gridCol w:w="3746"/>
        <w:gridCol w:w="3685"/>
      </w:tblGrid>
      <w:tr>
        <w:tblPrEx>
          <w:tblW w:w="8367" w:type="dxa"/>
          <w:jc w:val="center"/>
          <w:tblCellMar>
            <w:top w:w="0" w:type="dxa"/>
            <w:left w:w="108" w:type="dxa"/>
            <w:bottom w:w="0" w:type="dxa"/>
            <w:right w:w="108" w:type="dxa"/>
          </w:tblCellMar>
        </w:tblPrEx>
        <w:trPr>
          <w:trHeight w:val="394"/>
          <w:tblHeader/>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序号</w:t>
            </w:r>
          </w:p>
        </w:tc>
        <w:tc>
          <w:tcPr>
            <w:tcW w:w="3746" w:type="dxa"/>
            <w:tcBorders>
              <w:top w:val="single" w:sz="4" w:space="0" w:color="auto"/>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上传参数</w:t>
            </w:r>
          </w:p>
        </w:tc>
        <w:tc>
          <w:tcPr>
            <w:tcW w:w="3685" w:type="dxa"/>
            <w:tcBorders>
              <w:top w:val="single" w:sz="4" w:space="0" w:color="auto"/>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备注</w:t>
            </w:r>
          </w:p>
        </w:tc>
      </w:tr>
      <w:tr>
        <w:tblPrEx>
          <w:tblW w:w="8367" w:type="dxa"/>
          <w:jc w:val="center"/>
          <w:tblCellMar>
            <w:top w:w="0" w:type="dxa"/>
            <w:left w:w="108" w:type="dxa"/>
            <w:bottom w:w="0" w:type="dxa"/>
            <w:right w:w="108" w:type="dxa"/>
          </w:tblCellMar>
        </w:tblPrEx>
        <w:trPr>
          <w:trHeight w:val="394"/>
          <w:jc w:val="center"/>
        </w:trPr>
        <w:tc>
          <w:tcPr>
            <w:tcW w:w="836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pPr>
              <w:spacing w:line="360" w:lineRule="auto"/>
              <w:rPr>
                <w:rFonts w:ascii="宋体" w:hAnsi="宋体"/>
                <w:szCs w:val="21"/>
                <w:lang w:bidi="en-US"/>
              </w:rPr>
            </w:pPr>
            <w:r>
              <w:rPr>
                <w:rFonts w:ascii="宋体" w:hAnsi="宋体" w:hint="eastAsia"/>
                <w:szCs w:val="21"/>
                <w:lang w:bidi="en-US"/>
              </w:rPr>
              <w:t>雷达静态参数</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1</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雷达站号</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2</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站点名称</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3</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纬度</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4</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经度</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5</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天线高度</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天线阵面中心高度，单位：m</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6</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地面高度</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单位：m</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7</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雷达类型</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8</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雷达型号</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9</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终端软件版本号</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监控软件</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10</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工作频率</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单位：MHz</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11</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水平通道发射增益</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12</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垂直通道发射增益</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13</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水平通道接收增益</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14</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垂直通道接收增益</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15</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水平极化发射波束宽度</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单位：°</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16</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垂直极化发射波束宽度</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单位：°</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17</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水平极化接收波束宽度</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单位：°</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18</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垂直极化接收波束宽度</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单位：°</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19</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发射馈线损耗</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20</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接收馈线损耗</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21</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其他损耗</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8367" w:type="dxa"/>
            <w:gridSpan w:val="3"/>
            <w:tcBorders>
              <w:top w:val="nil"/>
              <w:left w:val="single" w:sz="4" w:space="0" w:color="auto"/>
              <w:bottom w:val="single" w:sz="4" w:space="0" w:color="auto"/>
              <w:right w:val="single" w:sz="4" w:space="0" w:color="auto"/>
            </w:tcBorders>
            <w:shd w:val="clear" w:color="auto" w:fill="D9D9D9"/>
            <w:vAlign w:val="center"/>
          </w:tcPr>
          <w:p>
            <w:pPr>
              <w:spacing w:line="360" w:lineRule="auto"/>
              <w:rPr>
                <w:rFonts w:ascii="宋体" w:hAnsi="宋体"/>
                <w:szCs w:val="21"/>
                <w:lang w:bidi="en-US"/>
              </w:rPr>
            </w:pPr>
            <w:r>
              <w:rPr>
                <w:rFonts w:ascii="宋体" w:hAnsi="宋体" w:hint="eastAsia"/>
                <w:szCs w:val="21"/>
                <w:lang w:bidi="en-US"/>
              </w:rPr>
              <w:t>雷达运行模式参数</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22</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日期</w:t>
            </w:r>
          </w:p>
        </w:tc>
        <w:tc>
          <w:tcPr>
            <w:tcW w:w="3685"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23</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时间</w:t>
            </w:r>
          </w:p>
        </w:tc>
        <w:tc>
          <w:tcPr>
            <w:tcW w:w="3685" w:type="dxa"/>
            <w:tcBorders>
              <w:top w:val="nil"/>
              <w:left w:val="nil"/>
              <w:bottom w:val="single" w:sz="4" w:space="0" w:color="auto"/>
              <w:right w:val="single" w:sz="4" w:space="0" w:color="auto"/>
            </w:tcBorders>
            <w:noWrap/>
            <w:vAlign w:val="center"/>
          </w:tcPr>
          <w:p>
            <w:pPr>
              <w:spacing w:line="360" w:lineRule="auto"/>
              <w:rPr>
                <w:rFonts w:ascii="宋体" w:hAnsi="宋体"/>
                <w:szCs w:val="21"/>
                <w:lang w:bidi="en-US"/>
              </w:rPr>
            </w:pP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24</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体扫模式</w:t>
            </w:r>
          </w:p>
        </w:tc>
        <w:tc>
          <w:tcPr>
            <w:tcW w:w="3685" w:type="dxa"/>
            <w:tcBorders>
              <w:top w:val="nil"/>
              <w:left w:val="nil"/>
              <w:bottom w:val="single" w:sz="4" w:space="0" w:color="auto"/>
              <w:right w:val="single" w:sz="4" w:space="0" w:color="auto"/>
            </w:tcBorders>
            <w:noWrap/>
            <w:vAlign w:val="center"/>
          </w:tcPr>
          <w:p>
            <w:pPr>
              <w:spacing w:line="360" w:lineRule="auto"/>
              <w:rPr>
                <w:rFonts w:ascii="宋体" w:hAnsi="宋体"/>
                <w:szCs w:val="21"/>
                <w:lang w:bidi="en-US"/>
              </w:rPr>
            </w:pP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25</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控制权标志</w:t>
            </w:r>
          </w:p>
        </w:tc>
        <w:tc>
          <w:tcPr>
            <w:tcW w:w="3685" w:type="dxa"/>
            <w:tcBorders>
              <w:top w:val="nil"/>
              <w:left w:val="nil"/>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本控、遥控</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26</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系统状态</w:t>
            </w:r>
          </w:p>
        </w:tc>
        <w:tc>
          <w:tcPr>
            <w:tcW w:w="3685" w:type="dxa"/>
            <w:tcBorders>
              <w:top w:val="nil"/>
              <w:left w:val="nil"/>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正常、可用、需维护、故障、关机</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27</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上传状态数据格式版本号</w:t>
            </w:r>
          </w:p>
        </w:tc>
        <w:tc>
          <w:tcPr>
            <w:tcW w:w="3685" w:type="dxa"/>
            <w:tcBorders>
              <w:top w:val="nil"/>
              <w:left w:val="nil"/>
              <w:bottom w:val="single" w:sz="4" w:space="0" w:color="auto"/>
              <w:right w:val="single" w:sz="4" w:space="0" w:color="auto"/>
            </w:tcBorders>
            <w:noWrap/>
            <w:vAlign w:val="center"/>
          </w:tcPr>
          <w:p>
            <w:pPr>
              <w:spacing w:line="360" w:lineRule="auto"/>
              <w:rPr>
                <w:rFonts w:ascii="宋体" w:hAnsi="宋体"/>
                <w:szCs w:val="21"/>
                <w:lang w:bidi="en-US"/>
              </w:rPr>
            </w:pP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28</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雷达标记</w:t>
            </w:r>
          </w:p>
        </w:tc>
        <w:tc>
          <w:tcPr>
            <w:tcW w:w="3685" w:type="dxa"/>
            <w:tcBorders>
              <w:top w:val="nil"/>
              <w:left w:val="nil"/>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相控阵、多普勒、双偏振</w:t>
            </w:r>
          </w:p>
        </w:tc>
      </w:tr>
      <w:tr>
        <w:tblPrEx>
          <w:tblW w:w="8367" w:type="dxa"/>
          <w:jc w:val="center"/>
          <w:tblCellMar>
            <w:top w:w="0" w:type="dxa"/>
            <w:left w:w="108" w:type="dxa"/>
            <w:bottom w:w="0" w:type="dxa"/>
            <w:right w:w="108" w:type="dxa"/>
          </w:tblCellMar>
        </w:tblPrEx>
        <w:trPr>
          <w:trHeight w:val="394"/>
          <w:jc w:val="center"/>
        </w:trPr>
        <w:tc>
          <w:tcPr>
            <w:tcW w:w="8367" w:type="dxa"/>
            <w:gridSpan w:val="3"/>
            <w:tcBorders>
              <w:top w:val="nil"/>
              <w:left w:val="single" w:sz="4" w:space="0" w:color="auto"/>
              <w:bottom w:val="single" w:sz="4" w:space="0" w:color="auto"/>
              <w:right w:val="single" w:sz="4" w:space="0" w:color="auto"/>
            </w:tcBorders>
            <w:shd w:val="clear" w:color="auto" w:fill="D9D9D9"/>
            <w:vAlign w:val="center"/>
          </w:tcPr>
          <w:p>
            <w:pPr>
              <w:spacing w:line="360" w:lineRule="auto"/>
              <w:rPr>
                <w:rFonts w:ascii="宋体" w:hAnsi="宋体"/>
                <w:szCs w:val="21"/>
                <w:lang w:bidi="en-US"/>
              </w:rPr>
            </w:pPr>
            <w:r>
              <w:rPr>
                <w:rFonts w:ascii="宋体" w:hAnsi="宋体" w:hint="eastAsia"/>
                <w:szCs w:val="21"/>
                <w:lang w:bidi="en-US"/>
              </w:rPr>
              <w:t>雷达运行环境参数</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29</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阵面温度</w:t>
            </w:r>
          </w:p>
        </w:tc>
        <w:tc>
          <w:tcPr>
            <w:tcW w:w="3685" w:type="dxa"/>
            <w:tcBorders>
              <w:top w:val="nil"/>
              <w:left w:val="nil"/>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30</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各组件温度</w:t>
            </w:r>
          </w:p>
        </w:tc>
        <w:tc>
          <w:tcPr>
            <w:tcW w:w="3685" w:type="dxa"/>
            <w:tcBorders>
              <w:top w:val="nil"/>
              <w:left w:val="nil"/>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31</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底座温度</w:t>
            </w:r>
          </w:p>
        </w:tc>
        <w:tc>
          <w:tcPr>
            <w:tcW w:w="3685" w:type="dxa"/>
            <w:tcBorders>
              <w:top w:val="nil"/>
              <w:left w:val="nil"/>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32</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组件总电压</w:t>
            </w:r>
          </w:p>
        </w:tc>
        <w:tc>
          <w:tcPr>
            <w:tcW w:w="3685" w:type="dxa"/>
            <w:tcBorders>
              <w:top w:val="nil"/>
              <w:left w:val="nil"/>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单位：V</w:t>
            </w:r>
          </w:p>
        </w:tc>
      </w:tr>
      <w:tr>
        <w:tblPrEx>
          <w:tblW w:w="8367" w:type="dxa"/>
          <w:jc w:val="center"/>
          <w:tblCellMar>
            <w:top w:w="0" w:type="dxa"/>
            <w:left w:w="108" w:type="dxa"/>
            <w:bottom w:w="0" w:type="dxa"/>
            <w:right w:w="108" w:type="dxa"/>
          </w:tblCellMar>
        </w:tblPrEx>
        <w:trPr>
          <w:trHeight w:val="57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33</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组件总电流</w:t>
            </w:r>
          </w:p>
        </w:tc>
        <w:tc>
          <w:tcPr>
            <w:tcW w:w="3685" w:type="dxa"/>
            <w:tcBorders>
              <w:top w:val="nil"/>
              <w:left w:val="nil"/>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单位：A</w:t>
            </w:r>
          </w:p>
        </w:tc>
      </w:tr>
      <w:tr>
        <w:tblPrEx>
          <w:tblW w:w="8367" w:type="dxa"/>
          <w:jc w:val="center"/>
          <w:tblCellMar>
            <w:top w:w="0" w:type="dxa"/>
            <w:left w:w="108" w:type="dxa"/>
            <w:bottom w:w="0" w:type="dxa"/>
            <w:right w:w="108" w:type="dxa"/>
          </w:tblCellMar>
        </w:tblPrEx>
        <w:trPr>
          <w:trHeight w:val="57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34</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各组件功率</w:t>
            </w:r>
          </w:p>
        </w:tc>
        <w:tc>
          <w:tcPr>
            <w:tcW w:w="3685" w:type="dxa"/>
            <w:tcBorders>
              <w:top w:val="nil"/>
              <w:left w:val="nil"/>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单位：W</w:t>
            </w:r>
          </w:p>
        </w:tc>
      </w:tr>
      <w:tr>
        <w:tblPrEx>
          <w:tblW w:w="8367" w:type="dxa"/>
          <w:jc w:val="center"/>
          <w:tblCellMar>
            <w:top w:w="0" w:type="dxa"/>
            <w:left w:w="108" w:type="dxa"/>
            <w:bottom w:w="0" w:type="dxa"/>
            <w:right w:w="108" w:type="dxa"/>
          </w:tblCellMar>
        </w:tblPrEx>
        <w:trPr>
          <w:trHeight w:val="394"/>
          <w:jc w:val="center"/>
        </w:trPr>
        <w:tc>
          <w:tcPr>
            <w:tcW w:w="936" w:type="dxa"/>
            <w:tcBorders>
              <w:top w:val="nil"/>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35</w:t>
            </w:r>
          </w:p>
        </w:tc>
        <w:tc>
          <w:tcPr>
            <w:tcW w:w="3746" w:type="dxa"/>
            <w:tcBorders>
              <w:top w:val="nil"/>
              <w:left w:val="nil"/>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各组件工作状态</w:t>
            </w:r>
          </w:p>
        </w:tc>
        <w:tc>
          <w:tcPr>
            <w:tcW w:w="3685" w:type="dxa"/>
            <w:tcBorders>
              <w:top w:val="nil"/>
              <w:left w:val="nil"/>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正常、警告、故障</w:t>
            </w:r>
          </w:p>
        </w:tc>
      </w:tr>
      <w:tr>
        <w:tblPrEx>
          <w:tblW w:w="8367" w:type="dxa"/>
          <w:jc w:val="center"/>
          <w:tblCellMar>
            <w:top w:w="0" w:type="dxa"/>
            <w:left w:w="108" w:type="dxa"/>
            <w:bottom w:w="0" w:type="dxa"/>
            <w:right w:w="108" w:type="dxa"/>
          </w:tblCellMar>
        </w:tblPrEx>
        <w:trPr>
          <w:trHeight w:val="394"/>
          <w:jc w:val="center"/>
        </w:trPr>
        <w:tc>
          <w:tcPr>
            <w:tcW w:w="8367" w:type="dxa"/>
            <w:gridSpan w:val="3"/>
            <w:tcBorders>
              <w:top w:val="nil"/>
              <w:left w:val="single" w:sz="4" w:space="0" w:color="auto"/>
              <w:bottom w:val="single" w:sz="4" w:space="0" w:color="auto"/>
              <w:right w:val="single" w:sz="4" w:space="0" w:color="auto"/>
            </w:tcBorders>
            <w:shd w:val="clear" w:color="auto" w:fill="D9D9D9"/>
            <w:vAlign w:val="center"/>
          </w:tcPr>
          <w:p>
            <w:pPr>
              <w:spacing w:line="360" w:lineRule="auto"/>
              <w:rPr>
                <w:rFonts w:ascii="宋体" w:hAnsi="宋体"/>
                <w:szCs w:val="21"/>
                <w:lang w:bidi="en-US"/>
              </w:rPr>
            </w:pPr>
            <w:r>
              <w:rPr>
                <w:rFonts w:ascii="宋体" w:hAnsi="宋体" w:hint="eastAsia"/>
                <w:szCs w:val="21"/>
                <w:lang w:bidi="en-US"/>
              </w:rPr>
              <w:t>雷达在线标定参数</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36</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水平通道滤波前回波强度</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单位：dBZ</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37</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水平通道滤波后回波强度</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单位：dBZ</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38</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垂直通道滤波前回波强度</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单位：dBZ</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39</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垂直通道滤波后回波强度</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单位：dBZ</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40</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各水平极化单元峰值功率</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单位：W</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41</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各垂直极化单元峰值功率</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单位：W</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42</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水平极化短脉冲宽度</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单位：μs</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43</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水平极化中脉冲宽度</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单位：μs</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44</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水平极化长脉冲宽度</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单位：μs</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45</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垂直极化短脉冲宽度</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单位：μs</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46</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垂直极化中脉冲宽度</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单位：μs</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47</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垂直极化长脉冲宽度</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单位：μs</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48</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水平极化短脉冲噪声系数</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49</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水平极化中脉冲噪声系数</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50</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水平极化长脉冲噪声系数</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51</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垂直极化短脉冲噪声系数</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52</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垂直极化中脉冲噪声系数</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53</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垂直极化长脉冲噪声系数</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54</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反射率因子期望值</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单位：dBZ</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55</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反射率因子测量值</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单位：dBZ</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56</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速度期望值</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单位：m/s</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57</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速度测量值</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单位：m/s</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58</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谱宽期望值</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单位：m/s</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59</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谱宽测量值</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单位：m/s</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60</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ZDR标定值</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61</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ΦDP标定值</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62</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短脉冲系统标定常数</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63</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中脉冲系统标定常数</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64</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长脉冲系统标定常数</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65</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其他脉冲宽度系统标定常数</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66</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各发射单元幅度</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67</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各发射单元相位</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68</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各接收单元幅度</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69</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各接收单元相位</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70</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水平极化系统发射功率</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单位：W</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71</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垂直极化系统发射功率</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单位：W</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72</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水平极化系统接收增益</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73</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垂直极化系统接收增益</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74</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各水平极化单元相位噪声</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75</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各垂直极化单元相位噪声</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76</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各水平极化单元不同脉宽噪声电平</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w:t>
            </w:r>
          </w:p>
        </w:tc>
      </w:tr>
      <w:tr>
        <w:tblPrEx>
          <w:tblW w:w="8367" w:type="dxa"/>
          <w:jc w:val="center"/>
          <w:tblCellMar>
            <w:top w:w="0" w:type="dxa"/>
            <w:left w:w="108" w:type="dxa"/>
            <w:bottom w:w="0" w:type="dxa"/>
            <w:right w:w="108" w:type="dxa"/>
          </w:tblCellMar>
        </w:tblPrEx>
        <w:trPr>
          <w:trHeight w:val="394"/>
          <w:jc w:val="center"/>
        </w:trPr>
        <w:tc>
          <w:tcPr>
            <w:tcW w:w="93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77</w:t>
            </w:r>
          </w:p>
        </w:tc>
        <w:tc>
          <w:tcPr>
            <w:tcW w:w="3746"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lang w:bidi="en-US"/>
              </w:rPr>
            </w:pPr>
            <w:r>
              <w:rPr>
                <w:rFonts w:ascii="宋体" w:hAnsi="宋体" w:hint="eastAsia"/>
                <w:szCs w:val="21"/>
                <w:lang w:bidi="en-US"/>
              </w:rPr>
              <w:t>各垂直极化单元不同脉宽噪声电平</w:t>
            </w:r>
          </w:p>
        </w:tc>
        <w:tc>
          <w:tcPr>
            <w:tcW w:w="3685"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hint="eastAsia"/>
                <w:szCs w:val="21"/>
                <w:lang w:bidi="en-US"/>
              </w:rPr>
              <w:t>单位：dB</w:t>
            </w:r>
          </w:p>
        </w:tc>
      </w:tr>
    </w:tbl>
    <w:p>
      <w:pPr>
        <w:spacing w:line="360" w:lineRule="auto"/>
        <w:rPr>
          <w:rFonts w:ascii="宋体" w:hAnsi="宋体"/>
          <w:szCs w:val="21"/>
          <w:lang w:bidi="en-US"/>
        </w:rPr>
      </w:pPr>
    </w:p>
    <w:p>
      <w:pPr>
        <w:spacing w:line="360" w:lineRule="auto"/>
        <w:rPr>
          <w:rFonts w:ascii="宋体" w:hAnsi="宋体"/>
          <w:b/>
          <w:szCs w:val="21"/>
        </w:rPr>
      </w:pPr>
      <w:r>
        <w:rPr>
          <w:rFonts w:ascii="宋体" w:hAnsi="宋体" w:hint="eastAsia"/>
          <w:b/>
          <w:bCs/>
          <w:szCs w:val="21"/>
        </w:rPr>
        <w:t>1.13.</w:t>
      </w:r>
      <w:r>
        <w:rPr>
          <w:rFonts w:ascii="宋体" w:hAnsi="宋体" w:hint="eastAsia"/>
          <w:b/>
          <w:szCs w:val="21"/>
        </w:rPr>
        <w:t>9.2远程控制</w:t>
      </w:r>
    </w:p>
    <w:p>
      <w:pPr>
        <w:spacing w:line="360" w:lineRule="auto"/>
        <w:rPr>
          <w:rFonts w:ascii="宋体" w:hAnsi="宋体"/>
          <w:szCs w:val="21"/>
        </w:rPr>
      </w:pPr>
      <w:r>
        <w:rPr>
          <w:rFonts w:ascii="宋体" w:hAnsi="宋体" w:hint="eastAsia"/>
          <w:szCs w:val="21"/>
        </w:rPr>
        <w:t>具备本地、远程监视和遥控能力，包括但不限于控制开关机、观测模式切换、查看标定结果、修改适配参数等。具有软件远程升级功能，并具有雷达运行与维护的远程支持能力，测试项包括但不限于伺服角度控制误差、天线波束指向误差、发射峰值功率、接收噪声系数、接收动态范围、脉冲压缩主副瓣比、系统相位噪声、滤波前后功率比、回波强度、径向速度、差分反射率因子、差分传播相移等。</w:t>
      </w:r>
    </w:p>
    <w:p>
      <w:pPr>
        <w:spacing w:line="360" w:lineRule="auto"/>
        <w:rPr>
          <w:rFonts w:ascii="宋体" w:hAnsi="宋体"/>
          <w:b/>
          <w:szCs w:val="21"/>
        </w:rPr>
      </w:pPr>
      <w:r>
        <w:rPr>
          <w:rFonts w:ascii="宋体" w:hAnsi="宋体" w:hint="eastAsia"/>
          <w:b/>
          <w:bCs/>
          <w:szCs w:val="21"/>
        </w:rPr>
        <w:t>1.12.</w:t>
      </w:r>
      <w:r>
        <w:rPr>
          <w:rFonts w:ascii="宋体" w:hAnsi="宋体" w:hint="eastAsia"/>
          <w:b/>
          <w:szCs w:val="21"/>
        </w:rPr>
        <w:t>9.3设备级质控及气象产品显示</w:t>
      </w:r>
    </w:p>
    <w:p>
      <w:pPr>
        <w:spacing w:line="360" w:lineRule="auto"/>
        <w:rPr>
          <w:rFonts w:ascii="宋体" w:hAnsi="宋体"/>
          <w:szCs w:val="21"/>
        </w:rPr>
      </w:pPr>
      <w:r>
        <w:rPr>
          <w:rFonts w:ascii="宋体" w:hAnsi="宋体" w:hint="eastAsia"/>
          <w:szCs w:val="21"/>
        </w:rPr>
        <w:t>对基数据进行设备级质控，包括滤波、杂波校正因子（CCOR）门限、电磁干扰抑制、速度退模糊、距离退折叠、异常回波标记等。质控前后的基数据都具备存储功能。</w:t>
      </w:r>
    </w:p>
    <w:p>
      <w:pPr>
        <w:spacing w:line="360" w:lineRule="auto"/>
        <w:rPr>
          <w:rFonts w:ascii="宋体" w:hAnsi="宋体"/>
          <w:szCs w:val="21"/>
        </w:rPr>
      </w:pPr>
      <w:r>
        <w:rPr>
          <w:rFonts w:ascii="宋体" w:hAnsi="宋体" w:hint="eastAsia"/>
          <w:szCs w:val="21"/>
        </w:rPr>
        <w:t>雷达能够输出强度（Z）、速度（V）、谱宽（W）、差分反射率因子（ZDR）、差分传播相移（ΦDP）、差分传播相移率（KDP）、相关系数（ρhv）、信噪比（SNR）等基本量，在单发双收模式下能够输出退偏振比（LDR）。</w:t>
      </w:r>
    </w:p>
    <w:p>
      <w:pPr>
        <w:spacing w:line="360" w:lineRule="auto"/>
        <w:rPr>
          <w:rFonts w:ascii="宋体" w:hAnsi="宋体"/>
          <w:szCs w:val="21"/>
        </w:rPr>
      </w:pPr>
      <w:r>
        <w:rPr>
          <w:rFonts w:ascii="宋体" w:hAnsi="宋体" w:hint="eastAsia"/>
          <w:szCs w:val="21"/>
        </w:rPr>
        <w:t>雷达通过图形、图像方式将产品提供给用户，作天气现象分析和预报使用。</w:t>
      </w:r>
    </w:p>
    <w:p>
      <w:pPr>
        <w:spacing w:line="360" w:lineRule="auto"/>
        <w:rPr>
          <w:rFonts w:ascii="宋体" w:hAnsi="宋体"/>
          <w:szCs w:val="21"/>
        </w:rPr>
      </w:pPr>
      <w:r>
        <w:rPr>
          <w:rFonts w:ascii="宋体" w:hAnsi="宋体" w:hint="eastAsia"/>
          <w:szCs w:val="21"/>
        </w:rPr>
        <w:t>（1）气象产品实时图形显示；</w:t>
      </w:r>
    </w:p>
    <w:p>
      <w:pPr>
        <w:spacing w:line="360" w:lineRule="auto"/>
        <w:rPr>
          <w:rFonts w:ascii="宋体" w:hAnsi="宋体"/>
          <w:szCs w:val="21"/>
        </w:rPr>
      </w:pPr>
      <w:r>
        <w:rPr>
          <w:rFonts w:ascii="宋体" w:hAnsi="宋体" w:hint="eastAsia"/>
          <w:szCs w:val="21"/>
        </w:rPr>
        <w:t>（2）具备对监测的所有参数显示及超限告警提示显示功能等；</w:t>
      </w:r>
    </w:p>
    <w:p>
      <w:pPr>
        <w:spacing w:line="360" w:lineRule="auto"/>
        <w:rPr>
          <w:rFonts w:ascii="宋体" w:hAnsi="宋体"/>
          <w:szCs w:val="21"/>
        </w:rPr>
      </w:pPr>
      <w:r>
        <w:rPr>
          <w:rFonts w:ascii="宋体" w:hAnsi="宋体" w:hint="eastAsia"/>
          <w:szCs w:val="21"/>
        </w:rPr>
        <w:t>（3）气象产品查询；</w:t>
      </w:r>
    </w:p>
    <w:p>
      <w:pPr>
        <w:spacing w:line="360" w:lineRule="auto"/>
        <w:rPr>
          <w:rFonts w:ascii="宋体" w:hAnsi="宋体"/>
          <w:szCs w:val="21"/>
        </w:rPr>
      </w:pPr>
      <w:r>
        <w:rPr>
          <w:rFonts w:ascii="宋体" w:hAnsi="宋体" w:hint="eastAsia"/>
          <w:szCs w:val="21"/>
        </w:rPr>
        <w:t>（4）鼠标位置显示，数值及产品信息显示；</w:t>
      </w:r>
    </w:p>
    <w:p>
      <w:pPr>
        <w:spacing w:line="360" w:lineRule="auto"/>
        <w:rPr>
          <w:rFonts w:ascii="宋体" w:hAnsi="宋体"/>
          <w:szCs w:val="21"/>
        </w:rPr>
      </w:pPr>
      <w:r>
        <w:rPr>
          <w:rFonts w:ascii="宋体" w:hAnsi="宋体" w:hint="eastAsia"/>
          <w:szCs w:val="21"/>
        </w:rPr>
        <w:t>（5）数据分层显示；</w:t>
      </w:r>
    </w:p>
    <w:p>
      <w:pPr>
        <w:spacing w:line="360" w:lineRule="auto"/>
        <w:rPr>
          <w:rFonts w:ascii="宋体" w:hAnsi="宋体"/>
          <w:szCs w:val="21"/>
        </w:rPr>
      </w:pPr>
      <w:r>
        <w:rPr>
          <w:rFonts w:ascii="宋体" w:hAnsi="宋体" w:hint="eastAsia"/>
          <w:szCs w:val="21"/>
        </w:rPr>
        <w:t>（6）多仰角、多要素同时显示功能；</w:t>
      </w:r>
    </w:p>
    <w:p>
      <w:pPr>
        <w:spacing w:line="360" w:lineRule="auto"/>
        <w:rPr>
          <w:rFonts w:ascii="宋体" w:hAnsi="宋体"/>
          <w:szCs w:val="21"/>
        </w:rPr>
      </w:pPr>
      <w:r>
        <w:rPr>
          <w:rFonts w:ascii="宋体" w:hAnsi="宋体" w:hint="eastAsia"/>
          <w:szCs w:val="21"/>
        </w:rPr>
        <w:t>（7）游标显示（方位、距离、高度和数值等）。</w:t>
      </w:r>
    </w:p>
    <w:p>
      <w:pPr>
        <w:spacing w:line="360" w:lineRule="auto"/>
        <w:rPr>
          <w:rFonts w:ascii="宋体" w:hAnsi="宋体"/>
          <w:b/>
          <w:szCs w:val="21"/>
        </w:rPr>
      </w:pPr>
      <w:r>
        <w:rPr>
          <w:rFonts w:ascii="宋体" w:hAnsi="宋体" w:hint="eastAsia"/>
          <w:b/>
          <w:bCs/>
          <w:szCs w:val="21"/>
        </w:rPr>
        <w:t>1.12.</w:t>
      </w:r>
      <w:r>
        <w:rPr>
          <w:rFonts w:ascii="宋体" w:hAnsi="宋体" w:hint="eastAsia"/>
          <w:b/>
          <w:szCs w:val="21"/>
        </w:rPr>
        <w:t>9.4授时</w:t>
      </w:r>
    </w:p>
    <w:p>
      <w:pPr>
        <w:spacing w:line="360" w:lineRule="auto"/>
        <w:rPr>
          <w:rFonts w:ascii="宋体" w:hAnsi="宋体"/>
          <w:szCs w:val="21"/>
        </w:rPr>
      </w:pPr>
      <w:r>
        <w:rPr>
          <w:rFonts w:ascii="宋体" w:hAnsi="宋体" w:hint="eastAsia"/>
          <w:szCs w:val="21"/>
        </w:rPr>
        <w:t>能够通过卫星授时或网络授时定期校准时间，使雷达时间准确度优于1s。</w:t>
      </w:r>
    </w:p>
    <w:p>
      <w:pPr>
        <w:spacing w:line="360" w:lineRule="auto"/>
        <w:rPr>
          <w:rFonts w:ascii="宋体" w:hAnsi="宋体"/>
          <w:b/>
          <w:szCs w:val="21"/>
        </w:rPr>
      </w:pPr>
      <w:r>
        <w:rPr>
          <w:rFonts w:ascii="宋体" w:hAnsi="宋体" w:hint="eastAsia"/>
          <w:b/>
          <w:bCs/>
          <w:szCs w:val="21"/>
        </w:rPr>
        <w:t>1.12.</w:t>
      </w:r>
      <w:r>
        <w:rPr>
          <w:rFonts w:ascii="宋体" w:hAnsi="宋体" w:hint="eastAsia"/>
          <w:b/>
          <w:szCs w:val="21"/>
        </w:rPr>
        <w:t>10.气象产品</w:t>
      </w:r>
    </w:p>
    <w:p>
      <w:pPr>
        <w:spacing w:line="360" w:lineRule="auto"/>
        <w:rPr>
          <w:rFonts w:ascii="宋体" w:hAnsi="宋体"/>
          <w:b/>
          <w:szCs w:val="21"/>
        </w:rPr>
      </w:pPr>
      <w:r>
        <w:rPr>
          <w:rFonts w:ascii="宋体" w:hAnsi="宋体" w:hint="eastAsia"/>
          <w:b/>
          <w:bCs/>
          <w:szCs w:val="21"/>
        </w:rPr>
        <w:t>1.12.</w:t>
      </w:r>
      <w:r>
        <w:rPr>
          <w:rFonts w:ascii="宋体" w:hAnsi="宋体" w:hint="eastAsia"/>
          <w:b/>
          <w:szCs w:val="21"/>
        </w:rPr>
        <w:t>10.1数据质量控制</w:t>
      </w:r>
    </w:p>
    <w:p>
      <w:pPr>
        <w:spacing w:line="360" w:lineRule="auto"/>
        <w:rPr>
          <w:rFonts w:ascii="宋体" w:hAnsi="宋体"/>
          <w:szCs w:val="21"/>
        </w:rPr>
      </w:pPr>
      <w:r>
        <w:rPr>
          <w:rFonts w:ascii="宋体" w:hAnsi="宋体" w:hint="eastAsia"/>
          <w:szCs w:val="21"/>
        </w:rPr>
        <w:t>质量控制算法不少于7种，利用不少于3年的雷达标准数据集进行评估，算法质量需满足指标要求，具体见下表。</w:t>
      </w:r>
    </w:p>
    <w:p>
      <w:pPr>
        <w:spacing w:line="360" w:lineRule="auto"/>
        <w:rPr>
          <w:rFonts w:ascii="宋体" w:hAnsi="宋体"/>
          <w:szCs w:val="21"/>
          <w:lang w:bidi="en-US"/>
        </w:rPr>
      </w:pPr>
      <w:r>
        <w:rPr>
          <w:rFonts w:ascii="宋体" w:hAnsi="宋体" w:hint="eastAsia"/>
          <w:szCs w:val="21"/>
          <w:lang w:bidi="en-US"/>
        </w:rPr>
        <w:t>表9 质控算法列表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39"/>
        <w:gridCol w:w="4606"/>
        <w:gridCol w:w="3177"/>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13"/>
          <w:jc w:val="center"/>
        </w:trPr>
        <w:tc>
          <w:tcPr>
            <w:tcW w:w="739" w:type="dxa"/>
            <w:vAlign w:val="center"/>
          </w:tcPr>
          <w:p>
            <w:pPr>
              <w:spacing w:line="360" w:lineRule="auto"/>
              <w:rPr>
                <w:rFonts w:ascii="宋体" w:hAnsi="宋体"/>
                <w:szCs w:val="21"/>
                <w:lang w:bidi="en-US"/>
              </w:rPr>
            </w:pPr>
            <w:r>
              <w:rPr>
                <w:rFonts w:ascii="宋体" w:hAnsi="宋体" w:hint="eastAsia"/>
                <w:szCs w:val="21"/>
                <w:lang w:bidi="en-US"/>
              </w:rPr>
              <w:t>序号</w:t>
            </w:r>
          </w:p>
        </w:tc>
        <w:tc>
          <w:tcPr>
            <w:tcW w:w="4606" w:type="dxa"/>
            <w:noWrap/>
            <w:vAlign w:val="center"/>
          </w:tcPr>
          <w:p>
            <w:pPr>
              <w:spacing w:line="360" w:lineRule="auto"/>
              <w:rPr>
                <w:rFonts w:ascii="宋体" w:hAnsi="宋体"/>
                <w:szCs w:val="21"/>
                <w:lang w:bidi="en-US"/>
              </w:rPr>
            </w:pPr>
            <w:r>
              <w:rPr>
                <w:rFonts w:ascii="宋体" w:hAnsi="宋体" w:hint="eastAsia"/>
                <w:szCs w:val="21"/>
                <w:lang w:bidi="en-US"/>
              </w:rPr>
              <w:t>算法名称</w:t>
            </w:r>
          </w:p>
        </w:tc>
        <w:tc>
          <w:tcPr>
            <w:tcW w:w="3177" w:type="dxa"/>
            <w:vAlign w:val="center"/>
          </w:tcPr>
          <w:p>
            <w:pPr>
              <w:spacing w:line="360" w:lineRule="auto"/>
              <w:rPr>
                <w:rFonts w:ascii="宋体" w:hAnsi="宋体"/>
                <w:szCs w:val="21"/>
                <w:lang w:bidi="en-US"/>
              </w:rPr>
            </w:pPr>
            <w:r>
              <w:rPr>
                <w:rFonts w:ascii="宋体" w:hAnsi="宋体" w:hint="eastAsia"/>
                <w:szCs w:val="21"/>
                <w:lang w:bidi="en-US"/>
              </w:rPr>
              <w:t>指标要求</w:t>
            </w:r>
          </w:p>
        </w:tc>
      </w:tr>
      <w:tr>
        <w:tblPrEx>
          <w:tblW w:w="8522" w:type="dxa"/>
          <w:jc w:val="center"/>
          <w:tblCellMar>
            <w:top w:w="0" w:type="dxa"/>
            <w:left w:w="108" w:type="dxa"/>
            <w:bottom w:w="0" w:type="dxa"/>
            <w:right w:w="108" w:type="dxa"/>
          </w:tblCellMar>
        </w:tblPrEx>
        <w:trPr>
          <w:trHeight w:val="113"/>
          <w:jc w:val="center"/>
        </w:trPr>
        <w:tc>
          <w:tcPr>
            <w:tcW w:w="739" w:type="dxa"/>
            <w:vAlign w:val="center"/>
          </w:tcPr>
          <w:p>
            <w:pPr>
              <w:spacing w:line="360" w:lineRule="auto"/>
              <w:rPr>
                <w:rFonts w:ascii="宋体" w:hAnsi="宋体"/>
                <w:szCs w:val="21"/>
                <w:lang w:bidi="en-US"/>
              </w:rPr>
            </w:pPr>
            <w:r>
              <w:rPr>
                <w:rFonts w:ascii="宋体" w:hAnsi="宋体" w:hint="eastAsia"/>
                <w:szCs w:val="21"/>
                <w:lang w:bidi="en-US"/>
              </w:rPr>
              <w:t>1</w:t>
            </w:r>
          </w:p>
        </w:tc>
        <w:tc>
          <w:tcPr>
            <w:tcW w:w="4606" w:type="dxa"/>
            <w:noWrap/>
            <w:vAlign w:val="center"/>
          </w:tcPr>
          <w:p>
            <w:pPr>
              <w:spacing w:line="360" w:lineRule="auto"/>
              <w:rPr>
                <w:rFonts w:ascii="宋体" w:hAnsi="宋体"/>
                <w:szCs w:val="21"/>
                <w:lang w:bidi="en-US"/>
              </w:rPr>
            </w:pPr>
            <w:r>
              <w:rPr>
                <w:rFonts w:ascii="宋体" w:hAnsi="宋体" w:hint="eastAsia"/>
                <w:szCs w:val="21"/>
                <w:lang w:bidi="en-US"/>
              </w:rPr>
              <w:t>反射率因子衰减订正</w:t>
            </w:r>
          </w:p>
        </w:tc>
        <w:tc>
          <w:tcPr>
            <w:tcW w:w="3177" w:type="dxa"/>
            <w:vAlign w:val="center"/>
          </w:tcPr>
          <w:p>
            <w:pPr>
              <w:spacing w:line="360" w:lineRule="auto"/>
              <w:rPr>
                <w:rFonts w:ascii="宋体" w:hAnsi="宋体"/>
                <w:szCs w:val="21"/>
                <w:lang w:bidi="en-US"/>
              </w:rPr>
            </w:pPr>
            <w:r>
              <w:rPr>
                <w:rFonts w:ascii="宋体" w:hAnsi="宋体" w:hint="eastAsia"/>
                <w:szCs w:val="21"/>
                <w:lang w:bidi="en-US"/>
              </w:rPr>
              <w:t>衰减订正后，与相邻S波段雷达相比平均偏差≤2.5dB</w:t>
            </w:r>
          </w:p>
        </w:tc>
      </w:tr>
      <w:tr>
        <w:tblPrEx>
          <w:tblW w:w="8522" w:type="dxa"/>
          <w:jc w:val="center"/>
          <w:tblCellMar>
            <w:top w:w="0" w:type="dxa"/>
            <w:left w:w="108" w:type="dxa"/>
            <w:bottom w:w="0" w:type="dxa"/>
            <w:right w:w="108" w:type="dxa"/>
          </w:tblCellMar>
        </w:tblPrEx>
        <w:trPr>
          <w:trHeight w:val="113"/>
          <w:jc w:val="center"/>
        </w:trPr>
        <w:tc>
          <w:tcPr>
            <w:tcW w:w="739" w:type="dxa"/>
            <w:vAlign w:val="center"/>
          </w:tcPr>
          <w:p>
            <w:pPr>
              <w:spacing w:line="360" w:lineRule="auto"/>
              <w:rPr>
                <w:rFonts w:ascii="宋体" w:hAnsi="宋体"/>
                <w:szCs w:val="21"/>
                <w:lang w:bidi="en-US"/>
              </w:rPr>
            </w:pPr>
            <w:r>
              <w:rPr>
                <w:rFonts w:ascii="宋体" w:hAnsi="宋体" w:hint="eastAsia"/>
                <w:szCs w:val="21"/>
                <w:lang w:bidi="en-US"/>
              </w:rPr>
              <w:t>2</w:t>
            </w:r>
          </w:p>
        </w:tc>
        <w:tc>
          <w:tcPr>
            <w:tcW w:w="4606" w:type="dxa"/>
            <w:noWrap/>
            <w:vAlign w:val="center"/>
          </w:tcPr>
          <w:p>
            <w:pPr>
              <w:spacing w:line="360" w:lineRule="auto"/>
              <w:rPr>
                <w:rFonts w:ascii="宋体" w:hAnsi="宋体"/>
                <w:szCs w:val="21"/>
                <w:lang w:bidi="en-US"/>
              </w:rPr>
            </w:pPr>
            <w:r>
              <w:rPr>
                <w:rFonts w:ascii="宋体" w:hAnsi="宋体" w:hint="eastAsia"/>
                <w:szCs w:val="21"/>
                <w:lang w:bidi="en-US"/>
              </w:rPr>
              <w:t>差分反射率因子衰减订正</w:t>
            </w:r>
          </w:p>
        </w:tc>
        <w:tc>
          <w:tcPr>
            <w:tcW w:w="3177" w:type="dxa"/>
            <w:vAlign w:val="center"/>
          </w:tcPr>
          <w:p>
            <w:pPr>
              <w:spacing w:line="360" w:lineRule="auto"/>
              <w:rPr>
                <w:rFonts w:ascii="宋体" w:hAnsi="宋体"/>
                <w:szCs w:val="21"/>
                <w:lang w:bidi="en-US"/>
              </w:rPr>
            </w:pPr>
            <w:r>
              <w:rPr>
                <w:rFonts w:ascii="宋体" w:hAnsi="宋体" w:hint="eastAsia"/>
                <w:szCs w:val="21"/>
                <w:lang w:bidi="en-US"/>
              </w:rPr>
              <w:t>衰减订正后，与相邻S波段雷达相比平均偏差≤0.5dB</w:t>
            </w:r>
          </w:p>
        </w:tc>
      </w:tr>
      <w:tr>
        <w:tblPrEx>
          <w:tblW w:w="8522" w:type="dxa"/>
          <w:jc w:val="center"/>
          <w:tblCellMar>
            <w:top w:w="0" w:type="dxa"/>
            <w:left w:w="108" w:type="dxa"/>
            <w:bottom w:w="0" w:type="dxa"/>
            <w:right w:w="108" w:type="dxa"/>
          </w:tblCellMar>
        </w:tblPrEx>
        <w:trPr>
          <w:trHeight w:val="113"/>
          <w:jc w:val="center"/>
        </w:trPr>
        <w:tc>
          <w:tcPr>
            <w:tcW w:w="739" w:type="dxa"/>
            <w:vAlign w:val="center"/>
          </w:tcPr>
          <w:p>
            <w:pPr>
              <w:spacing w:line="360" w:lineRule="auto"/>
              <w:rPr>
                <w:rFonts w:ascii="宋体" w:hAnsi="宋体"/>
                <w:szCs w:val="21"/>
                <w:lang w:bidi="en-US"/>
              </w:rPr>
            </w:pPr>
            <w:r>
              <w:rPr>
                <w:rFonts w:ascii="宋体" w:hAnsi="宋体" w:hint="eastAsia"/>
                <w:szCs w:val="21"/>
                <w:lang w:bidi="en-US"/>
              </w:rPr>
              <w:t>3</w:t>
            </w:r>
          </w:p>
        </w:tc>
        <w:tc>
          <w:tcPr>
            <w:tcW w:w="4606" w:type="dxa"/>
            <w:noWrap/>
            <w:vAlign w:val="center"/>
          </w:tcPr>
          <w:p>
            <w:pPr>
              <w:spacing w:line="360" w:lineRule="auto"/>
              <w:rPr>
                <w:rFonts w:ascii="宋体" w:hAnsi="宋体"/>
                <w:szCs w:val="21"/>
                <w:lang w:bidi="en-US"/>
              </w:rPr>
            </w:pPr>
            <w:r>
              <w:rPr>
                <w:rFonts w:ascii="宋体" w:hAnsi="宋体" w:hint="eastAsia"/>
                <w:szCs w:val="21"/>
                <w:lang w:bidi="en-US"/>
              </w:rPr>
              <w:t>地物、超折射、海浪等非降水回波消除</w:t>
            </w:r>
          </w:p>
        </w:tc>
        <w:tc>
          <w:tcPr>
            <w:tcW w:w="3177" w:type="dxa"/>
            <w:vAlign w:val="center"/>
          </w:tcPr>
          <w:p>
            <w:pPr>
              <w:spacing w:line="360" w:lineRule="auto"/>
              <w:rPr>
                <w:rFonts w:ascii="宋体" w:hAnsi="宋体"/>
                <w:szCs w:val="21"/>
                <w:lang w:bidi="en-US"/>
              </w:rPr>
            </w:pPr>
            <w:r>
              <w:rPr>
                <w:rFonts w:ascii="宋体" w:hAnsi="宋体" w:hint="eastAsia"/>
                <w:szCs w:val="21"/>
                <w:lang w:bidi="en-US"/>
              </w:rPr>
              <w:t>非降水回波识别准确率≥90%，且降水回波误判率≤5%</w:t>
            </w:r>
          </w:p>
        </w:tc>
      </w:tr>
      <w:tr>
        <w:tblPrEx>
          <w:tblW w:w="8522" w:type="dxa"/>
          <w:jc w:val="center"/>
          <w:tblCellMar>
            <w:top w:w="0" w:type="dxa"/>
            <w:left w:w="108" w:type="dxa"/>
            <w:bottom w:w="0" w:type="dxa"/>
            <w:right w:w="108" w:type="dxa"/>
          </w:tblCellMar>
        </w:tblPrEx>
        <w:trPr>
          <w:trHeight w:val="113"/>
          <w:jc w:val="center"/>
        </w:trPr>
        <w:tc>
          <w:tcPr>
            <w:tcW w:w="739" w:type="dxa"/>
            <w:vAlign w:val="center"/>
          </w:tcPr>
          <w:p>
            <w:pPr>
              <w:spacing w:line="360" w:lineRule="auto"/>
              <w:rPr>
                <w:rFonts w:ascii="宋体" w:hAnsi="宋体"/>
                <w:szCs w:val="21"/>
                <w:lang w:bidi="en-US"/>
              </w:rPr>
            </w:pPr>
            <w:r>
              <w:rPr>
                <w:rFonts w:ascii="宋体" w:hAnsi="宋体" w:hint="eastAsia"/>
                <w:szCs w:val="21"/>
                <w:lang w:bidi="en-US"/>
              </w:rPr>
              <w:t>4</w:t>
            </w:r>
          </w:p>
        </w:tc>
        <w:tc>
          <w:tcPr>
            <w:tcW w:w="4606" w:type="dxa"/>
            <w:noWrap/>
            <w:vAlign w:val="center"/>
          </w:tcPr>
          <w:p>
            <w:pPr>
              <w:spacing w:line="360" w:lineRule="auto"/>
              <w:rPr>
                <w:rFonts w:ascii="宋体" w:hAnsi="宋体"/>
                <w:szCs w:val="21"/>
                <w:lang w:bidi="en-US"/>
              </w:rPr>
            </w:pPr>
            <w:r>
              <w:rPr>
                <w:rFonts w:ascii="宋体" w:hAnsi="宋体" w:hint="eastAsia"/>
                <w:szCs w:val="21"/>
                <w:lang w:bidi="en-US"/>
              </w:rPr>
              <w:t>径向干扰剔除</w:t>
            </w:r>
          </w:p>
        </w:tc>
        <w:tc>
          <w:tcPr>
            <w:tcW w:w="3177" w:type="dxa"/>
            <w:vAlign w:val="center"/>
          </w:tcPr>
          <w:p>
            <w:pPr>
              <w:spacing w:line="360" w:lineRule="auto"/>
              <w:rPr>
                <w:rFonts w:ascii="宋体" w:hAnsi="宋体"/>
                <w:szCs w:val="21"/>
                <w:lang w:bidi="en-US"/>
              </w:rPr>
            </w:pPr>
            <w:r>
              <w:rPr>
                <w:rFonts w:ascii="宋体" w:hAnsi="宋体" w:hint="eastAsia"/>
                <w:szCs w:val="21"/>
                <w:lang w:bidi="en-US"/>
              </w:rPr>
              <w:t>径向干扰识别准确率≥90%，且降水回波误判率≤5%</w:t>
            </w:r>
          </w:p>
        </w:tc>
      </w:tr>
      <w:tr>
        <w:tblPrEx>
          <w:tblW w:w="8522" w:type="dxa"/>
          <w:jc w:val="center"/>
          <w:tblCellMar>
            <w:top w:w="0" w:type="dxa"/>
            <w:left w:w="108" w:type="dxa"/>
            <w:bottom w:w="0" w:type="dxa"/>
            <w:right w:w="108" w:type="dxa"/>
          </w:tblCellMar>
        </w:tblPrEx>
        <w:trPr>
          <w:trHeight w:val="113"/>
          <w:jc w:val="center"/>
        </w:trPr>
        <w:tc>
          <w:tcPr>
            <w:tcW w:w="739" w:type="dxa"/>
            <w:vAlign w:val="center"/>
          </w:tcPr>
          <w:p>
            <w:pPr>
              <w:spacing w:line="360" w:lineRule="auto"/>
              <w:rPr>
                <w:rFonts w:ascii="宋体" w:hAnsi="宋体"/>
                <w:szCs w:val="21"/>
                <w:lang w:bidi="en-US"/>
              </w:rPr>
            </w:pPr>
            <w:r>
              <w:rPr>
                <w:rFonts w:ascii="宋体" w:hAnsi="宋体" w:hint="eastAsia"/>
                <w:szCs w:val="21"/>
                <w:lang w:bidi="en-US"/>
              </w:rPr>
              <w:t>5</w:t>
            </w:r>
          </w:p>
        </w:tc>
        <w:tc>
          <w:tcPr>
            <w:tcW w:w="4606" w:type="dxa"/>
            <w:noWrap/>
            <w:vAlign w:val="center"/>
          </w:tcPr>
          <w:p>
            <w:pPr>
              <w:spacing w:line="360" w:lineRule="auto"/>
              <w:rPr>
                <w:rFonts w:ascii="宋体" w:hAnsi="宋体"/>
                <w:szCs w:val="21"/>
                <w:lang w:bidi="en-US"/>
              </w:rPr>
            </w:pPr>
            <w:r>
              <w:rPr>
                <w:rFonts w:ascii="宋体" w:hAnsi="宋体" w:hint="eastAsia"/>
                <w:szCs w:val="21"/>
                <w:lang w:bidi="en-US"/>
              </w:rPr>
              <w:t>径向速度退模糊</w:t>
            </w:r>
          </w:p>
        </w:tc>
        <w:tc>
          <w:tcPr>
            <w:tcW w:w="3177" w:type="dxa"/>
            <w:vAlign w:val="center"/>
          </w:tcPr>
          <w:p>
            <w:pPr>
              <w:spacing w:line="360" w:lineRule="auto"/>
              <w:rPr>
                <w:rFonts w:ascii="宋体" w:hAnsi="宋体"/>
                <w:szCs w:val="21"/>
                <w:lang w:bidi="en-US"/>
              </w:rPr>
            </w:pPr>
            <w:r>
              <w:rPr>
                <w:rFonts w:ascii="宋体" w:hAnsi="宋体" w:hint="eastAsia"/>
                <w:szCs w:val="21"/>
                <w:lang w:bidi="en-US"/>
              </w:rPr>
              <w:t>速度退模糊正确率≥90%，且标准偏差≤2m/s</w:t>
            </w:r>
          </w:p>
        </w:tc>
      </w:tr>
      <w:tr>
        <w:tblPrEx>
          <w:tblW w:w="8522" w:type="dxa"/>
          <w:jc w:val="center"/>
          <w:tblCellMar>
            <w:top w:w="0" w:type="dxa"/>
            <w:left w:w="108" w:type="dxa"/>
            <w:bottom w:w="0" w:type="dxa"/>
            <w:right w:w="108" w:type="dxa"/>
          </w:tblCellMar>
        </w:tblPrEx>
        <w:trPr>
          <w:trHeight w:val="113"/>
          <w:jc w:val="center"/>
        </w:trPr>
        <w:tc>
          <w:tcPr>
            <w:tcW w:w="739" w:type="dxa"/>
            <w:vAlign w:val="center"/>
          </w:tcPr>
          <w:p>
            <w:pPr>
              <w:spacing w:line="360" w:lineRule="auto"/>
              <w:rPr>
                <w:rFonts w:ascii="宋体" w:hAnsi="宋体"/>
                <w:szCs w:val="21"/>
                <w:lang w:bidi="en-US"/>
              </w:rPr>
            </w:pPr>
            <w:r>
              <w:rPr>
                <w:rFonts w:ascii="宋体" w:hAnsi="宋体" w:hint="eastAsia"/>
                <w:szCs w:val="21"/>
                <w:lang w:bidi="en-US"/>
              </w:rPr>
              <w:t>6</w:t>
            </w:r>
          </w:p>
        </w:tc>
        <w:tc>
          <w:tcPr>
            <w:tcW w:w="4606" w:type="dxa"/>
            <w:noWrap/>
            <w:vAlign w:val="center"/>
          </w:tcPr>
          <w:p>
            <w:pPr>
              <w:spacing w:line="360" w:lineRule="auto"/>
              <w:rPr>
                <w:rFonts w:ascii="宋体" w:hAnsi="宋体"/>
                <w:szCs w:val="21"/>
                <w:lang w:bidi="en-US"/>
              </w:rPr>
            </w:pPr>
            <w:r>
              <w:rPr>
                <w:rFonts w:ascii="宋体" w:hAnsi="宋体" w:hint="eastAsia"/>
                <w:szCs w:val="21"/>
                <w:lang w:bidi="en-US"/>
              </w:rPr>
              <w:t>差分相移退折叠</w:t>
            </w:r>
          </w:p>
        </w:tc>
        <w:tc>
          <w:tcPr>
            <w:tcW w:w="3177" w:type="dxa"/>
            <w:vAlign w:val="center"/>
          </w:tcPr>
          <w:p>
            <w:pPr>
              <w:spacing w:line="360" w:lineRule="auto"/>
              <w:rPr>
                <w:rFonts w:ascii="宋体" w:hAnsi="宋体"/>
                <w:szCs w:val="21"/>
                <w:lang w:bidi="en-US"/>
              </w:rPr>
            </w:pPr>
            <w:r>
              <w:rPr>
                <w:rFonts w:ascii="宋体" w:hAnsi="宋体" w:hint="eastAsia"/>
                <w:szCs w:val="21"/>
                <w:lang w:bidi="en-US"/>
              </w:rPr>
              <w:t>退折叠正确率≥95%</w:t>
            </w:r>
          </w:p>
        </w:tc>
      </w:tr>
      <w:tr>
        <w:tblPrEx>
          <w:tblW w:w="8522" w:type="dxa"/>
          <w:jc w:val="center"/>
          <w:tblCellMar>
            <w:top w:w="0" w:type="dxa"/>
            <w:left w:w="108" w:type="dxa"/>
            <w:bottom w:w="0" w:type="dxa"/>
            <w:right w:w="108" w:type="dxa"/>
          </w:tblCellMar>
        </w:tblPrEx>
        <w:trPr>
          <w:trHeight w:val="113"/>
          <w:jc w:val="center"/>
        </w:trPr>
        <w:tc>
          <w:tcPr>
            <w:tcW w:w="739" w:type="dxa"/>
            <w:vAlign w:val="center"/>
          </w:tcPr>
          <w:p>
            <w:pPr>
              <w:spacing w:line="360" w:lineRule="auto"/>
              <w:rPr>
                <w:rFonts w:ascii="宋体" w:hAnsi="宋体"/>
                <w:szCs w:val="21"/>
                <w:lang w:bidi="en-US"/>
              </w:rPr>
            </w:pPr>
            <w:r>
              <w:rPr>
                <w:rFonts w:ascii="宋体" w:hAnsi="宋体" w:hint="eastAsia"/>
                <w:szCs w:val="21"/>
                <w:lang w:bidi="en-US"/>
              </w:rPr>
              <w:t>7</w:t>
            </w:r>
          </w:p>
        </w:tc>
        <w:tc>
          <w:tcPr>
            <w:tcW w:w="4606" w:type="dxa"/>
            <w:noWrap/>
            <w:vAlign w:val="center"/>
          </w:tcPr>
          <w:p>
            <w:pPr>
              <w:spacing w:line="360" w:lineRule="auto"/>
              <w:rPr>
                <w:rFonts w:ascii="宋体" w:hAnsi="宋体"/>
                <w:szCs w:val="21"/>
                <w:lang w:bidi="en-US"/>
              </w:rPr>
            </w:pPr>
            <w:r>
              <w:rPr>
                <w:rFonts w:ascii="宋体" w:hAnsi="宋体" w:hint="eastAsia"/>
                <w:szCs w:val="21"/>
                <w:lang w:bidi="en-US"/>
              </w:rPr>
              <w:t>差分传播相移率估算</w:t>
            </w:r>
          </w:p>
        </w:tc>
        <w:tc>
          <w:tcPr>
            <w:tcW w:w="3177" w:type="dxa"/>
            <w:vAlign w:val="center"/>
          </w:tcPr>
          <w:p>
            <w:pPr>
              <w:spacing w:line="360" w:lineRule="auto"/>
              <w:rPr>
                <w:rFonts w:ascii="宋体" w:hAnsi="宋体"/>
                <w:szCs w:val="21"/>
                <w:lang w:bidi="en-US"/>
              </w:rPr>
            </w:pPr>
            <w:r>
              <w:rPr>
                <w:rFonts w:ascii="宋体" w:hAnsi="宋体" w:hint="eastAsia"/>
                <w:szCs w:val="21"/>
                <w:lang w:bidi="en-US"/>
              </w:rPr>
              <w:t>满足合理性评估要求</w:t>
            </w:r>
          </w:p>
        </w:tc>
      </w:tr>
    </w:tbl>
    <w:p>
      <w:pPr>
        <w:spacing w:line="360" w:lineRule="auto"/>
        <w:rPr>
          <w:rFonts w:ascii="宋体" w:hAnsi="宋体"/>
          <w:b/>
          <w:szCs w:val="21"/>
        </w:rPr>
      </w:pPr>
    </w:p>
    <w:p>
      <w:pPr>
        <w:spacing w:line="360" w:lineRule="auto"/>
        <w:rPr>
          <w:rFonts w:ascii="宋体" w:hAnsi="宋体"/>
          <w:b/>
          <w:szCs w:val="21"/>
        </w:rPr>
      </w:pPr>
      <w:r>
        <w:rPr>
          <w:rFonts w:ascii="宋体" w:hAnsi="宋体" w:hint="eastAsia"/>
          <w:b/>
          <w:bCs/>
          <w:szCs w:val="21"/>
        </w:rPr>
        <w:t>1.12.</w:t>
      </w:r>
      <w:r>
        <w:rPr>
          <w:rFonts w:ascii="宋体" w:hAnsi="宋体" w:hint="eastAsia"/>
          <w:b/>
          <w:szCs w:val="21"/>
        </w:rPr>
        <w:t>10.2气象产品种类</w:t>
      </w:r>
    </w:p>
    <w:p>
      <w:pPr>
        <w:spacing w:line="360" w:lineRule="auto"/>
        <w:rPr>
          <w:rFonts w:ascii="宋体" w:hAnsi="宋体"/>
          <w:szCs w:val="21"/>
        </w:rPr>
      </w:pPr>
      <w:r>
        <w:rPr>
          <w:rFonts w:ascii="宋体" w:hAnsi="宋体" w:hint="eastAsia"/>
          <w:szCs w:val="21"/>
        </w:rPr>
        <w:t>气象产品应包含但不限于以下内容，可以根据雷达实际用途进行扩展。</w:t>
      </w:r>
    </w:p>
    <w:p>
      <w:pPr>
        <w:spacing w:line="360" w:lineRule="auto"/>
        <w:rPr>
          <w:rFonts w:ascii="宋体" w:hAnsi="宋体"/>
          <w:szCs w:val="21"/>
        </w:rPr>
      </w:pPr>
      <w:r>
        <w:rPr>
          <w:rFonts w:ascii="宋体" w:hAnsi="宋体" w:hint="eastAsia"/>
          <w:szCs w:val="21"/>
        </w:rPr>
        <w:t>（1）基本产品</w:t>
      </w:r>
    </w:p>
    <w:p>
      <w:pPr>
        <w:spacing w:line="360" w:lineRule="auto"/>
        <w:rPr>
          <w:rFonts w:ascii="宋体" w:hAnsi="宋体"/>
          <w:szCs w:val="21"/>
        </w:rPr>
      </w:pPr>
      <w:r>
        <w:rPr>
          <w:rFonts w:ascii="宋体" w:hAnsi="宋体" w:hint="eastAsia"/>
          <w:szCs w:val="21"/>
        </w:rPr>
        <w:t>基本产品不少于10种，具体见下表。</w:t>
      </w:r>
    </w:p>
    <w:p>
      <w:pPr>
        <w:spacing w:line="360" w:lineRule="auto"/>
        <w:rPr>
          <w:rFonts w:ascii="宋体" w:hAnsi="宋体"/>
          <w:szCs w:val="21"/>
          <w:lang w:bidi="en-US"/>
        </w:rPr>
      </w:pPr>
      <w:r>
        <w:rPr>
          <w:rFonts w:ascii="宋体" w:hAnsi="宋体" w:hint="eastAsia"/>
          <w:szCs w:val="21"/>
          <w:lang w:bidi="en-US"/>
        </w:rPr>
        <w:t>表10 基本产品列表</w:t>
      </w:r>
    </w:p>
    <w:tbl>
      <w:tblPr>
        <w:tblStyle w:val="TableNormal"/>
        <w:tblW w:w="5740" w:type="dxa"/>
        <w:jc w:val="center"/>
        <w:tblCellMar>
          <w:top w:w="0" w:type="dxa"/>
          <w:left w:w="108" w:type="dxa"/>
          <w:bottom w:w="0" w:type="dxa"/>
          <w:right w:w="108" w:type="dxa"/>
        </w:tblCellMar>
      </w:tblPr>
      <w:tblGrid>
        <w:gridCol w:w="878"/>
        <w:gridCol w:w="2878"/>
        <w:gridCol w:w="1984"/>
      </w:tblGrid>
      <w:tr>
        <w:tblPrEx>
          <w:tblW w:w="5740" w:type="dxa"/>
          <w:jc w:val="center"/>
          <w:tblCellMar>
            <w:top w:w="0" w:type="dxa"/>
            <w:left w:w="108" w:type="dxa"/>
            <w:bottom w:w="0" w:type="dxa"/>
            <w:right w:w="108" w:type="dxa"/>
          </w:tblCellMar>
        </w:tblPrEx>
        <w:trPr>
          <w:trHeight w:val="113"/>
          <w:tblHeader/>
          <w:jc w:val="center"/>
        </w:trPr>
        <w:tc>
          <w:tcPr>
            <w:tcW w:w="878" w:type="dxa"/>
            <w:tcBorders>
              <w:top w:val="single" w:sz="4" w:space="0" w:color="auto"/>
              <w:left w:val="single" w:sz="4" w:space="0" w:color="auto"/>
              <w:bottom w:val="single" w:sz="4" w:space="0" w:color="auto"/>
              <w:right w:val="nil"/>
            </w:tcBorders>
            <w:vAlign w:val="center"/>
          </w:tcPr>
          <w:p>
            <w:pPr>
              <w:spacing w:line="360" w:lineRule="auto"/>
              <w:rPr>
                <w:rFonts w:ascii="宋体" w:hAnsi="宋体"/>
                <w:szCs w:val="21"/>
                <w:lang w:bidi="en-US"/>
              </w:rPr>
            </w:pPr>
            <w:r>
              <w:rPr>
                <w:rFonts w:ascii="宋体" w:hAnsi="宋体"/>
                <w:szCs w:val="21"/>
                <w:lang w:bidi="en-US"/>
              </w:rPr>
              <w:t>序号</w:t>
            </w:r>
          </w:p>
        </w:tc>
        <w:tc>
          <w:tcPr>
            <w:tcW w:w="2878"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产品名称</w:t>
            </w:r>
          </w:p>
        </w:tc>
        <w:tc>
          <w:tcPr>
            <w:tcW w:w="1984"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szCs w:val="21"/>
                <w:lang w:bidi="en-US"/>
              </w:rPr>
              <w:t>产品标识</w:t>
            </w:r>
          </w:p>
        </w:tc>
      </w:tr>
      <w:tr>
        <w:tblPrEx>
          <w:tblW w:w="5740" w:type="dxa"/>
          <w:jc w:val="center"/>
          <w:tblCellMar>
            <w:top w:w="0" w:type="dxa"/>
            <w:left w:w="108" w:type="dxa"/>
            <w:bottom w:w="0" w:type="dxa"/>
            <w:right w:w="108" w:type="dxa"/>
          </w:tblCellMar>
        </w:tblPrEx>
        <w:trPr>
          <w:trHeight w:val="113"/>
          <w:jc w:val="center"/>
        </w:trPr>
        <w:tc>
          <w:tcPr>
            <w:tcW w:w="878" w:type="dxa"/>
            <w:tcBorders>
              <w:top w:val="single" w:sz="4" w:space="0" w:color="auto"/>
              <w:left w:val="single" w:sz="4" w:space="0" w:color="auto"/>
              <w:bottom w:val="single" w:sz="4" w:space="0" w:color="auto"/>
              <w:right w:val="nil"/>
            </w:tcBorders>
            <w:vAlign w:val="center"/>
          </w:tcPr>
          <w:p>
            <w:pPr>
              <w:spacing w:line="360" w:lineRule="auto"/>
              <w:rPr>
                <w:rFonts w:ascii="宋体" w:hAnsi="宋体"/>
                <w:szCs w:val="21"/>
                <w:lang w:bidi="en-US"/>
              </w:rPr>
            </w:pPr>
            <w:r>
              <w:rPr>
                <w:rFonts w:ascii="宋体" w:hAnsi="宋体"/>
                <w:szCs w:val="21"/>
                <w:lang w:bidi="en-US"/>
              </w:rPr>
              <w:t>1</w:t>
            </w:r>
          </w:p>
        </w:tc>
        <w:tc>
          <w:tcPr>
            <w:tcW w:w="2878"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滤波前回波强度</w:t>
            </w:r>
          </w:p>
        </w:tc>
        <w:tc>
          <w:tcPr>
            <w:tcW w:w="1984"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szCs w:val="21"/>
                <w:lang w:bidi="en-US"/>
              </w:rPr>
              <w:t>TR</w:t>
            </w:r>
          </w:p>
        </w:tc>
      </w:tr>
      <w:tr>
        <w:tblPrEx>
          <w:tblW w:w="5740" w:type="dxa"/>
          <w:jc w:val="center"/>
          <w:tblCellMar>
            <w:top w:w="0" w:type="dxa"/>
            <w:left w:w="108" w:type="dxa"/>
            <w:bottom w:w="0" w:type="dxa"/>
            <w:right w:w="108" w:type="dxa"/>
          </w:tblCellMar>
        </w:tblPrEx>
        <w:trPr>
          <w:trHeight w:val="113"/>
          <w:jc w:val="center"/>
        </w:trPr>
        <w:tc>
          <w:tcPr>
            <w:tcW w:w="878" w:type="dxa"/>
            <w:tcBorders>
              <w:top w:val="nil"/>
              <w:left w:val="single" w:sz="4" w:space="0" w:color="auto"/>
              <w:bottom w:val="single" w:sz="4" w:space="0" w:color="auto"/>
              <w:right w:val="nil"/>
            </w:tcBorders>
            <w:vAlign w:val="center"/>
          </w:tcPr>
          <w:p>
            <w:pPr>
              <w:spacing w:line="360" w:lineRule="auto"/>
              <w:rPr>
                <w:rFonts w:ascii="宋体" w:hAnsi="宋体"/>
                <w:szCs w:val="21"/>
                <w:lang w:bidi="en-US"/>
              </w:rPr>
            </w:pPr>
            <w:r>
              <w:rPr>
                <w:rFonts w:ascii="宋体" w:hAnsi="宋体"/>
                <w:szCs w:val="21"/>
                <w:lang w:bidi="en-US"/>
              </w:rPr>
              <w:t>2</w:t>
            </w:r>
          </w:p>
        </w:tc>
        <w:tc>
          <w:tcPr>
            <w:tcW w:w="2878" w:type="dxa"/>
            <w:tcBorders>
              <w:top w:val="nil"/>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滤波后回波强度</w:t>
            </w:r>
          </w:p>
        </w:tc>
        <w:tc>
          <w:tcPr>
            <w:tcW w:w="1984" w:type="dxa"/>
            <w:tcBorders>
              <w:top w:val="nil"/>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szCs w:val="21"/>
                <w:lang w:bidi="en-US"/>
              </w:rPr>
              <w:t>R</w:t>
            </w:r>
          </w:p>
        </w:tc>
      </w:tr>
      <w:tr>
        <w:tblPrEx>
          <w:tblW w:w="5740" w:type="dxa"/>
          <w:jc w:val="center"/>
          <w:tblCellMar>
            <w:top w:w="0" w:type="dxa"/>
            <w:left w:w="108" w:type="dxa"/>
            <w:bottom w:w="0" w:type="dxa"/>
            <w:right w:w="108" w:type="dxa"/>
          </w:tblCellMar>
        </w:tblPrEx>
        <w:trPr>
          <w:trHeight w:val="113"/>
          <w:jc w:val="center"/>
        </w:trPr>
        <w:tc>
          <w:tcPr>
            <w:tcW w:w="878" w:type="dxa"/>
            <w:tcBorders>
              <w:top w:val="nil"/>
              <w:left w:val="single" w:sz="4" w:space="0" w:color="auto"/>
              <w:bottom w:val="single" w:sz="4" w:space="0" w:color="auto"/>
              <w:right w:val="nil"/>
            </w:tcBorders>
            <w:vAlign w:val="center"/>
          </w:tcPr>
          <w:p>
            <w:pPr>
              <w:spacing w:line="360" w:lineRule="auto"/>
              <w:rPr>
                <w:rFonts w:ascii="宋体" w:hAnsi="宋体"/>
                <w:szCs w:val="21"/>
                <w:lang w:bidi="en-US"/>
              </w:rPr>
            </w:pPr>
            <w:r>
              <w:rPr>
                <w:rFonts w:ascii="宋体" w:hAnsi="宋体"/>
                <w:szCs w:val="21"/>
                <w:lang w:bidi="en-US"/>
              </w:rPr>
              <w:t>3</w:t>
            </w:r>
          </w:p>
        </w:tc>
        <w:tc>
          <w:tcPr>
            <w:tcW w:w="2878" w:type="dxa"/>
            <w:tcBorders>
              <w:top w:val="nil"/>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径向速度</w:t>
            </w:r>
          </w:p>
        </w:tc>
        <w:tc>
          <w:tcPr>
            <w:tcW w:w="1984" w:type="dxa"/>
            <w:tcBorders>
              <w:top w:val="nil"/>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szCs w:val="21"/>
                <w:lang w:bidi="en-US"/>
              </w:rPr>
              <w:t>V</w:t>
            </w:r>
          </w:p>
        </w:tc>
      </w:tr>
      <w:tr>
        <w:tblPrEx>
          <w:tblW w:w="5740" w:type="dxa"/>
          <w:jc w:val="center"/>
          <w:tblCellMar>
            <w:top w:w="0" w:type="dxa"/>
            <w:left w:w="108" w:type="dxa"/>
            <w:bottom w:w="0" w:type="dxa"/>
            <w:right w:w="108" w:type="dxa"/>
          </w:tblCellMar>
        </w:tblPrEx>
        <w:trPr>
          <w:trHeight w:val="113"/>
          <w:jc w:val="center"/>
        </w:trPr>
        <w:tc>
          <w:tcPr>
            <w:tcW w:w="878" w:type="dxa"/>
            <w:tcBorders>
              <w:top w:val="nil"/>
              <w:left w:val="single" w:sz="4" w:space="0" w:color="auto"/>
              <w:bottom w:val="single" w:sz="4" w:space="0" w:color="auto"/>
              <w:right w:val="nil"/>
            </w:tcBorders>
            <w:vAlign w:val="center"/>
          </w:tcPr>
          <w:p>
            <w:pPr>
              <w:spacing w:line="360" w:lineRule="auto"/>
              <w:rPr>
                <w:rFonts w:ascii="宋体" w:hAnsi="宋体"/>
                <w:szCs w:val="21"/>
                <w:lang w:bidi="en-US"/>
              </w:rPr>
            </w:pPr>
            <w:r>
              <w:rPr>
                <w:rFonts w:ascii="宋体" w:hAnsi="宋体"/>
                <w:szCs w:val="21"/>
                <w:lang w:bidi="en-US"/>
              </w:rPr>
              <w:t>4</w:t>
            </w:r>
          </w:p>
        </w:tc>
        <w:tc>
          <w:tcPr>
            <w:tcW w:w="2878" w:type="dxa"/>
            <w:tcBorders>
              <w:top w:val="nil"/>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速度谱宽</w:t>
            </w:r>
          </w:p>
        </w:tc>
        <w:tc>
          <w:tcPr>
            <w:tcW w:w="1984" w:type="dxa"/>
            <w:tcBorders>
              <w:top w:val="nil"/>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szCs w:val="21"/>
                <w:lang w:bidi="en-US"/>
              </w:rPr>
              <w:t>SW</w:t>
            </w:r>
          </w:p>
        </w:tc>
      </w:tr>
      <w:tr>
        <w:tblPrEx>
          <w:tblW w:w="5740" w:type="dxa"/>
          <w:jc w:val="center"/>
          <w:tblCellMar>
            <w:top w:w="0" w:type="dxa"/>
            <w:left w:w="108" w:type="dxa"/>
            <w:bottom w:w="0" w:type="dxa"/>
            <w:right w:w="108" w:type="dxa"/>
          </w:tblCellMar>
        </w:tblPrEx>
        <w:trPr>
          <w:trHeight w:val="113"/>
          <w:jc w:val="center"/>
        </w:trPr>
        <w:tc>
          <w:tcPr>
            <w:tcW w:w="878" w:type="dxa"/>
            <w:tcBorders>
              <w:top w:val="nil"/>
              <w:left w:val="single" w:sz="4" w:space="0" w:color="auto"/>
              <w:bottom w:val="single" w:sz="4" w:space="0" w:color="auto"/>
              <w:right w:val="nil"/>
            </w:tcBorders>
            <w:vAlign w:val="center"/>
          </w:tcPr>
          <w:p>
            <w:pPr>
              <w:spacing w:line="360" w:lineRule="auto"/>
              <w:rPr>
                <w:rFonts w:ascii="宋体" w:hAnsi="宋体"/>
                <w:szCs w:val="21"/>
                <w:lang w:bidi="en-US"/>
              </w:rPr>
            </w:pPr>
            <w:r>
              <w:rPr>
                <w:rFonts w:ascii="宋体" w:hAnsi="宋体"/>
                <w:szCs w:val="21"/>
                <w:lang w:bidi="en-US"/>
              </w:rPr>
              <w:t>5</w:t>
            </w:r>
          </w:p>
        </w:tc>
        <w:tc>
          <w:tcPr>
            <w:tcW w:w="2878" w:type="dxa"/>
            <w:tcBorders>
              <w:top w:val="nil"/>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差分反射率因子</w:t>
            </w:r>
          </w:p>
        </w:tc>
        <w:tc>
          <w:tcPr>
            <w:tcW w:w="1984" w:type="dxa"/>
            <w:tcBorders>
              <w:top w:val="nil"/>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szCs w:val="21"/>
                <w:lang w:bidi="en-US"/>
              </w:rPr>
              <w:t>ZDR</w:t>
            </w:r>
          </w:p>
        </w:tc>
      </w:tr>
      <w:tr>
        <w:tblPrEx>
          <w:tblW w:w="5740" w:type="dxa"/>
          <w:jc w:val="center"/>
          <w:tblCellMar>
            <w:top w:w="0" w:type="dxa"/>
            <w:left w:w="108" w:type="dxa"/>
            <w:bottom w:w="0" w:type="dxa"/>
            <w:right w:w="108" w:type="dxa"/>
          </w:tblCellMar>
        </w:tblPrEx>
        <w:trPr>
          <w:trHeight w:val="113"/>
          <w:jc w:val="center"/>
        </w:trPr>
        <w:tc>
          <w:tcPr>
            <w:tcW w:w="878" w:type="dxa"/>
            <w:tcBorders>
              <w:top w:val="nil"/>
              <w:left w:val="single" w:sz="4" w:space="0" w:color="auto"/>
              <w:bottom w:val="single" w:sz="4" w:space="0" w:color="auto"/>
              <w:right w:val="nil"/>
            </w:tcBorders>
            <w:vAlign w:val="center"/>
          </w:tcPr>
          <w:p>
            <w:pPr>
              <w:spacing w:line="360" w:lineRule="auto"/>
              <w:rPr>
                <w:rFonts w:ascii="宋体" w:hAnsi="宋体"/>
                <w:szCs w:val="21"/>
                <w:lang w:bidi="en-US"/>
              </w:rPr>
            </w:pPr>
            <w:r>
              <w:rPr>
                <w:rFonts w:ascii="宋体" w:hAnsi="宋体"/>
                <w:szCs w:val="21"/>
                <w:lang w:bidi="en-US"/>
              </w:rPr>
              <w:t>6</w:t>
            </w:r>
          </w:p>
        </w:tc>
        <w:tc>
          <w:tcPr>
            <w:tcW w:w="2878" w:type="dxa"/>
            <w:tcBorders>
              <w:top w:val="nil"/>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差分传播相移</w:t>
            </w:r>
          </w:p>
        </w:tc>
        <w:tc>
          <w:tcPr>
            <w:tcW w:w="1984" w:type="dxa"/>
            <w:tcBorders>
              <w:top w:val="nil"/>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szCs w:val="21"/>
                <w:lang w:bidi="en-US"/>
              </w:rPr>
              <w:t>PDP</w:t>
            </w:r>
          </w:p>
        </w:tc>
      </w:tr>
      <w:tr>
        <w:tblPrEx>
          <w:tblW w:w="5740" w:type="dxa"/>
          <w:jc w:val="center"/>
          <w:tblCellMar>
            <w:top w:w="0" w:type="dxa"/>
            <w:left w:w="108" w:type="dxa"/>
            <w:bottom w:w="0" w:type="dxa"/>
            <w:right w:w="108" w:type="dxa"/>
          </w:tblCellMar>
        </w:tblPrEx>
        <w:trPr>
          <w:trHeight w:val="113"/>
          <w:jc w:val="center"/>
        </w:trPr>
        <w:tc>
          <w:tcPr>
            <w:tcW w:w="878" w:type="dxa"/>
            <w:tcBorders>
              <w:top w:val="nil"/>
              <w:left w:val="single" w:sz="4" w:space="0" w:color="auto"/>
              <w:bottom w:val="single" w:sz="4" w:space="0" w:color="auto"/>
              <w:right w:val="nil"/>
            </w:tcBorders>
            <w:vAlign w:val="center"/>
          </w:tcPr>
          <w:p>
            <w:pPr>
              <w:spacing w:line="360" w:lineRule="auto"/>
              <w:rPr>
                <w:rFonts w:ascii="宋体" w:hAnsi="宋体"/>
                <w:szCs w:val="21"/>
                <w:lang w:bidi="en-US"/>
              </w:rPr>
            </w:pPr>
            <w:r>
              <w:rPr>
                <w:rFonts w:ascii="宋体" w:hAnsi="宋体"/>
                <w:szCs w:val="21"/>
                <w:lang w:bidi="en-US"/>
              </w:rPr>
              <w:t>7</w:t>
            </w:r>
          </w:p>
        </w:tc>
        <w:tc>
          <w:tcPr>
            <w:tcW w:w="2878" w:type="dxa"/>
            <w:tcBorders>
              <w:top w:val="nil"/>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差分传播相移率</w:t>
            </w:r>
          </w:p>
        </w:tc>
        <w:tc>
          <w:tcPr>
            <w:tcW w:w="1984" w:type="dxa"/>
            <w:tcBorders>
              <w:top w:val="nil"/>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szCs w:val="21"/>
                <w:lang w:bidi="en-US"/>
              </w:rPr>
              <w:t>KDP</w:t>
            </w:r>
          </w:p>
        </w:tc>
      </w:tr>
      <w:tr>
        <w:tblPrEx>
          <w:tblW w:w="5740" w:type="dxa"/>
          <w:jc w:val="center"/>
          <w:tblCellMar>
            <w:top w:w="0" w:type="dxa"/>
            <w:left w:w="108" w:type="dxa"/>
            <w:bottom w:w="0" w:type="dxa"/>
            <w:right w:w="108" w:type="dxa"/>
          </w:tblCellMar>
        </w:tblPrEx>
        <w:trPr>
          <w:trHeight w:val="113"/>
          <w:jc w:val="center"/>
        </w:trPr>
        <w:tc>
          <w:tcPr>
            <w:tcW w:w="878" w:type="dxa"/>
            <w:tcBorders>
              <w:top w:val="nil"/>
              <w:left w:val="single" w:sz="4" w:space="0" w:color="auto"/>
              <w:bottom w:val="single" w:sz="4" w:space="0" w:color="auto"/>
              <w:right w:val="nil"/>
            </w:tcBorders>
            <w:vAlign w:val="center"/>
          </w:tcPr>
          <w:p>
            <w:pPr>
              <w:spacing w:line="360" w:lineRule="auto"/>
              <w:rPr>
                <w:rFonts w:ascii="宋体" w:hAnsi="宋体"/>
                <w:szCs w:val="21"/>
                <w:lang w:bidi="en-US"/>
              </w:rPr>
            </w:pPr>
            <w:r>
              <w:rPr>
                <w:rFonts w:ascii="宋体" w:hAnsi="宋体"/>
                <w:szCs w:val="21"/>
                <w:lang w:bidi="en-US"/>
              </w:rPr>
              <w:t>8</w:t>
            </w:r>
          </w:p>
        </w:tc>
        <w:tc>
          <w:tcPr>
            <w:tcW w:w="2878" w:type="dxa"/>
            <w:tcBorders>
              <w:top w:val="nil"/>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相关系数</w:t>
            </w:r>
          </w:p>
        </w:tc>
        <w:tc>
          <w:tcPr>
            <w:tcW w:w="1984" w:type="dxa"/>
            <w:tcBorders>
              <w:top w:val="nil"/>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szCs w:val="21"/>
                <w:lang w:bidi="en-US"/>
              </w:rPr>
              <w:t>CC</w:t>
            </w:r>
          </w:p>
        </w:tc>
      </w:tr>
      <w:tr>
        <w:tblPrEx>
          <w:tblW w:w="5740" w:type="dxa"/>
          <w:jc w:val="center"/>
          <w:tblCellMar>
            <w:top w:w="0" w:type="dxa"/>
            <w:left w:w="108" w:type="dxa"/>
            <w:bottom w:w="0" w:type="dxa"/>
            <w:right w:w="108" w:type="dxa"/>
          </w:tblCellMar>
        </w:tblPrEx>
        <w:trPr>
          <w:trHeight w:val="113"/>
          <w:jc w:val="center"/>
        </w:trPr>
        <w:tc>
          <w:tcPr>
            <w:tcW w:w="878" w:type="dxa"/>
            <w:tcBorders>
              <w:top w:val="single" w:sz="4" w:space="0" w:color="auto"/>
              <w:left w:val="single" w:sz="4" w:space="0" w:color="auto"/>
              <w:bottom w:val="single" w:sz="4" w:space="0" w:color="auto"/>
              <w:right w:val="nil"/>
            </w:tcBorders>
            <w:vAlign w:val="center"/>
          </w:tcPr>
          <w:p>
            <w:pPr>
              <w:spacing w:line="360" w:lineRule="auto"/>
              <w:rPr>
                <w:rFonts w:ascii="宋体" w:hAnsi="宋体"/>
                <w:szCs w:val="21"/>
                <w:lang w:bidi="en-US"/>
              </w:rPr>
            </w:pPr>
            <w:r>
              <w:rPr>
                <w:rFonts w:ascii="宋体" w:hAnsi="宋体"/>
                <w:szCs w:val="21"/>
                <w:lang w:bidi="en-US"/>
              </w:rPr>
              <w:t>9</w:t>
            </w:r>
          </w:p>
        </w:tc>
        <w:tc>
          <w:tcPr>
            <w:tcW w:w="2878"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水平通道信噪比</w:t>
            </w:r>
          </w:p>
        </w:tc>
        <w:tc>
          <w:tcPr>
            <w:tcW w:w="1984"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szCs w:val="21"/>
                <w:lang w:bidi="en-US"/>
              </w:rPr>
              <w:t>SNRH</w:t>
            </w:r>
          </w:p>
        </w:tc>
      </w:tr>
      <w:tr>
        <w:tblPrEx>
          <w:tblW w:w="5740" w:type="dxa"/>
          <w:jc w:val="center"/>
          <w:tblCellMar>
            <w:top w:w="0" w:type="dxa"/>
            <w:left w:w="108" w:type="dxa"/>
            <w:bottom w:w="0" w:type="dxa"/>
            <w:right w:w="108" w:type="dxa"/>
          </w:tblCellMar>
        </w:tblPrEx>
        <w:trPr>
          <w:trHeight w:val="113"/>
          <w:jc w:val="center"/>
        </w:trPr>
        <w:tc>
          <w:tcPr>
            <w:tcW w:w="878" w:type="dxa"/>
            <w:tcBorders>
              <w:top w:val="single" w:sz="4" w:space="0" w:color="auto"/>
              <w:left w:val="single" w:sz="4" w:space="0" w:color="auto"/>
              <w:bottom w:val="single" w:sz="4" w:space="0" w:color="auto"/>
              <w:right w:val="nil"/>
            </w:tcBorders>
            <w:vAlign w:val="center"/>
          </w:tcPr>
          <w:p>
            <w:pPr>
              <w:spacing w:line="360" w:lineRule="auto"/>
              <w:rPr>
                <w:rFonts w:ascii="宋体" w:hAnsi="宋体"/>
                <w:szCs w:val="21"/>
                <w:lang w:bidi="en-US"/>
              </w:rPr>
            </w:pPr>
            <w:r>
              <w:rPr>
                <w:rFonts w:ascii="宋体" w:hAnsi="宋体"/>
                <w:szCs w:val="21"/>
                <w:lang w:bidi="en-US"/>
              </w:rPr>
              <w:t>10</w:t>
            </w:r>
          </w:p>
        </w:tc>
        <w:tc>
          <w:tcPr>
            <w:tcW w:w="2878"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垂直通道信噪比</w:t>
            </w:r>
          </w:p>
        </w:tc>
        <w:tc>
          <w:tcPr>
            <w:tcW w:w="1984"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szCs w:val="21"/>
                <w:lang w:bidi="en-US"/>
              </w:rPr>
              <w:t>SNRV</w:t>
            </w:r>
          </w:p>
        </w:tc>
      </w:tr>
    </w:tbl>
    <w:p>
      <w:pPr>
        <w:spacing w:line="360" w:lineRule="auto"/>
        <w:rPr>
          <w:rFonts w:ascii="宋体" w:hAnsi="宋体"/>
          <w:szCs w:val="21"/>
        </w:rPr>
      </w:pPr>
      <w:r>
        <w:rPr>
          <w:rFonts w:ascii="宋体" w:hAnsi="宋体" w:hint="eastAsia"/>
          <w:szCs w:val="21"/>
        </w:rPr>
        <w:t>（2）二次</w:t>
      </w:r>
      <w:r>
        <w:rPr>
          <w:rFonts w:ascii="宋体" w:hAnsi="宋体"/>
          <w:szCs w:val="21"/>
        </w:rPr>
        <w:t>产品</w:t>
      </w:r>
    </w:p>
    <w:p>
      <w:pPr>
        <w:spacing w:line="360" w:lineRule="auto"/>
        <w:rPr>
          <w:rFonts w:ascii="宋体" w:hAnsi="宋体"/>
          <w:szCs w:val="21"/>
        </w:rPr>
      </w:pPr>
      <w:r>
        <w:rPr>
          <w:rFonts w:ascii="宋体" w:hAnsi="宋体"/>
          <w:szCs w:val="21"/>
        </w:rPr>
        <w:t>二次产品包括物理量产品和识别类产品2类，其中物理量产品不少于14种、识别类产品不少于9种。如下表所示。</w:t>
      </w:r>
    </w:p>
    <w:p>
      <w:pPr>
        <w:spacing w:line="360" w:lineRule="auto"/>
        <w:rPr>
          <w:rFonts w:ascii="宋体" w:hAnsi="宋体"/>
          <w:szCs w:val="21"/>
        </w:rPr>
      </w:pPr>
      <w:r>
        <w:rPr>
          <w:rFonts w:ascii="宋体" w:hAnsi="宋体"/>
          <w:szCs w:val="21"/>
        </w:rPr>
        <w:t>二次产品需利用不少于3年的雷达标准数据集，对产品的合理性进行评估，即利用探测覆盖区域重叠的最相邻机械扫描雷达生成的对应产品进行一致性、连续性对比，判断产品的变化是否一致，前后时序变化是否连续等。</w:t>
      </w:r>
    </w:p>
    <w:p>
      <w:pPr>
        <w:spacing w:line="360" w:lineRule="auto"/>
        <w:rPr>
          <w:rFonts w:ascii="宋体" w:hAnsi="宋体"/>
          <w:szCs w:val="21"/>
          <w:lang w:bidi="en-US"/>
        </w:rPr>
      </w:pPr>
      <w:r>
        <w:rPr>
          <w:rFonts w:ascii="宋体" w:hAnsi="宋体"/>
          <w:szCs w:val="21"/>
          <w:lang w:bidi="en-US"/>
        </w:rPr>
        <w:t>表</w:t>
      </w:r>
      <w:r>
        <w:rPr>
          <w:rFonts w:ascii="宋体" w:hAnsi="宋体" w:hint="eastAsia"/>
          <w:szCs w:val="21"/>
          <w:lang w:bidi="en-US"/>
        </w:rPr>
        <w:t xml:space="preserve">11 </w:t>
      </w:r>
      <w:r>
        <w:rPr>
          <w:rFonts w:ascii="宋体" w:hAnsi="宋体"/>
          <w:szCs w:val="21"/>
          <w:lang w:bidi="en-US"/>
        </w:rPr>
        <w:t>二次产品列表</w:t>
      </w:r>
    </w:p>
    <w:tbl>
      <w:tblPr>
        <w:tblStyle w:val="TableNormal"/>
        <w:tblW w:w="8217" w:type="dxa"/>
        <w:jc w:val="center"/>
        <w:tblCellMar>
          <w:top w:w="0" w:type="dxa"/>
          <w:left w:w="108" w:type="dxa"/>
          <w:bottom w:w="0" w:type="dxa"/>
          <w:right w:w="108" w:type="dxa"/>
        </w:tblCellMar>
      </w:tblPr>
      <w:tblGrid>
        <w:gridCol w:w="817"/>
        <w:gridCol w:w="1392"/>
        <w:gridCol w:w="4094"/>
        <w:gridCol w:w="1914"/>
      </w:tblGrid>
      <w:tr>
        <w:tblPrEx>
          <w:tblW w:w="8217" w:type="dxa"/>
          <w:jc w:val="center"/>
          <w:tblCellMar>
            <w:top w:w="0" w:type="dxa"/>
            <w:left w:w="108" w:type="dxa"/>
            <w:bottom w:w="0" w:type="dxa"/>
            <w:right w:w="108" w:type="dxa"/>
          </w:tblCellMar>
        </w:tblPrEx>
        <w:trPr>
          <w:trHeight w:val="300"/>
          <w:tblHeader/>
          <w:jc w:val="center"/>
        </w:trPr>
        <w:tc>
          <w:tcPr>
            <w:tcW w:w="817" w:type="dxa"/>
            <w:tcBorders>
              <w:top w:val="single" w:sz="4" w:space="0" w:color="auto"/>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序号</w:t>
            </w:r>
          </w:p>
        </w:tc>
        <w:tc>
          <w:tcPr>
            <w:tcW w:w="1392" w:type="dxa"/>
            <w:tcBorders>
              <w:top w:val="single" w:sz="4" w:space="0" w:color="auto"/>
              <w:left w:val="single" w:sz="4" w:space="0" w:color="auto"/>
              <w:bottom w:val="single" w:sz="4" w:space="0" w:color="auto"/>
              <w:right w:val="single" w:sz="4" w:space="0" w:color="auto"/>
            </w:tcBorders>
          </w:tcPr>
          <w:p>
            <w:pPr>
              <w:spacing w:line="360" w:lineRule="auto"/>
              <w:rPr>
                <w:rFonts w:ascii="宋体" w:hAnsi="宋体"/>
                <w:szCs w:val="21"/>
                <w:lang w:bidi="en-US"/>
              </w:rPr>
            </w:pPr>
            <w:r>
              <w:rPr>
                <w:rFonts w:ascii="宋体" w:hAnsi="宋体"/>
                <w:szCs w:val="21"/>
                <w:lang w:bidi="en-US"/>
              </w:rPr>
              <w:t>类别</w:t>
            </w:r>
          </w:p>
        </w:tc>
        <w:tc>
          <w:tcPr>
            <w:tcW w:w="4094"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产品名称</w:t>
            </w:r>
          </w:p>
        </w:tc>
        <w:tc>
          <w:tcPr>
            <w:tcW w:w="1914" w:type="dxa"/>
            <w:tcBorders>
              <w:top w:val="single" w:sz="4" w:space="0" w:color="auto"/>
              <w:left w:val="single" w:sz="4" w:space="0" w:color="auto"/>
              <w:bottom w:val="single" w:sz="4" w:space="0" w:color="auto"/>
              <w:right w:val="single" w:sz="4" w:space="0" w:color="auto"/>
            </w:tcBorders>
            <w:noWrap/>
            <w:vAlign w:val="center"/>
          </w:tcPr>
          <w:p>
            <w:pPr>
              <w:spacing w:line="360" w:lineRule="auto"/>
              <w:rPr>
                <w:rFonts w:ascii="宋体" w:hAnsi="宋体"/>
                <w:szCs w:val="21"/>
                <w:lang w:bidi="en-US"/>
              </w:rPr>
            </w:pPr>
            <w:r>
              <w:rPr>
                <w:rFonts w:ascii="宋体" w:hAnsi="宋体"/>
                <w:szCs w:val="21"/>
                <w:lang w:bidi="en-US"/>
              </w:rPr>
              <w:t>产品标识</w:t>
            </w:r>
          </w:p>
        </w:tc>
      </w:tr>
      <w:tr>
        <w:tblPrEx>
          <w:tblW w:w="8217" w:type="dxa"/>
          <w:jc w:val="center"/>
          <w:tblCellMar>
            <w:top w:w="0" w:type="dxa"/>
            <w:left w:w="108" w:type="dxa"/>
            <w:bottom w:w="0" w:type="dxa"/>
            <w:right w:w="108" w:type="dxa"/>
          </w:tblCellMar>
        </w:tblPrEx>
        <w:trPr>
          <w:trHeight w:val="300"/>
          <w:jc w:val="center"/>
        </w:trPr>
        <w:tc>
          <w:tcPr>
            <w:tcW w:w="817" w:type="dxa"/>
            <w:tcBorders>
              <w:top w:val="single" w:sz="4" w:space="0" w:color="auto"/>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1</w:t>
            </w:r>
          </w:p>
        </w:tc>
        <w:tc>
          <w:tcPr>
            <w:tcW w:w="1392" w:type="dxa"/>
            <w:vMerge w:val="restart"/>
            <w:tcBorders>
              <w:top w:val="single" w:sz="4" w:space="0" w:color="auto"/>
              <w:left w:val="single" w:sz="4" w:space="0" w:color="auto"/>
              <w:right w:val="single" w:sz="4" w:space="0" w:color="auto"/>
            </w:tcBorders>
            <w:vAlign w:val="center"/>
          </w:tcPr>
          <w:p>
            <w:pPr>
              <w:spacing w:line="360" w:lineRule="auto"/>
              <w:rPr>
                <w:rFonts w:ascii="宋体" w:hAnsi="宋体"/>
                <w:szCs w:val="21"/>
                <w:lang w:bidi="en-US"/>
              </w:rPr>
            </w:pPr>
          </w:p>
          <w:p>
            <w:pPr>
              <w:spacing w:line="360" w:lineRule="auto"/>
              <w:rPr>
                <w:rFonts w:ascii="宋体" w:hAnsi="宋体"/>
                <w:szCs w:val="21"/>
                <w:lang w:bidi="en-US"/>
              </w:rPr>
            </w:pPr>
          </w:p>
          <w:p>
            <w:pPr>
              <w:spacing w:line="360" w:lineRule="auto"/>
              <w:rPr>
                <w:rFonts w:ascii="宋体" w:hAnsi="宋体"/>
                <w:szCs w:val="21"/>
                <w:lang w:bidi="en-US"/>
              </w:rPr>
            </w:pPr>
          </w:p>
          <w:p>
            <w:pPr>
              <w:spacing w:line="360" w:lineRule="auto"/>
              <w:rPr>
                <w:rFonts w:ascii="宋体" w:hAnsi="宋体"/>
                <w:szCs w:val="21"/>
                <w:lang w:bidi="en-US"/>
              </w:rPr>
            </w:pPr>
          </w:p>
          <w:p>
            <w:pPr>
              <w:spacing w:line="360" w:lineRule="auto"/>
              <w:rPr>
                <w:rFonts w:ascii="宋体" w:hAnsi="宋体"/>
                <w:szCs w:val="21"/>
                <w:lang w:bidi="en-US"/>
              </w:rPr>
            </w:pPr>
            <w:r>
              <w:rPr>
                <w:rFonts w:ascii="宋体" w:hAnsi="宋体"/>
                <w:szCs w:val="21"/>
                <w:lang w:bidi="en-US"/>
              </w:rPr>
              <w:t>物理量产品</w:t>
            </w:r>
          </w:p>
        </w:tc>
        <w:tc>
          <w:tcPr>
            <w:tcW w:w="4094"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回波顶高</w:t>
            </w:r>
          </w:p>
        </w:tc>
        <w:tc>
          <w:tcPr>
            <w:tcW w:w="1914" w:type="dxa"/>
            <w:tcBorders>
              <w:top w:val="single" w:sz="4" w:space="0" w:color="auto"/>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ET</w:t>
            </w:r>
          </w:p>
        </w:tc>
      </w:tr>
      <w:tr>
        <w:tblPrEx>
          <w:tblW w:w="8217" w:type="dxa"/>
          <w:jc w:val="center"/>
          <w:tblCellMar>
            <w:top w:w="0" w:type="dxa"/>
            <w:left w:w="108" w:type="dxa"/>
            <w:bottom w:w="0" w:type="dxa"/>
            <w:right w:w="108" w:type="dxa"/>
          </w:tblCellMar>
        </w:tblPrEx>
        <w:trPr>
          <w:trHeight w:val="300"/>
          <w:jc w:val="center"/>
        </w:trPr>
        <w:tc>
          <w:tcPr>
            <w:tcW w:w="817" w:type="dxa"/>
            <w:tcBorders>
              <w:top w:val="nil"/>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2</w:t>
            </w:r>
          </w:p>
        </w:tc>
        <w:tc>
          <w:tcPr>
            <w:tcW w:w="1392" w:type="dxa"/>
            <w:vMerge/>
            <w:tcBorders>
              <w:left w:val="single" w:sz="4" w:space="0" w:color="auto"/>
              <w:right w:val="single" w:sz="4" w:space="0" w:color="auto"/>
            </w:tcBorders>
          </w:tcPr>
          <w:p>
            <w:pPr>
              <w:spacing w:line="360" w:lineRule="auto"/>
              <w:rPr>
                <w:rFonts w:ascii="宋体" w:hAnsi="宋体"/>
                <w:szCs w:val="21"/>
                <w:lang w:bidi="en-US"/>
              </w:rPr>
            </w:pPr>
          </w:p>
        </w:tc>
        <w:tc>
          <w:tcPr>
            <w:tcW w:w="4094" w:type="dxa"/>
            <w:tcBorders>
              <w:top w:val="nil"/>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回波底高</w:t>
            </w:r>
          </w:p>
        </w:tc>
        <w:tc>
          <w:tcPr>
            <w:tcW w:w="1914" w:type="dxa"/>
            <w:tcBorders>
              <w:top w:val="nil"/>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EB</w:t>
            </w:r>
          </w:p>
        </w:tc>
      </w:tr>
      <w:tr>
        <w:tblPrEx>
          <w:tblW w:w="8217" w:type="dxa"/>
          <w:jc w:val="center"/>
          <w:tblCellMar>
            <w:top w:w="0" w:type="dxa"/>
            <w:left w:w="108" w:type="dxa"/>
            <w:bottom w:w="0" w:type="dxa"/>
            <w:right w:w="108" w:type="dxa"/>
          </w:tblCellMar>
        </w:tblPrEx>
        <w:trPr>
          <w:trHeight w:val="300"/>
          <w:jc w:val="center"/>
        </w:trPr>
        <w:tc>
          <w:tcPr>
            <w:tcW w:w="817" w:type="dxa"/>
            <w:tcBorders>
              <w:top w:val="nil"/>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3</w:t>
            </w:r>
          </w:p>
        </w:tc>
        <w:tc>
          <w:tcPr>
            <w:tcW w:w="1392" w:type="dxa"/>
            <w:vMerge/>
            <w:tcBorders>
              <w:left w:val="single" w:sz="4" w:space="0" w:color="auto"/>
              <w:right w:val="single" w:sz="4" w:space="0" w:color="auto"/>
            </w:tcBorders>
          </w:tcPr>
          <w:p>
            <w:pPr>
              <w:spacing w:line="360" w:lineRule="auto"/>
              <w:rPr>
                <w:rFonts w:ascii="宋体" w:hAnsi="宋体"/>
                <w:szCs w:val="21"/>
                <w:lang w:bidi="en-US"/>
              </w:rPr>
            </w:pPr>
          </w:p>
        </w:tc>
        <w:tc>
          <w:tcPr>
            <w:tcW w:w="4094" w:type="dxa"/>
            <w:tcBorders>
              <w:top w:val="nil"/>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垂直积分液态水</w:t>
            </w:r>
          </w:p>
        </w:tc>
        <w:tc>
          <w:tcPr>
            <w:tcW w:w="1914" w:type="dxa"/>
            <w:tcBorders>
              <w:top w:val="nil"/>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VIL</w:t>
            </w:r>
          </w:p>
        </w:tc>
      </w:tr>
      <w:tr>
        <w:tblPrEx>
          <w:tblW w:w="8217" w:type="dxa"/>
          <w:jc w:val="center"/>
          <w:tblCellMar>
            <w:top w:w="0" w:type="dxa"/>
            <w:left w:w="108" w:type="dxa"/>
            <w:bottom w:w="0" w:type="dxa"/>
            <w:right w:w="108" w:type="dxa"/>
          </w:tblCellMar>
        </w:tblPrEx>
        <w:trPr>
          <w:trHeight w:val="300"/>
          <w:jc w:val="center"/>
        </w:trPr>
        <w:tc>
          <w:tcPr>
            <w:tcW w:w="817" w:type="dxa"/>
            <w:tcBorders>
              <w:top w:val="nil"/>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4</w:t>
            </w:r>
          </w:p>
        </w:tc>
        <w:tc>
          <w:tcPr>
            <w:tcW w:w="1392" w:type="dxa"/>
            <w:vMerge/>
            <w:tcBorders>
              <w:left w:val="single" w:sz="4" w:space="0" w:color="auto"/>
              <w:right w:val="single" w:sz="4" w:space="0" w:color="auto"/>
            </w:tcBorders>
          </w:tcPr>
          <w:p>
            <w:pPr>
              <w:spacing w:line="360" w:lineRule="auto"/>
              <w:rPr>
                <w:rFonts w:ascii="宋体" w:hAnsi="宋体"/>
                <w:szCs w:val="21"/>
                <w:lang w:bidi="en-US"/>
              </w:rPr>
            </w:pPr>
          </w:p>
        </w:tc>
        <w:tc>
          <w:tcPr>
            <w:tcW w:w="4094" w:type="dxa"/>
            <w:tcBorders>
              <w:top w:val="nil"/>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最强回波高度</w:t>
            </w:r>
          </w:p>
        </w:tc>
        <w:tc>
          <w:tcPr>
            <w:tcW w:w="1914" w:type="dxa"/>
            <w:tcBorders>
              <w:top w:val="nil"/>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HMAX</w:t>
            </w:r>
          </w:p>
        </w:tc>
      </w:tr>
      <w:tr>
        <w:tblPrEx>
          <w:tblW w:w="8217" w:type="dxa"/>
          <w:jc w:val="center"/>
          <w:tblCellMar>
            <w:top w:w="0" w:type="dxa"/>
            <w:left w:w="108" w:type="dxa"/>
            <w:bottom w:w="0" w:type="dxa"/>
            <w:right w:w="108" w:type="dxa"/>
          </w:tblCellMar>
        </w:tblPrEx>
        <w:trPr>
          <w:trHeight w:val="300"/>
          <w:jc w:val="center"/>
        </w:trPr>
        <w:tc>
          <w:tcPr>
            <w:tcW w:w="817" w:type="dxa"/>
            <w:tcBorders>
              <w:top w:val="nil"/>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5</w:t>
            </w:r>
          </w:p>
        </w:tc>
        <w:tc>
          <w:tcPr>
            <w:tcW w:w="1392" w:type="dxa"/>
            <w:vMerge/>
            <w:tcBorders>
              <w:left w:val="single" w:sz="4" w:space="0" w:color="auto"/>
              <w:right w:val="single" w:sz="4" w:space="0" w:color="auto"/>
            </w:tcBorders>
          </w:tcPr>
          <w:p>
            <w:pPr>
              <w:spacing w:line="360" w:lineRule="auto"/>
              <w:rPr>
                <w:rFonts w:ascii="宋体" w:hAnsi="宋体"/>
                <w:szCs w:val="21"/>
                <w:lang w:bidi="en-US"/>
              </w:rPr>
            </w:pPr>
          </w:p>
        </w:tc>
        <w:tc>
          <w:tcPr>
            <w:tcW w:w="4094" w:type="dxa"/>
            <w:tcBorders>
              <w:top w:val="nil"/>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组合反射率</w:t>
            </w:r>
          </w:p>
        </w:tc>
        <w:tc>
          <w:tcPr>
            <w:tcW w:w="1914" w:type="dxa"/>
            <w:tcBorders>
              <w:top w:val="nil"/>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CR</w:t>
            </w:r>
          </w:p>
        </w:tc>
      </w:tr>
      <w:tr>
        <w:tblPrEx>
          <w:tblW w:w="8217" w:type="dxa"/>
          <w:jc w:val="center"/>
          <w:tblCellMar>
            <w:top w:w="0" w:type="dxa"/>
            <w:left w:w="108" w:type="dxa"/>
            <w:bottom w:w="0" w:type="dxa"/>
            <w:right w:w="108" w:type="dxa"/>
          </w:tblCellMar>
        </w:tblPrEx>
        <w:trPr>
          <w:trHeight w:val="300"/>
          <w:jc w:val="center"/>
        </w:trPr>
        <w:tc>
          <w:tcPr>
            <w:tcW w:w="817" w:type="dxa"/>
            <w:tcBorders>
              <w:top w:val="nil"/>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6</w:t>
            </w:r>
          </w:p>
        </w:tc>
        <w:tc>
          <w:tcPr>
            <w:tcW w:w="1392" w:type="dxa"/>
            <w:vMerge/>
            <w:tcBorders>
              <w:left w:val="single" w:sz="4" w:space="0" w:color="auto"/>
              <w:right w:val="single" w:sz="4" w:space="0" w:color="auto"/>
            </w:tcBorders>
          </w:tcPr>
          <w:p>
            <w:pPr>
              <w:spacing w:line="360" w:lineRule="auto"/>
              <w:rPr>
                <w:rFonts w:ascii="宋体" w:hAnsi="宋体"/>
                <w:szCs w:val="21"/>
                <w:lang w:bidi="en-US"/>
              </w:rPr>
            </w:pPr>
          </w:p>
        </w:tc>
        <w:tc>
          <w:tcPr>
            <w:tcW w:w="4094" w:type="dxa"/>
            <w:tcBorders>
              <w:top w:val="nil"/>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反射率等高平面位置显示</w:t>
            </w:r>
          </w:p>
        </w:tc>
        <w:tc>
          <w:tcPr>
            <w:tcW w:w="1914" w:type="dxa"/>
            <w:tcBorders>
              <w:top w:val="nil"/>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CAP</w:t>
            </w:r>
          </w:p>
        </w:tc>
      </w:tr>
      <w:tr>
        <w:tblPrEx>
          <w:tblW w:w="8217" w:type="dxa"/>
          <w:jc w:val="center"/>
          <w:tblCellMar>
            <w:top w:w="0" w:type="dxa"/>
            <w:left w:w="108" w:type="dxa"/>
            <w:bottom w:w="0" w:type="dxa"/>
            <w:right w:w="108" w:type="dxa"/>
          </w:tblCellMar>
        </w:tblPrEx>
        <w:trPr>
          <w:trHeight w:val="300"/>
          <w:jc w:val="center"/>
        </w:trPr>
        <w:tc>
          <w:tcPr>
            <w:tcW w:w="817" w:type="dxa"/>
            <w:tcBorders>
              <w:top w:val="nil"/>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7</w:t>
            </w:r>
          </w:p>
        </w:tc>
        <w:tc>
          <w:tcPr>
            <w:tcW w:w="1392" w:type="dxa"/>
            <w:vMerge/>
            <w:tcBorders>
              <w:left w:val="single" w:sz="4" w:space="0" w:color="auto"/>
              <w:right w:val="single" w:sz="4" w:space="0" w:color="auto"/>
            </w:tcBorders>
          </w:tcPr>
          <w:p>
            <w:pPr>
              <w:spacing w:line="360" w:lineRule="auto"/>
              <w:rPr>
                <w:rFonts w:ascii="宋体" w:hAnsi="宋体"/>
                <w:szCs w:val="21"/>
                <w:lang w:bidi="en-US"/>
              </w:rPr>
            </w:pPr>
          </w:p>
        </w:tc>
        <w:tc>
          <w:tcPr>
            <w:tcW w:w="4094" w:type="dxa"/>
            <w:tcBorders>
              <w:top w:val="nil"/>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速度方位显示</w:t>
            </w:r>
          </w:p>
        </w:tc>
        <w:tc>
          <w:tcPr>
            <w:tcW w:w="1914" w:type="dxa"/>
            <w:tcBorders>
              <w:top w:val="nil"/>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VAD</w:t>
            </w:r>
          </w:p>
        </w:tc>
      </w:tr>
      <w:tr>
        <w:tblPrEx>
          <w:tblW w:w="8217" w:type="dxa"/>
          <w:jc w:val="center"/>
          <w:tblCellMar>
            <w:top w:w="0" w:type="dxa"/>
            <w:left w:w="108" w:type="dxa"/>
            <w:bottom w:w="0" w:type="dxa"/>
            <w:right w:w="108" w:type="dxa"/>
          </w:tblCellMar>
        </w:tblPrEx>
        <w:trPr>
          <w:trHeight w:val="300"/>
          <w:jc w:val="center"/>
        </w:trPr>
        <w:tc>
          <w:tcPr>
            <w:tcW w:w="817" w:type="dxa"/>
            <w:tcBorders>
              <w:top w:val="single" w:sz="4" w:space="0" w:color="auto"/>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8</w:t>
            </w:r>
          </w:p>
        </w:tc>
        <w:tc>
          <w:tcPr>
            <w:tcW w:w="1392" w:type="dxa"/>
            <w:vMerge/>
            <w:tcBorders>
              <w:left w:val="single" w:sz="4" w:space="0" w:color="auto"/>
              <w:right w:val="single" w:sz="4" w:space="0" w:color="auto"/>
            </w:tcBorders>
          </w:tcPr>
          <w:p>
            <w:pPr>
              <w:spacing w:line="360" w:lineRule="auto"/>
              <w:rPr>
                <w:rFonts w:ascii="宋体" w:hAnsi="宋体"/>
                <w:szCs w:val="21"/>
                <w:lang w:bidi="en-US"/>
              </w:rPr>
            </w:pPr>
          </w:p>
        </w:tc>
        <w:tc>
          <w:tcPr>
            <w:tcW w:w="4094"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速度方位显示风廓线</w:t>
            </w:r>
          </w:p>
        </w:tc>
        <w:tc>
          <w:tcPr>
            <w:tcW w:w="1914" w:type="dxa"/>
            <w:tcBorders>
              <w:top w:val="single" w:sz="4" w:space="0" w:color="auto"/>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VWP</w:t>
            </w:r>
          </w:p>
        </w:tc>
      </w:tr>
      <w:tr>
        <w:tblPrEx>
          <w:tblW w:w="8217" w:type="dxa"/>
          <w:jc w:val="center"/>
          <w:tblCellMar>
            <w:top w:w="0" w:type="dxa"/>
            <w:left w:w="108" w:type="dxa"/>
            <w:bottom w:w="0" w:type="dxa"/>
            <w:right w:w="108" w:type="dxa"/>
          </w:tblCellMar>
        </w:tblPrEx>
        <w:trPr>
          <w:trHeight w:val="300"/>
          <w:jc w:val="center"/>
        </w:trPr>
        <w:tc>
          <w:tcPr>
            <w:tcW w:w="817" w:type="dxa"/>
            <w:tcBorders>
              <w:top w:val="single" w:sz="4" w:space="0" w:color="auto"/>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9</w:t>
            </w:r>
          </w:p>
        </w:tc>
        <w:tc>
          <w:tcPr>
            <w:tcW w:w="1392" w:type="dxa"/>
            <w:vMerge/>
            <w:tcBorders>
              <w:left w:val="single" w:sz="4" w:space="0" w:color="auto"/>
              <w:right w:val="single" w:sz="4" w:space="0" w:color="auto"/>
            </w:tcBorders>
          </w:tcPr>
          <w:p>
            <w:pPr>
              <w:spacing w:line="360" w:lineRule="auto"/>
              <w:rPr>
                <w:rFonts w:ascii="宋体" w:hAnsi="宋体"/>
                <w:szCs w:val="21"/>
                <w:lang w:bidi="en-US"/>
              </w:rPr>
            </w:pPr>
          </w:p>
        </w:tc>
        <w:tc>
          <w:tcPr>
            <w:tcW w:w="4094"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1小时累积降水量</w:t>
            </w:r>
          </w:p>
        </w:tc>
        <w:tc>
          <w:tcPr>
            <w:tcW w:w="1914" w:type="dxa"/>
            <w:tcBorders>
              <w:top w:val="single" w:sz="4" w:space="0" w:color="auto"/>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OHP</w:t>
            </w:r>
          </w:p>
        </w:tc>
      </w:tr>
      <w:tr>
        <w:tblPrEx>
          <w:tblW w:w="8217" w:type="dxa"/>
          <w:jc w:val="center"/>
          <w:tblCellMar>
            <w:top w:w="0" w:type="dxa"/>
            <w:left w:w="108" w:type="dxa"/>
            <w:bottom w:w="0" w:type="dxa"/>
            <w:right w:w="108" w:type="dxa"/>
          </w:tblCellMar>
        </w:tblPrEx>
        <w:trPr>
          <w:trHeight w:val="300"/>
          <w:jc w:val="center"/>
        </w:trPr>
        <w:tc>
          <w:tcPr>
            <w:tcW w:w="817" w:type="dxa"/>
            <w:tcBorders>
              <w:top w:val="single" w:sz="4" w:space="0" w:color="auto"/>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10</w:t>
            </w:r>
          </w:p>
        </w:tc>
        <w:tc>
          <w:tcPr>
            <w:tcW w:w="1392" w:type="dxa"/>
            <w:vMerge/>
            <w:tcBorders>
              <w:left w:val="single" w:sz="4" w:space="0" w:color="auto"/>
              <w:right w:val="single" w:sz="4" w:space="0" w:color="auto"/>
            </w:tcBorders>
          </w:tcPr>
          <w:p>
            <w:pPr>
              <w:spacing w:line="360" w:lineRule="auto"/>
              <w:rPr>
                <w:rFonts w:ascii="宋体" w:hAnsi="宋体"/>
                <w:szCs w:val="21"/>
                <w:lang w:bidi="en-US"/>
              </w:rPr>
            </w:pPr>
          </w:p>
        </w:tc>
        <w:tc>
          <w:tcPr>
            <w:tcW w:w="4094"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3小时累积降水量</w:t>
            </w:r>
          </w:p>
        </w:tc>
        <w:tc>
          <w:tcPr>
            <w:tcW w:w="1914" w:type="dxa"/>
            <w:tcBorders>
              <w:top w:val="single" w:sz="4" w:space="0" w:color="auto"/>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THP</w:t>
            </w:r>
          </w:p>
        </w:tc>
      </w:tr>
      <w:tr>
        <w:tblPrEx>
          <w:tblW w:w="8217" w:type="dxa"/>
          <w:jc w:val="center"/>
          <w:tblCellMar>
            <w:top w:w="0" w:type="dxa"/>
            <w:left w:w="108" w:type="dxa"/>
            <w:bottom w:w="0" w:type="dxa"/>
            <w:right w:w="108" w:type="dxa"/>
          </w:tblCellMar>
        </w:tblPrEx>
        <w:trPr>
          <w:trHeight w:val="300"/>
          <w:jc w:val="center"/>
        </w:trPr>
        <w:tc>
          <w:tcPr>
            <w:tcW w:w="817" w:type="dxa"/>
            <w:tcBorders>
              <w:top w:val="single" w:sz="4" w:space="0" w:color="auto"/>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11</w:t>
            </w:r>
          </w:p>
        </w:tc>
        <w:tc>
          <w:tcPr>
            <w:tcW w:w="1392" w:type="dxa"/>
            <w:vMerge/>
            <w:tcBorders>
              <w:left w:val="single" w:sz="4" w:space="0" w:color="auto"/>
              <w:right w:val="single" w:sz="4" w:space="0" w:color="auto"/>
            </w:tcBorders>
          </w:tcPr>
          <w:p>
            <w:pPr>
              <w:spacing w:line="360" w:lineRule="auto"/>
              <w:rPr>
                <w:rFonts w:ascii="宋体" w:hAnsi="宋体"/>
                <w:szCs w:val="21"/>
                <w:lang w:bidi="en-US"/>
              </w:rPr>
            </w:pPr>
          </w:p>
        </w:tc>
        <w:tc>
          <w:tcPr>
            <w:tcW w:w="4094"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N小时累积降水量</w:t>
            </w:r>
          </w:p>
        </w:tc>
        <w:tc>
          <w:tcPr>
            <w:tcW w:w="1914" w:type="dxa"/>
            <w:tcBorders>
              <w:top w:val="single" w:sz="4" w:space="0" w:color="auto"/>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NHP</w:t>
            </w:r>
          </w:p>
        </w:tc>
      </w:tr>
      <w:tr>
        <w:tblPrEx>
          <w:tblW w:w="8217" w:type="dxa"/>
          <w:jc w:val="center"/>
          <w:tblCellMar>
            <w:top w:w="0" w:type="dxa"/>
            <w:left w:w="108" w:type="dxa"/>
            <w:bottom w:w="0" w:type="dxa"/>
            <w:right w:w="108" w:type="dxa"/>
          </w:tblCellMar>
        </w:tblPrEx>
        <w:trPr>
          <w:trHeight w:val="300"/>
          <w:jc w:val="center"/>
        </w:trPr>
        <w:tc>
          <w:tcPr>
            <w:tcW w:w="817" w:type="dxa"/>
            <w:tcBorders>
              <w:top w:val="single" w:sz="4" w:space="0" w:color="auto"/>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12</w:t>
            </w:r>
          </w:p>
        </w:tc>
        <w:tc>
          <w:tcPr>
            <w:tcW w:w="1392" w:type="dxa"/>
            <w:vMerge/>
            <w:tcBorders>
              <w:left w:val="single" w:sz="4" w:space="0" w:color="auto"/>
              <w:right w:val="single" w:sz="4" w:space="0" w:color="auto"/>
            </w:tcBorders>
          </w:tcPr>
          <w:p>
            <w:pPr>
              <w:spacing w:line="360" w:lineRule="auto"/>
              <w:rPr>
                <w:rFonts w:ascii="宋体" w:hAnsi="宋体"/>
                <w:szCs w:val="21"/>
                <w:lang w:bidi="en-US"/>
              </w:rPr>
            </w:pPr>
          </w:p>
        </w:tc>
        <w:tc>
          <w:tcPr>
            <w:tcW w:w="4094"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质心高度</w:t>
            </w:r>
          </w:p>
        </w:tc>
        <w:tc>
          <w:tcPr>
            <w:tcW w:w="1914" w:type="dxa"/>
            <w:tcBorders>
              <w:top w:val="single" w:sz="4" w:space="0" w:color="auto"/>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RCH</w:t>
            </w:r>
          </w:p>
        </w:tc>
      </w:tr>
      <w:tr>
        <w:tblPrEx>
          <w:tblW w:w="8217" w:type="dxa"/>
          <w:jc w:val="center"/>
          <w:tblCellMar>
            <w:top w:w="0" w:type="dxa"/>
            <w:left w:w="108" w:type="dxa"/>
            <w:bottom w:w="0" w:type="dxa"/>
            <w:right w:w="108" w:type="dxa"/>
          </w:tblCellMar>
        </w:tblPrEx>
        <w:trPr>
          <w:trHeight w:val="300"/>
          <w:jc w:val="center"/>
        </w:trPr>
        <w:tc>
          <w:tcPr>
            <w:tcW w:w="817" w:type="dxa"/>
            <w:tcBorders>
              <w:top w:val="single" w:sz="4" w:space="0" w:color="auto"/>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13</w:t>
            </w:r>
          </w:p>
        </w:tc>
        <w:tc>
          <w:tcPr>
            <w:tcW w:w="1392" w:type="dxa"/>
            <w:vMerge/>
            <w:tcBorders>
              <w:left w:val="single" w:sz="4" w:space="0" w:color="auto"/>
              <w:right w:val="single" w:sz="4" w:space="0" w:color="auto"/>
            </w:tcBorders>
          </w:tcPr>
          <w:p>
            <w:pPr>
              <w:spacing w:line="360" w:lineRule="auto"/>
              <w:rPr>
                <w:rFonts w:ascii="宋体" w:hAnsi="宋体"/>
                <w:szCs w:val="21"/>
                <w:lang w:bidi="en-US"/>
              </w:rPr>
            </w:pPr>
          </w:p>
        </w:tc>
        <w:tc>
          <w:tcPr>
            <w:tcW w:w="4094"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风场反演</w:t>
            </w:r>
          </w:p>
        </w:tc>
        <w:tc>
          <w:tcPr>
            <w:tcW w:w="1914" w:type="dxa"/>
            <w:tcBorders>
              <w:top w:val="single" w:sz="4" w:space="0" w:color="auto"/>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WIND</w:t>
            </w:r>
          </w:p>
        </w:tc>
      </w:tr>
      <w:tr>
        <w:tblPrEx>
          <w:tblW w:w="8217" w:type="dxa"/>
          <w:jc w:val="center"/>
          <w:tblCellMar>
            <w:top w:w="0" w:type="dxa"/>
            <w:left w:w="108" w:type="dxa"/>
            <w:bottom w:w="0" w:type="dxa"/>
            <w:right w:w="108" w:type="dxa"/>
          </w:tblCellMar>
        </w:tblPrEx>
        <w:trPr>
          <w:trHeight w:val="300"/>
          <w:jc w:val="center"/>
        </w:trPr>
        <w:tc>
          <w:tcPr>
            <w:tcW w:w="817" w:type="dxa"/>
            <w:tcBorders>
              <w:top w:val="single" w:sz="4" w:space="0" w:color="auto"/>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14</w:t>
            </w:r>
          </w:p>
        </w:tc>
        <w:tc>
          <w:tcPr>
            <w:tcW w:w="1392" w:type="dxa"/>
            <w:vMerge/>
            <w:tcBorders>
              <w:left w:val="single" w:sz="4" w:space="0" w:color="auto"/>
              <w:right w:val="single" w:sz="4" w:space="0" w:color="auto"/>
            </w:tcBorders>
          </w:tcPr>
          <w:p>
            <w:pPr>
              <w:spacing w:line="360" w:lineRule="auto"/>
              <w:rPr>
                <w:rFonts w:ascii="宋体" w:hAnsi="宋体"/>
                <w:szCs w:val="21"/>
                <w:lang w:bidi="en-US"/>
              </w:rPr>
            </w:pPr>
          </w:p>
        </w:tc>
        <w:tc>
          <w:tcPr>
            <w:tcW w:w="4094"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风暴相对径向速度</w:t>
            </w:r>
          </w:p>
        </w:tc>
        <w:tc>
          <w:tcPr>
            <w:tcW w:w="1914" w:type="dxa"/>
            <w:tcBorders>
              <w:top w:val="single" w:sz="4" w:space="0" w:color="auto"/>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SRM</w:t>
            </w:r>
          </w:p>
        </w:tc>
      </w:tr>
      <w:tr>
        <w:tblPrEx>
          <w:tblW w:w="8217" w:type="dxa"/>
          <w:jc w:val="center"/>
          <w:tblCellMar>
            <w:top w:w="0" w:type="dxa"/>
            <w:left w:w="108" w:type="dxa"/>
            <w:bottom w:w="0" w:type="dxa"/>
            <w:right w:w="108" w:type="dxa"/>
          </w:tblCellMar>
        </w:tblPrEx>
        <w:trPr>
          <w:trHeight w:val="300"/>
          <w:jc w:val="center"/>
        </w:trPr>
        <w:tc>
          <w:tcPr>
            <w:tcW w:w="817" w:type="dxa"/>
            <w:tcBorders>
              <w:top w:val="single" w:sz="4" w:space="0" w:color="auto"/>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15</w:t>
            </w:r>
          </w:p>
        </w:tc>
        <w:tc>
          <w:tcPr>
            <w:tcW w:w="1392" w:type="dxa"/>
            <w:vMerge w:val="restart"/>
            <w:tcBorders>
              <w:top w:val="single" w:sz="4" w:space="0" w:color="auto"/>
              <w:left w:val="single" w:sz="4" w:space="0" w:color="auto"/>
              <w:right w:val="single" w:sz="4" w:space="0" w:color="auto"/>
            </w:tcBorders>
            <w:vAlign w:val="center"/>
          </w:tcPr>
          <w:p>
            <w:pPr>
              <w:spacing w:line="360" w:lineRule="auto"/>
              <w:rPr>
                <w:rFonts w:ascii="宋体" w:hAnsi="宋体"/>
                <w:szCs w:val="21"/>
                <w:lang w:bidi="en-US"/>
              </w:rPr>
            </w:pPr>
            <w:r>
              <w:rPr>
                <w:rFonts w:ascii="宋体" w:hAnsi="宋体"/>
                <w:szCs w:val="21"/>
                <w:lang w:bidi="en-US"/>
              </w:rPr>
              <w:t>识别类产品</w:t>
            </w:r>
          </w:p>
        </w:tc>
        <w:tc>
          <w:tcPr>
            <w:tcW w:w="4094"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冰雹指数</w:t>
            </w:r>
          </w:p>
        </w:tc>
        <w:tc>
          <w:tcPr>
            <w:tcW w:w="1914" w:type="dxa"/>
            <w:tcBorders>
              <w:top w:val="single" w:sz="4" w:space="0" w:color="auto"/>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HI</w:t>
            </w:r>
          </w:p>
        </w:tc>
      </w:tr>
      <w:tr>
        <w:tblPrEx>
          <w:tblW w:w="8217" w:type="dxa"/>
          <w:jc w:val="center"/>
          <w:tblCellMar>
            <w:top w:w="0" w:type="dxa"/>
            <w:left w:w="108" w:type="dxa"/>
            <w:bottom w:w="0" w:type="dxa"/>
            <w:right w:w="108" w:type="dxa"/>
          </w:tblCellMar>
        </w:tblPrEx>
        <w:trPr>
          <w:trHeight w:val="300"/>
          <w:jc w:val="center"/>
        </w:trPr>
        <w:tc>
          <w:tcPr>
            <w:tcW w:w="817" w:type="dxa"/>
            <w:tcBorders>
              <w:top w:val="single" w:sz="4" w:space="0" w:color="auto"/>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16</w:t>
            </w:r>
          </w:p>
        </w:tc>
        <w:tc>
          <w:tcPr>
            <w:tcW w:w="1392" w:type="dxa"/>
            <w:vMerge/>
            <w:tcBorders>
              <w:left w:val="single" w:sz="4" w:space="0" w:color="auto"/>
              <w:right w:val="single" w:sz="4" w:space="0" w:color="auto"/>
            </w:tcBorders>
          </w:tcPr>
          <w:p>
            <w:pPr>
              <w:spacing w:line="360" w:lineRule="auto"/>
              <w:rPr>
                <w:rFonts w:ascii="宋体" w:hAnsi="宋体"/>
                <w:szCs w:val="21"/>
                <w:lang w:bidi="en-US"/>
              </w:rPr>
            </w:pPr>
          </w:p>
        </w:tc>
        <w:tc>
          <w:tcPr>
            <w:tcW w:w="4094"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风暴追踪信息</w:t>
            </w:r>
          </w:p>
        </w:tc>
        <w:tc>
          <w:tcPr>
            <w:tcW w:w="1914" w:type="dxa"/>
            <w:tcBorders>
              <w:top w:val="single" w:sz="4" w:space="0" w:color="auto"/>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STI</w:t>
            </w:r>
          </w:p>
        </w:tc>
      </w:tr>
      <w:tr>
        <w:tblPrEx>
          <w:tblW w:w="8217" w:type="dxa"/>
          <w:jc w:val="center"/>
          <w:tblCellMar>
            <w:top w:w="0" w:type="dxa"/>
            <w:left w:w="108" w:type="dxa"/>
            <w:bottom w:w="0" w:type="dxa"/>
            <w:right w:w="108" w:type="dxa"/>
          </w:tblCellMar>
        </w:tblPrEx>
        <w:trPr>
          <w:trHeight w:val="300"/>
          <w:jc w:val="center"/>
        </w:trPr>
        <w:tc>
          <w:tcPr>
            <w:tcW w:w="817" w:type="dxa"/>
            <w:tcBorders>
              <w:top w:val="single" w:sz="4" w:space="0" w:color="auto"/>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17</w:t>
            </w:r>
          </w:p>
        </w:tc>
        <w:tc>
          <w:tcPr>
            <w:tcW w:w="1392" w:type="dxa"/>
            <w:vMerge/>
            <w:tcBorders>
              <w:left w:val="single" w:sz="4" w:space="0" w:color="auto"/>
              <w:right w:val="single" w:sz="4" w:space="0" w:color="auto"/>
            </w:tcBorders>
          </w:tcPr>
          <w:p>
            <w:pPr>
              <w:spacing w:line="360" w:lineRule="auto"/>
              <w:rPr>
                <w:rFonts w:ascii="宋体" w:hAnsi="宋体"/>
                <w:szCs w:val="21"/>
                <w:lang w:bidi="en-US"/>
              </w:rPr>
            </w:pPr>
          </w:p>
        </w:tc>
        <w:tc>
          <w:tcPr>
            <w:tcW w:w="4094"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风暴结构分析</w:t>
            </w:r>
          </w:p>
        </w:tc>
        <w:tc>
          <w:tcPr>
            <w:tcW w:w="1914" w:type="dxa"/>
            <w:tcBorders>
              <w:top w:val="single" w:sz="4" w:space="0" w:color="auto"/>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SS</w:t>
            </w:r>
          </w:p>
        </w:tc>
      </w:tr>
      <w:tr>
        <w:tblPrEx>
          <w:tblW w:w="8217" w:type="dxa"/>
          <w:jc w:val="center"/>
          <w:tblCellMar>
            <w:top w:w="0" w:type="dxa"/>
            <w:left w:w="108" w:type="dxa"/>
            <w:bottom w:w="0" w:type="dxa"/>
            <w:right w:w="108" w:type="dxa"/>
          </w:tblCellMar>
        </w:tblPrEx>
        <w:trPr>
          <w:trHeight w:val="300"/>
          <w:jc w:val="center"/>
        </w:trPr>
        <w:tc>
          <w:tcPr>
            <w:tcW w:w="817" w:type="dxa"/>
            <w:tcBorders>
              <w:top w:val="single" w:sz="4" w:space="0" w:color="auto"/>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18</w:t>
            </w:r>
          </w:p>
        </w:tc>
        <w:tc>
          <w:tcPr>
            <w:tcW w:w="1392" w:type="dxa"/>
            <w:vMerge/>
            <w:tcBorders>
              <w:left w:val="single" w:sz="4" w:space="0" w:color="auto"/>
              <w:right w:val="single" w:sz="4" w:space="0" w:color="auto"/>
            </w:tcBorders>
          </w:tcPr>
          <w:p>
            <w:pPr>
              <w:spacing w:line="360" w:lineRule="auto"/>
              <w:rPr>
                <w:rFonts w:ascii="宋体" w:hAnsi="宋体"/>
                <w:szCs w:val="21"/>
                <w:lang w:bidi="en-US"/>
              </w:rPr>
            </w:pPr>
          </w:p>
        </w:tc>
        <w:tc>
          <w:tcPr>
            <w:tcW w:w="4094"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中尺度气旋</w:t>
            </w:r>
          </w:p>
        </w:tc>
        <w:tc>
          <w:tcPr>
            <w:tcW w:w="1914" w:type="dxa"/>
            <w:tcBorders>
              <w:top w:val="single" w:sz="4" w:space="0" w:color="auto"/>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M</w:t>
            </w:r>
          </w:p>
        </w:tc>
      </w:tr>
      <w:tr>
        <w:tblPrEx>
          <w:tblW w:w="8217" w:type="dxa"/>
          <w:jc w:val="center"/>
          <w:tblCellMar>
            <w:top w:w="0" w:type="dxa"/>
            <w:left w:w="108" w:type="dxa"/>
            <w:bottom w:w="0" w:type="dxa"/>
            <w:right w:w="108" w:type="dxa"/>
          </w:tblCellMar>
        </w:tblPrEx>
        <w:trPr>
          <w:trHeight w:val="300"/>
          <w:jc w:val="center"/>
        </w:trPr>
        <w:tc>
          <w:tcPr>
            <w:tcW w:w="817" w:type="dxa"/>
            <w:tcBorders>
              <w:top w:val="single" w:sz="4" w:space="0" w:color="auto"/>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19</w:t>
            </w:r>
          </w:p>
        </w:tc>
        <w:tc>
          <w:tcPr>
            <w:tcW w:w="1392" w:type="dxa"/>
            <w:vMerge/>
            <w:tcBorders>
              <w:left w:val="single" w:sz="4" w:space="0" w:color="auto"/>
              <w:right w:val="single" w:sz="4" w:space="0" w:color="auto"/>
            </w:tcBorders>
          </w:tcPr>
          <w:p>
            <w:pPr>
              <w:spacing w:line="360" w:lineRule="auto"/>
              <w:rPr>
                <w:rFonts w:ascii="宋体" w:hAnsi="宋体"/>
                <w:szCs w:val="21"/>
                <w:lang w:bidi="en-US"/>
              </w:rPr>
            </w:pPr>
          </w:p>
        </w:tc>
        <w:tc>
          <w:tcPr>
            <w:tcW w:w="4094"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龙卷涡旋特征</w:t>
            </w:r>
          </w:p>
        </w:tc>
        <w:tc>
          <w:tcPr>
            <w:tcW w:w="1914" w:type="dxa"/>
            <w:tcBorders>
              <w:top w:val="single" w:sz="4" w:space="0" w:color="auto"/>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TVS</w:t>
            </w:r>
          </w:p>
        </w:tc>
      </w:tr>
      <w:tr>
        <w:tblPrEx>
          <w:tblW w:w="8217" w:type="dxa"/>
          <w:jc w:val="center"/>
          <w:tblCellMar>
            <w:top w:w="0" w:type="dxa"/>
            <w:left w:w="108" w:type="dxa"/>
            <w:bottom w:w="0" w:type="dxa"/>
            <w:right w:w="108" w:type="dxa"/>
          </w:tblCellMar>
        </w:tblPrEx>
        <w:trPr>
          <w:trHeight w:val="300"/>
          <w:jc w:val="center"/>
        </w:trPr>
        <w:tc>
          <w:tcPr>
            <w:tcW w:w="817" w:type="dxa"/>
            <w:tcBorders>
              <w:top w:val="single" w:sz="4" w:space="0" w:color="auto"/>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20</w:t>
            </w:r>
          </w:p>
        </w:tc>
        <w:tc>
          <w:tcPr>
            <w:tcW w:w="1392" w:type="dxa"/>
            <w:vMerge/>
            <w:tcBorders>
              <w:left w:val="single" w:sz="4" w:space="0" w:color="auto"/>
              <w:right w:val="single" w:sz="4" w:space="0" w:color="auto"/>
            </w:tcBorders>
          </w:tcPr>
          <w:p>
            <w:pPr>
              <w:spacing w:line="360" w:lineRule="auto"/>
              <w:rPr>
                <w:rFonts w:ascii="宋体" w:hAnsi="宋体"/>
                <w:szCs w:val="21"/>
                <w:lang w:bidi="en-US"/>
              </w:rPr>
            </w:pPr>
          </w:p>
        </w:tc>
        <w:tc>
          <w:tcPr>
            <w:tcW w:w="4094"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粒子相态识别</w:t>
            </w:r>
          </w:p>
        </w:tc>
        <w:tc>
          <w:tcPr>
            <w:tcW w:w="1914" w:type="dxa"/>
            <w:tcBorders>
              <w:top w:val="single" w:sz="4" w:space="0" w:color="auto"/>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HCL</w:t>
            </w:r>
          </w:p>
        </w:tc>
      </w:tr>
      <w:tr>
        <w:tblPrEx>
          <w:tblW w:w="8217" w:type="dxa"/>
          <w:jc w:val="center"/>
          <w:tblCellMar>
            <w:top w:w="0" w:type="dxa"/>
            <w:left w:w="108" w:type="dxa"/>
            <w:bottom w:w="0" w:type="dxa"/>
            <w:right w:w="108" w:type="dxa"/>
          </w:tblCellMar>
        </w:tblPrEx>
        <w:trPr>
          <w:trHeight w:val="300"/>
          <w:jc w:val="center"/>
        </w:trPr>
        <w:tc>
          <w:tcPr>
            <w:tcW w:w="817" w:type="dxa"/>
            <w:tcBorders>
              <w:top w:val="single" w:sz="4" w:space="0" w:color="auto"/>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21</w:t>
            </w:r>
          </w:p>
        </w:tc>
        <w:tc>
          <w:tcPr>
            <w:tcW w:w="1392" w:type="dxa"/>
            <w:vMerge/>
            <w:tcBorders>
              <w:left w:val="single" w:sz="4" w:space="0" w:color="auto"/>
              <w:right w:val="single" w:sz="4" w:space="0" w:color="auto"/>
            </w:tcBorders>
          </w:tcPr>
          <w:p>
            <w:pPr>
              <w:spacing w:line="360" w:lineRule="auto"/>
              <w:rPr>
                <w:rFonts w:ascii="宋体" w:hAnsi="宋体"/>
                <w:szCs w:val="21"/>
                <w:lang w:bidi="en-US"/>
              </w:rPr>
            </w:pPr>
          </w:p>
        </w:tc>
        <w:tc>
          <w:tcPr>
            <w:tcW w:w="4094"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融化层识别</w:t>
            </w:r>
          </w:p>
        </w:tc>
        <w:tc>
          <w:tcPr>
            <w:tcW w:w="1914" w:type="dxa"/>
            <w:tcBorders>
              <w:top w:val="single" w:sz="4" w:space="0" w:color="auto"/>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ML</w:t>
            </w:r>
          </w:p>
        </w:tc>
      </w:tr>
      <w:tr>
        <w:tblPrEx>
          <w:tblW w:w="8217" w:type="dxa"/>
          <w:jc w:val="center"/>
          <w:tblCellMar>
            <w:top w:w="0" w:type="dxa"/>
            <w:left w:w="108" w:type="dxa"/>
            <w:bottom w:w="0" w:type="dxa"/>
            <w:right w:w="108" w:type="dxa"/>
          </w:tblCellMar>
        </w:tblPrEx>
        <w:trPr>
          <w:trHeight w:val="300"/>
          <w:jc w:val="center"/>
        </w:trPr>
        <w:tc>
          <w:tcPr>
            <w:tcW w:w="817" w:type="dxa"/>
            <w:tcBorders>
              <w:top w:val="single" w:sz="4" w:space="0" w:color="auto"/>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22</w:t>
            </w:r>
          </w:p>
        </w:tc>
        <w:tc>
          <w:tcPr>
            <w:tcW w:w="1392" w:type="dxa"/>
            <w:vMerge/>
            <w:tcBorders>
              <w:left w:val="single" w:sz="4" w:space="0" w:color="auto"/>
              <w:right w:val="single" w:sz="4" w:space="0" w:color="auto"/>
            </w:tcBorders>
          </w:tcPr>
          <w:p>
            <w:pPr>
              <w:spacing w:line="360" w:lineRule="auto"/>
              <w:rPr>
                <w:rFonts w:ascii="宋体" w:hAnsi="宋体"/>
                <w:szCs w:val="21"/>
                <w:lang w:bidi="en-US"/>
              </w:rPr>
            </w:pPr>
          </w:p>
        </w:tc>
        <w:tc>
          <w:tcPr>
            <w:tcW w:w="4094"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雷暴大风</w:t>
            </w:r>
          </w:p>
        </w:tc>
        <w:tc>
          <w:tcPr>
            <w:tcW w:w="1914" w:type="dxa"/>
            <w:tcBorders>
              <w:top w:val="single" w:sz="4" w:space="0" w:color="auto"/>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TS</w:t>
            </w:r>
          </w:p>
        </w:tc>
      </w:tr>
      <w:tr>
        <w:tblPrEx>
          <w:tblW w:w="8217" w:type="dxa"/>
          <w:jc w:val="center"/>
          <w:tblCellMar>
            <w:top w:w="0" w:type="dxa"/>
            <w:left w:w="108" w:type="dxa"/>
            <w:bottom w:w="0" w:type="dxa"/>
            <w:right w:w="108" w:type="dxa"/>
          </w:tblCellMar>
        </w:tblPrEx>
        <w:trPr>
          <w:trHeight w:val="300"/>
          <w:jc w:val="center"/>
        </w:trPr>
        <w:tc>
          <w:tcPr>
            <w:tcW w:w="817" w:type="dxa"/>
            <w:tcBorders>
              <w:top w:val="single" w:sz="4" w:space="0" w:color="auto"/>
              <w:left w:val="single" w:sz="4" w:space="0" w:color="auto"/>
              <w:bottom w:val="single" w:sz="4" w:space="0" w:color="auto"/>
              <w:right w:val="nil"/>
            </w:tcBorders>
          </w:tcPr>
          <w:p>
            <w:pPr>
              <w:spacing w:line="360" w:lineRule="auto"/>
              <w:rPr>
                <w:rFonts w:ascii="宋体" w:hAnsi="宋体"/>
                <w:szCs w:val="21"/>
                <w:lang w:bidi="en-US"/>
              </w:rPr>
            </w:pPr>
            <w:r>
              <w:rPr>
                <w:rFonts w:ascii="宋体" w:hAnsi="宋体"/>
                <w:szCs w:val="21"/>
                <w:lang w:bidi="en-US"/>
              </w:rPr>
              <w:t>23</w:t>
            </w:r>
          </w:p>
        </w:tc>
        <w:tc>
          <w:tcPr>
            <w:tcW w:w="1392" w:type="dxa"/>
            <w:vMerge/>
            <w:tcBorders>
              <w:left w:val="single" w:sz="4" w:space="0" w:color="auto"/>
              <w:bottom w:val="single" w:sz="4" w:space="0" w:color="auto"/>
              <w:right w:val="single" w:sz="4" w:space="0" w:color="auto"/>
            </w:tcBorders>
          </w:tcPr>
          <w:p>
            <w:pPr>
              <w:spacing w:line="360" w:lineRule="auto"/>
              <w:rPr>
                <w:rFonts w:ascii="宋体" w:hAnsi="宋体"/>
                <w:szCs w:val="21"/>
                <w:lang w:bidi="en-US"/>
              </w:rPr>
            </w:pPr>
          </w:p>
        </w:tc>
        <w:tc>
          <w:tcPr>
            <w:tcW w:w="4094" w:type="dxa"/>
            <w:tcBorders>
              <w:top w:val="single" w:sz="4" w:space="0" w:color="auto"/>
              <w:left w:val="single" w:sz="4" w:space="0" w:color="auto"/>
              <w:bottom w:val="single" w:sz="4" w:space="0" w:color="auto"/>
              <w:right w:val="nil"/>
            </w:tcBorders>
            <w:noWrap/>
            <w:vAlign w:val="center"/>
          </w:tcPr>
          <w:p>
            <w:pPr>
              <w:spacing w:line="360" w:lineRule="auto"/>
              <w:rPr>
                <w:rFonts w:ascii="宋体" w:hAnsi="宋体"/>
                <w:szCs w:val="21"/>
                <w:lang w:bidi="en-US"/>
              </w:rPr>
            </w:pPr>
            <w:r>
              <w:rPr>
                <w:rFonts w:ascii="宋体" w:hAnsi="宋体"/>
                <w:szCs w:val="21"/>
                <w:lang w:bidi="en-US"/>
              </w:rPr>
              <w:t>双偏振定量降水估测</w:t>
            </w:r>
          </w:p>
        </w:tc>
        <w:tc>
          <w:tcPr>
            <w:tcW w:w="1914" w:type="dxa"/>
            <w:tcBorders>
              <w:top w:val="single" w:sz="4" w:space="0" w:color="auto"/>
              <w:left w:val="single" w:sz="4" w:space="0" w:color="auto"/>
              <w:bottom w:val="single" w:sz="4" w:space="0" w:color="auto"/>
              <w:right w:val="single" w:sz="4" w:space="0" w:color="auto"/>
            </w:tcBorders>
            <w:noWrap/>
            <w:vAlign w:val="bottom"/>
          </w:tcPr>
          <w:p>
            <w:pPr>
              <w:spacing w:line="360" w:lineRule="auto"/>
              <w:rPr>
                <w:rFonts w:ascii="宋体" w:hAnsi="宋体"/>
                <w:szCs w:val="21"/>
                <w:lang w:bidi="en-US"/>
              </w:rPr>
            </w:pPr>
            <w:r>
              <w:rPr>
                <w:rFonts w:ascii="宋体" w:hAnsi="宋体"/>
                <w:szCs w:val="21"/>
                <w:lang w:bidi="en-US"/>
              </w:rPr>
              <w:t>QPE</w:t>
            </w:r>
          </w:p>
        </w:tc>
      </w:tr>
    </w:tbl>
    <w:p>
      <w:pPr>
        <w:spacing w:line="360" w:lineRule="auto"/>
        <w:rPr>
          <w:rFonts w:ascii="宋体" w:hAnsi="宋体"/>
          <w:szCs w:val="21"/>
        </w:rPr>
      </w:pPr>
      <w:r>
        <w:rPr>
          <w:rFonts w:ascii="宋体" w:hAnsi="宋体" w:hint="eastAsia"/>
          <w:szCs w:val="21"/>
        </w:rPr>
        <w:t>（3）</w:t>
      </w:r>
      <w:r>
        <w:rPr>
          <w:rFonts w:ascii="宋体" w:hAnsi="宋体"/>
          <w:szCs w:val="21"/>
        </w:rPr>
        <w:t>软件功能要求</w:t>
      </w:r>
    </w:p>
    <w:p>
      <w:pPr>
        <w:spacing w:line="360" w:lineRule="auto"/>
        <w:rPr>
          <w:rFonts w:ascii="宋体" w:hAnsi="宋体"/>
          <w:szCs w:val="21"/>
        </w:rPr>
      </w:pPr>
      <w:r>
        <w:rPr>
          <w:rFonts w:ascii="宋体" w:hAnsi="宋体"/>
          <w:szCs w:val="21"/>
        </w:rPr>
        <w:t>产品显示：平面位置产品、距离高度产品、等高面位置产品、二次产品等显示功能。</w:t>
      </w:r>
    </w:p>
    <w:p>
      <w:pPr>
        <w:spacing w:line="360" w:lineRule="auto"/>
        <w:rPr>
          <w:rFonts w:ascii="宋体" w:hAnsi="宋体"/>
          <w:szCs w:val="21"/>
        </w:rPr>
      </w:pPr>
      <w:r>
        <w:rPr>
          <w:rFonts w:ascii="宋体" w:hAnsi="宋体"/>
          <w:szCs w:val="21"/>
        </w:rPr>
        <w:t>分屏显示：二分屏、四分屏等分屏显示功能、支持光标联动信息显示。</w:t>
      </w:r>
    </w:p>
    <w:p>
      <w:pPr>
        <w:spacing w:line="360" w:lineRule="auto"/>
        <w:rPr>
          <w:rFonts w:ascii="宋体" w:hAnsi="宋体"/>
          <w:szCs w:val="21"/>
        </w:rPr>
      </w:pPr>
      <w:r>
        <w:rPr>
          <w:rFonts w:ascii="宋体" w:hAnsi="宋体"/>
          <w:szCs w:val="21"/>
        </w:rPr>
        <w:t>垂直剖面：基本产品任意垂直剖面显示功能，支持折线剖面，可同时显示多个产品，可保存图像。</w:t>
      </w:r>
    </w:p>
    <w:p>
      <w:pPr>
        <w:spacing w:line="360" w:lineRule="auto"/>
        <w:rPr>
          <w:rFonts w:ascii="宋体" w:hAnsi="宋体"/>
          <w:szCs w:val="21"/>
        </w:rPr>
      </w:pPr>
      <w:r>
        <w:rPr>
          <w:rFonts w:ascii="宋体" w:hAnsi="宋体"/>
          <w:szCs w:val="21"/>
        </w:rPr>
        <w:t>最大值显示：体扫各层反射率垂直、东西、南北三个方向最大值可投影显示。</w:t>
      </w:r>
    </w:p>
    <w:p>
      <w:pPr>
        <w:spacing w:line="360" w:lineRule="auto"/>
        <w:rPr>
          <w:rFonts w:ascii="宋体" w:hAnsi="宋体"/>
          <w:szCs w:val="21"/>
        </w:rPr>
      </w:pPr>
      <w:r>
        <w:rPr>
          <w:rFonts w:ascii="宋体" w:hAnsi="宋体"/>
          <w:szCs w:val="21"/>
        </w:rPr>
        <w:t>图形缩放、拖曳：产品图像可放大缩小，拖曳移动。</w:t>
      </w:r>
    </w:p>
    <w:p>
      <w:pPr>
        <w:spacing w:line="360" w:lineRule="auto"/>
        <w:rPr>
          <w:rFonts w:ascii="宋体" w:hAnsi="宋体"/>
          <w:szCs w:val="21"/>
        </w:rPr>
      </w:pPr>
      <w:r>
        <w:rPr>
          <w:rFonts w:ascii="宋体" w:hAnsi="宋体"/>
          <w:szCs w:val="21"/>
        </w:rPr>
        <w:t>图像保存：产品图像可保存为图片格式，分辨率可调。</w:t>
      </w:r>
    </w:p>
    <w:p>
      <w:pPr>
        <w:spacing w:line="360" w:lineRule="auto"/>
        <w:rPr>
          <w:rFonts w:ascii="宋体" w:hAnsi="宋体"/>
          <w:szCs w:val="21"/>
        </w:rPr>
      </w:pPr>
      <w:r>
        <w:rPr>
          <w:rFonts w:ascii="宋体" w:hAnsi="宋体"/>
          <w:szCs w:val="21"/>
        </w:rPr>
        <w:t>动态展示：支持产品时序播放、动图制作。</w:t>
      </w:r>
    </w:p>
    <w:p>
      <w:pPr>
        <w:spacing w:line="360" w:lineRule="auto"/>
        <w:rPr>
          <w:rFonts w:ascii="宋体" w:hAnsi="宋体"/>
          <w:szCs w:val="21"/>
        </w:rPr>
      </w:pPr>
      <w:r>
        <w:rPr>
          <w:rFonts w:ascii="宋体" w:hAnsi="宋体"/>
          <w:szCs w:val="21"/>
        </w:rPr>
        <w:t>地图加载：产品显示可加载离线地图文件，同时应支持API接口获取在线瓦片，底图包括但不限于地图、地形、影像，支持各级界线、名称显隐。</w:t>
      </w:r>
    </w:p>
    <w:p>
      <w:pPr>
        <w:spacing w:line="360" w:lineRule="auto"/>
        <w:rPr>
          <w:rFonts w:ascii="宋体" w:hAnsi="宋体"/>
          <w:szCs w:val="21"/>
        </w:rPr>
      </w:pPr>
      <w:r>
        <w:rPr>
          <w:rFonts w:ascii="宋体" w:hAnsi="宋体"/>
          <w:szCs w:val="21"/>
        </w:rPr>
        <w:t>测距功能：产品显示界面可显示两点间距离、折线距离。</w:t>
      </w:r>
    </w:p>
    <w:p>
      <w:pPr>
        <w:spacing w:line="360" w:lineRule="auto"/>
        <w:rPr>
          <w:rFonts w:ascii="宋体" w:hAnsi="宋体"/>
          <w:szCs w:val="21"/>
        </w:rPr>
      </w:pPr>
      <w:r>
        <w:rPr>
          <w:rFonts w:ascii="宋体" w:hAnsi="宋体"/>
          <w:szCs w:val="21"/>
        </w:rPr>
        <w:t>游标引导：游标所在点的经纬度、方位、距离、高度、产品数值、地理位置等信息显示。</w:t>
      </w:r>
    </w:p>
    <w:p>
      <w:pPr>
        <w:spacing w:line="360" w:lineRule="auto"/>
        <w:rPr>
          <w:rFonts w:ascii="宋体" w:hAnsi="宋体"/>
          <w:szCs w:val="21"/>
        </w:rPr>
      </w:pPr>
      <w:r>
        <w:rPr>
          <w:rFonts w:ascii="宋体" w:hAnsi="宋体"/>
          <w:szCs w:val="21"/>
        </w:rPr>
        <w:t>产品色标：提供默认配色，支持自定义配色。</w:t>
      </w:r>
    </w:p>
    <w:p>
      <w:pPr>
        <w:spacing w:line="360" w:lineRule="auto"/>
        <w:rPr>
          <w:rFonts w:ascii="宋体" w:hAnsi="宋体"/>
          <w:szCs w:val="21"/>
        </w:rPr>
      </w:pPr>
      <w:r>
        <w:rPr>
          <w:rFonts w:ascii="宋体" w:hAnsi="宋体"/>
          <w:szCs w:val="21"/>
        </w:rPr>
        <w:t>阈值过滤：显示阈值范围内数据，过滤超限数据；可单一范围显隐；可调整产品透明度。</w:t>
      </w:r>
    </w:p>
    <w:p>
      <w:pPr>
        <w:spacing w:line="360" w:lineRule="auto"/>
        <w:rPr>
          <w:rFonts w:ascii="宋体" w:hAnsi="宋体"/>
          <w:szCs w:val="21"/>
        </w:rPr>
      </w:pPr>
      <w:r>
        <w:rPr>
          <w:rFonts w:ascii="宋体" w:hAnsi="宋体"/>
          <w:szCs w:val="21"/>
        </w:rPr>
        <w:t>自动刷新：可启停的自动显示最新产品数据。</w:t>
      </w:r>
    </w:p>
    <w:p>
      <w:pPr>
        <w:spacing w:line="360" w:lineRule="auto"/>
        <w:rPr>
          <w:rFonts w:ascii="宋体" w:hAnsi="宋体"/>
          <w:szCs w:val="21"/>
        </w:rPr>
      </w:pPr>
      <w:r>
        <w:rPr>
          <w:rFonts w:ascii="宋体" w:hAnsi="宋体"/>
          <w:szCs w:val="21"/>
        </w:rPr>
        <w:t>状态监控：包括数据接收、产品制作、产品传输状态监控。</w:t>
      </w:r>
    </w:p>
    <w:p>
      <w:pPr>
        <w:spacing w:line="360" w:lineRule="auto"/>
        <w:rPr>
          <w:rFonts w:ascii="宋体" w:hAnsi="宋体"/>
          <w:szCs w:val="21"/>
        </w:rPr>
      </w:pPr>
      <w:r>
        <w:rPr>
          <w:rFonts w:ascii="宋体" w:hAnsi="宋体"/>
          <w:szCs w:val="21"/>
        </w:rPr>
        <w:t>数据归档：本地或异地产品数据归档，支持定时清理。</w:t>
      </w:r>
    </w:p>
    <w:p>
      <w:pPr>
        <w:spacing w:line="360" w:lineRule="auto"/>
        <w:rPr>
          <w:rFonts w:ascii="宋体" w:hAnsi="宋体"/>
          <w:szCs w:val="21"/>
        </w:rPr>
      </w:pPr>
      <w:r>
        <w:rPr>
          <w:rFonts w:ascii="宋体" w:hAnsi="宋体"/>
          <w:szCs w:val="21"/>
        </w:rPr>
        <w:t>数据上传：产品数据多节点上传，支持恢复网络后自动补传、手动补传。</w:t>
      </w:r>
    </w:p>
    <w:p>
      <w:pPr>
        <w:spacing w:line="360" w:lineRule="auto"/>
        <w:rPr>
          <w:rFonts w:ascii="宋体" w:hAnsi="宋体"/>
          <w:szCs w:val="21"/>
        </w:rPr>
      </w:pPr>
      <w:r>
        <w:rPr>
          <w:rFonts w:ascii="宋体" w:hAnsi="宋体"/>
          <w:szCs w:val="21"/>
        </w:rPr>
        <w:t>算法参数：算法参数可本地化调整。</w:t>
      </w:r>
    </w:p>
    <w:p>
      <w:pPr>
        <w:spacing w:line="360" w:lineRule="auto"/>
        <w:rPr>
          <w:rFonts w:ascii="宋体" w:hAnsi="宋体"/>
          <w:szCs w:val="21"/>
        </w:rPr>
      </w:pPr>
      <w:r>
        <w:rPr>
          <w:rFonts w:ascii="宋体" w:hAnsi="宋体"/>
          <w:szCs w:val="21"/>
        </w:rPr>
        <w:t>算法接口：支持外部算法接入，使用统一数据接口调用。</w:t>
      </w:r>
    </w:p>
    <w:p>
      <w:pPr>
        <w:spacing w:line="360" w:lineRule="auto"/>
        <w:rPr>
          <w:rFonts w:ascii="宋体" w:hAnsi="宋体"/>
          <w:szCs w:val="21"/>
        </w:rPr>
      </w:pPr>
      <w:r>
        <w:rPr>
          <w:rFonts w:ascii="宋体" w:hAnsi="宋体"/>
          <w:szCs w:val="21"/>
        </w:rPr>
        <w:t>系统日志：包括软件运行日志、数据接收日志、产品生成日志、数据上传日志、告警日志、预警日志。</w:t>
      </w:r>
    </w:p>
    <w:p>
      <w:pPr>
        <w:spacing w:line="360" w:lineRule="auto"/>
        <w:rPr>
          <w:rFonts w:ascii="宋体" w:hAnsi="宋体"/>
          <w:szCs w:val="21"/>
        </w:rPr>
      </w:pPr>
      <w:r>
        <w:rPr>
          <w:rFonts w:ascii="宋体" w:hAnsi="宋体"/>
          <w:szCs w:val="21"/>
        </w:rPr>
        <w:t>日志查询：可按日期、类型、关键词等方式查询系统日志。</w:t>
      </w:r>
    </w:p>
    <w:p>
      <w:pPr>
        <w:spacing w:line="360" w:lineRule="auto"/>
        <w:rPr>
          <w:rFonts w:ascii="宋体" w:hAnsi="宋体"/>
          <w:szCs w:val="21"/>
        </w:rPr>
      </w:pPr>
      <w:r>
        <w:rPr>
          <w:rFonts w:ascii="宋体" w:hAnsi="宋体"/>
          <w:szCs w:val="21"/>
        </w:rPr>
        <w:t>多用户并发：每个产品生成终端应至少能够满足30位用户同时访问。</w:t>
      </w:r>
    </w:p>
    <w:p>
      <w:pPr>
        <w:spacing w:line="360" w:lineRule="auto"/>
        <w:rPr>
          <w:rFonts w:ascii="宋体" w:hAnsi="宋体"/>
          <w:szCs w:val="21"/>
        </w:rPr>
      </w:pPr>
      <w:r>
        <w:rPr>
          <w:rFonts w:ascii="宋体" w:hAnsi="宋体"/>
          <w:szCs w:val="21"/>
        </w:rPr>
        <w:t>数据库接口：可从天擎等数据库的接口获取雷达基数据作为数据源。</w:t>
      </w:r>
    </w:p>
    <w:p>
      <w:pPr>
        <w:spacing w:line="360" w:lineRule="auto"/>
        <w:rPr>
          <w:rFonts w:ascii="宋体" w:hAnsi="宋体"/>
          <w:szCs w:val="21"/>
        </w:rPr>
      </w:pPr>
      <w:r>
        <w:rPr>
          <w:rFonts w:ascii="宋体" w:hAnsi="宋体"/>
          <w:szCs w:val="21"/>
        </w:rPr>
        <w:t>快捷操作：可通过键盘进行产品切换、时间切换、仰角层切换等快捷操作。</w:t>
      </w:r>
    </w:p>
    <w:p>
      <w:pPr>
        <w:spacing w:line="360" w:lineRule="auto"/>
        <w:rPr>
          <w:rFonts w:ascii="宋体" w:hAnsi="宋体"/>
          <w:szCs w:val="21"/>
        </w:rPr>
      </w:pPr>
      <w:r>
        <w:rPr>
          <w:rFonts w:ascii="宋体" w:hAnsi="宋体"/>
          <w:szCs w:val="21"/>
        </w:rPr>
        <w:t>关注点标记：设定不同类型的关注点，可设置备注信息并保存；可单选、多选、分类选择叠加在产品上进行显示；可设定关注点预警范围。支持关注点信息导入导出。</w:t>
      </w:r>
    </w:p>
    <w:p>
      <w:pPr>
        <w:spacing w:line="360" w:lineRule="auto"/>
        <w:rPr>
          <w:rFonts w:ascii="宋体" w:hAnsi="宋体"/>
          <w:szCs w:val="21"/>
        </w:rPr>
      </w:pPr>
      <w:r>
        <w:rPr>
          <w:rFonts w:ascii="宋体" w:hAnsi="宋体" w:hint="eastAsia"/>
          <w:szCs w:val="21"/>
        </w:rPr>
        <w:t>（4）软件运行环境要求</w:t>
      </w:r>
    </w:p>
    <w:p>
      <w:pPr>
        <w:spacing w:line="360" w:lineRule="auto"/>
        <w:rPr>
          <w:rFonts w:ascii="宋体" w:hAnsi="宋体"/>
          <w:szCs w:val="21"/>
        </w:rPr>
      </w:pPr>
      <w:r>
        <w:rPr>
          <w:rFonts w:ascii="宋体" w:hAnsi="宋体"/>
          <w:szCs w:val="21"/>
        </w:rPr>
        <w:t>雷达应至少配置1台独立产品终端，负责产品制作及数据归档。应支持国产化操作系统。产品终端数据处理能力应满足产品制作整体耗时小于雷达最短体扫用时，避免造成数据积压</w:t>
      </w:r>
      <w:r>
        <w:rPr>
          <w:rFonts w:ascii="宋体" w:hAnsi="宋体" w:hint="eastAsia"/>
          <w:szCs w:val="21"/>
        </w:rPr>
        <w:t>。</w:t>
      </w:r>
      <w:r>
        <w:rPr>
          <w:rFonts w:ascii="宋体" w:hAnsi="宋体"/>
          <w:szCs w:val="21"/>
        </w:rPr>
        <w:t>产品终端能存储不少于3个月的基数据及对应雷达产品。</w:t>
      </w:r>
    </w:p>
    <w:p>
      <w:pPr>
        <w:spacing w:line="360" w:lineRule="auto"/>
        <w:rPr>
          <w:rFonts w:ascii="宋体" w:hAnsi="宋体"/>
          <w:szCs w:val="21"/>
        </w:rPr>
      </w:pPr>
    </w:p>
    <w:p>
      <w:pPr>
        <w:spacing w:line="360" w:lineRule="auto"/>
        <w:outlineLvl w:val="2"/>
        <w:rPr>
          <w:rFonts w:ascii="宋体" w:eastAsia="宋体" w:hAnsi="宋体"/>
          <w:b/>
          <w:bCs/>
          <w:szCs w:val="21"/>
        </w:rPr>
      </w:pPr>
      <w:r>
        <w:rPr>
          <w:rFonts w:ascii="宋体" w:hAnsi="宋体" w:hint="eastAsia"/>
          <w:b/>
          <w:bCs/>
          <w:szCs w:val="21"/>
        </w:rPr>
        <w:t>1.13六要素气象站（便携式自动气象站）</w:t>
      </w:r>
    </w:p>
    <w:p>
      <w:pPr>
        <w:spacing w:line="360" w:lineRule="auto"/>
        <w:ind w:firstLine="420" w:firstLineChars="200"/>
        <w:rPr>
          <w:rFonts w:ascii="宋体" w:hAnsi="宋体"/>
          <w:szCs w:val="21"/>
        </w:rPr>
      </w:pPr>
      <w:r>
        <w:rPr>
          <w:rFonts w:ascii="宋体" w:hAnsi="宋体"/>
          <w:szCs w:val="21"/>
        </w:rPr>
        <w:t>提供有效期内的</w:t>
      </w:r>
      <w:r>
        <w:rPr>
          <w:rFonts w:ascii="宋体" w:hAnsi="宋体" w:hint="eastAsia"/>
          <w:szCs w:val="21"/>
        </w:rPr>
        <w:t>中国气象局颁发的该产品《气象专用技术装备使用许可证》。</w:t>
      </w:r>
    </w:p>
    <w:p>
      <w:pPr>
        <w:spacing w:line="360" w:lineRule="auto"/>
        <w:ind w:firstLine="420" w:firstLineChars="200"/>
        <w:rPr>
          <w:rFonts w:ascii="宋体" w:hAnsi="宋体"/>
          <w:szCs w:val="21"/>
        </w:rPr>
      </w:pPr>
      <w:r>
        <w:rPr>
          <w:rFonts w:ascii="宋体" w:hAnsi="宋体" w:hint="eastAsia"/>
          <w:szCs w:val="21"/>
        </w:rPr>
        <w:t>六要素气象站包含温湿度传感器、超声风传感器、气压传感器、雨感器、数据采集模块等，监测要素包括温度、相对湿度、气压、风速、风向、降水量，具有功耗低、安装快捷、设置简单等特点。主要技术参数见下表</w:t>
      </w:r>
      <w:r>
        <w:rPr>
          <w:rFonts w:ascii="宋体" w:hAnsi="宋体"/>
          <w:szCs w:val="21"/>
        </w:rPr>
        <w:t>：</w:t>
      </w:r>
    </w:p>
    <w:p>
      <w:pPr>
        <w:spacing w:line="360" w:lineRule="auto"/>
        <w:jc w:val="center"/>
        <w:rPr>
          <w:rFonts w:ascii="宋体" w:hAnsi="宋体"/>
          <w:szCs w:val="21"/>
        </w:rPr>
      </w:pPr>
      <w:r>
        <w:rPr>
          <w:rFonts w:ascii="宋体" w:hAnsi="宋体"/>
          <w:szCs w:val="21"/>
        </w:rPr>
        <w:t xml:space="preserve"> </w:t>
      </w:r>
      <w:r>
        <w:rPr>
          <w:rFonts w:ascii="宋体" w:hAnsi="宋体"/>
          <w:b/>
          <w:bCs/>
          <w:szCs w:val="21"/>
        </w:rPr>
        <w:t>六要素自动气象站设备技术参数</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214"/>
        <w:gridCol w:w="1351"/>
        <w:gridCol w:w="583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58"/>
          <w:jc w:val="center"/>
        </w:trPr>
        <w:tc>
          <w:tcPr>
            <w:tcW w:w="2565" w:type="dxa"/>
            <w:gridSpan w:val="2"/>
            <w:vAlign w:val="center"/>
          </w:tcPr>
          <w:p>
            <w:pPr>
              <w:spacing w:line="360" w:lineRule="auto"/>
              <w:rPr>
                <w:rFonts w:ascii="宋体" w:hAnsi="宋体"/>
                <w:szCs w:val="21"/>
              </w:rPr>
            </w:pPr>
            <w:r>
              <w:rPr>
                <w:rFonts w:ascii="宋体" w:hAnsi="宋体"/>
                <w:szCs w:val="21"/>
              </w:rPr>
              <w:t>项目</w:t>
            </w:r>
          </w:p>
        </w:tc>
        <w:tc>
          <w:tcPr>
            <w:tcW w:w="5831" w:type="dxa"/>
            <w:vAlign w:val="center"/>
          </w:tcPr>
          <w:p>
            <w:pPr>
              <w:spacing w:line="360" w:lineRule="auto"/>
              <w:rPr>
                <w:rFonts w:ascii="宋体" w:hAnsi="宋体"/>
                <w:szCs w:val="21"/>
              </w:rPr>
            </w:pPr>
            <w:r>
              <w:rPr>
                <w:rFonts w:ascii="宋体" w:hAnsi="宋体"/>
                <w:szCs w:val="21"/>
              </w:rPr>
              <w:t>性能指标</w:t>
            </w:r>
          </w:p>
        </w:tc>
      </w:tr>
      <w:tr>
        <w:tblPrEx>
          <w:tblW w:w="0" w:type="auto"/>
          <w:jc w:val="center"/>
          <w:tblCellMar>
            <w:top w:w="0" w:type="dxa"/>
            <w:left w:w="108" w:type="dxa"/>
            <w:bottom w:w="0" w:type="dxa"/>
            <w:right w:w="108" w:type="dxa"/>
          </w:tblCellMar>
        </w:tblPrEx>
        <w:trPr>
          <w:trHeight w:val="76"/>
          <w:jc w:val="center"/>
        </w:trPr>
        <w:tc>
          <w:tcPr>
            <w:tcW w:w="1214" w:type="dxa"/>
            <w:vMerge w:val="restart"/>
            <w:vAlign w:val="center"/>
          </w:tcPr>
          <w:p>
            <w:pPr>
              <w:spacing w:line="360" w:lineRule="auto"/>
              <w:rPr>
                <w:rFonts w:ascii="宋体" w:hAnsi="宋体"/>
                <w:szCs w:val="21"/>
              </w:rPr>
            </w:pPr>
            <w:r>
              <w:rPr>
                <w:rFonts w:ascii="宋体" w:hAnsi="宋体"/>
                <w:szCs w:val="21"/>
              </w:rPr>
              <w:t>温度</w:t>
            </w:r>
          </w:p>
        </w:tc>
        <w:tc>
          <w:tcPr>
            <w:tcW w:w="1351" w:type="dxa"/>
            <w:vAlign w:val="center"/>
          </w:tcPr>
          <w:p>
            <w:pPr>
              <w:spacing w:line="360" w:lineRule="auto"/>
              <w:rPr>
                <w:rFonts w:ascii="宋体" w:hAnsi="宋体"/>
                <w:szCs w:val="21"/>
              </w:rPr>
            </w:pPr>
            <w:r>
              <w:rPr>
                <w:rFonts w:ascii="宋体" w:hAnsi="宋体"/>
                <w:szCs w:val="21"/>
              </w:rPr>
              <w:t>测量范围</w:t>
            </w:r>
          </w:p>
        </w:tc>
        <w:tc>
          <w:tcPr>
            <w:tcW w:w="5831" w:type="dxa"/>
            <w:vAlign w:val="center"/>
          </w:tcPr>
          <w:p>
            <w:pPr>
              <w:spacing w:line="360" w:lineRule="auto"/>
              <w:rPr>
                <w:rFonts w:ascii="宋体" w:hAnsi="宋体"/>
                <w:szCs w:val="21"/>
              </w:rPr>
            </w:pPr>
            <w:r>
              <w:rPr>
                <w:rFonts w:ascii="宋体" w:hAnsi="宋体"/>
                <w:szCs w:val="21"/>
              </w:rPr>
              <w:t>-40℃～+70℃</w:t>
            </w:r>
          </w:p>
        </w:tc>
      </w:tr>
      <w:tr>
        <w:tblPrEx>
          <w:tblW w:w="0" w:type="auto"/>
          <w:jc w:val="center"/>
          <w:tblCellMar>
            <w:top w:w="0" w:type="dxa"/>
            <w:left w:w="108" w:type="dxa"/>
            <w:bottom w:w="0" w:type="dxa"/>
            <w:right w:w="108" w:type="dxa"/>
          </w:tblCellMar>
        </w:tblPrEx>
        <w:trPr>
          <w:trHeight w:val="75"/>
          <w:jc w:val="center"/>
        </w:trPr>
        <w:tc>
          <w:tcPr>
            <w:tcW w:w="1214" w:type="dxa"/>
            <w:vMerge/>
            <w:vAlign w:val="center"/>
          </w:tcPr>
          <w:p>
            <w:pPr>
              <w:spacing w:line="360" w:lineRule="auto"/>
              <w:rPr>
                <w:rFonts w:ascii="宋体" w:hAnsi="宋体"/>
                <w:szCs w:val="21"/>
              </w:rPr>
            </w:pPr>
          </w:p>
        </w:tc>
        <w:tc>
          <w:tcPr>
            <w:tcW w:w="1351" w:type="dxa"/>
            <w:vAlign w:val="center"/>
          </w:tcPr>
          <w:p>
            <w:pPr>
              <w:spacing w:line="360" w:lineRule="auto"/>
              <w:rPr>
                <w:rFonts w:ascii="宋体" w:hAnsi="宋体"/>
                <w:szCs w:val="21"/>
              </w:rPr>
            </w:pPr>
            <w:r>
              <w:rPr>
                <w:rFonts w:ascii="宋体" w:hAnsi="宋体"/>
                <w:szCs w:val="21"/>
              </w:rPr>
              <w:t>分辨率</w:t>
            </w:r>
          </w:p>
        </w:tc>
        <w:tc>
          <w:tcPr>
            <w:tcW w:w="5831" w:type="dxa"/>
            <w:vAlign w:val="center"/>
          </w:tcPr>
          <w:p>
            <w:pPr>
              <w:spacing w:line="360" w:lineRule="auto"/>
              <w:rPr>
                <w:rFonts w:ascii="宋体" w:hAnsi="宋体"/>
                <w:szCs w:val="21"/>
              </w:rPr>
            </w:pPr>
            <w:r>
              <w:rPr>
                <w:rFonts w:ascii="宋体" w:hAnsi="宋体"/>
                <w:szCs w:val="21"/>
              </w:rPr>
              <w:t>0.1℃</w:t>
            </w:r>
          </w:p>
        </w:tc>
      </w:tr>
      <w:tr>
        <w:tblPrEx>
          <w:tblW w:w="0" w:type="auto"/>
          <w:jc w:val="center"/>
          <w:tblCellMar>
            <w:top w:w="0" w:type="dxa"/>
            <w:left w:w="108" w:type="dxa"/>
            <w:bottom w:w="0" w:type="dxa"/>
            <w:right w:w="108" w:type="dxa"/>
          </w:tblCellMar>
        </w:tblPrEx>
        <w:trPr>
          <w:trHeight w:val="75"/>
          <w:jc w:val="center"/>
        </w:trPr>
        <w:tc>
          <w:tcPr>
            <w:tcW w:w="1214" w:type="dxa"/>
            <w:vMerge/>
            <w:vAlign w:val="center"/>
          </w:tcPr>
          <w:p>
            <w:pPr>
              <w:spacing w:line="360" w:lineRule="auto"/>
              <w:rPr>
                <w:rFonts w:ascii="宋体" w:hAnsi="宋体"/>
                <w:szCs w:val="21"/>
              </w:rPr>
            </w:pPr>
          </w:p>
        </w:tc>
        <w:tc>
          <w:tcPr>
            <w:tcW w:w="1351" w:type="dxa"/>
            <w:vAlign w:val="center"/>
          </w:tcPr>
          <w:p>
            <w:pPr>
              <w:spacing w:line="360" w:lineRule="auto"/>
              <w:rPr>
                <w:rFonts w:ascii="宋体" w:hAnsi="宋体"/>
                <w:szCs w:val="21"/>
              </w:rPr>
            </w:pPr>
            <w:r>
              <w:rPr>
                <w:rFonts w:ascii="宋体" w:hAnsi="宋体"/>
                <w:szCs w:val="21"/>
              </w:rPr>
              <w:t>准确度</w:t>
            </w:r>
          </w:p>
        </w:tc>
        <w:tc>
          <w:tcPr>
            <w:tcW w:w="5831" w:type="dxa"/>
            <w:vAlign w:val="center"/>
          </w:tcPr>
          <w:p>
            <w:pPr>
              <w:spacing w:line="360" w:lineRule="auto"/>
              <w:rPr>
                <w:rFonts w:ascii="宋体" w:hAnsi="宋体"/>
                <w:szCs w:val="21"/>
              </w:rPr>
            </w:pPr>
            <w:r>
              <w:rPr>
                <w:rFonts w:ascii="宋体" w:hAnsi="宋体"/>
                <w:szCs w:val="21"/>
              </w:rPr>
              <w:t>≤±0.5℃</w:t>
            </w:r>
          </w:p>
        </w:tc>
      </w:tr>
      <w:tr>
        <w:tblPrEx>
          <w:tblW w:w="0" w:type="auto"/>
          <w:jc w:val="center"/>
          <w:tblCellMar>
            <w:top w:w="0" w:type="dxa"/>
            <w:left w:w="108" w:type="dxa"/>
            <w:bottom w:w="0" w:type="dxa"/>
            <w:right w:w="108" w:type="dxa"/>
          </w:tblCellMar>
        </w:tblPrEx>
        <w:trPr>
          <w:trHeight w:val="76"/>
          <w:jc w:val="center"/>
        </w:trPr>
        <w:tc>
          <w:tcPr>
            <w:tcW w:w="1214" w:type="dxa"/>
            <w:vMerge w:val="restart"/>
            <w:vAlign w:val="center"/>
          </w:tcPr>
          <w:p>
            <w:pPr>
              <w:spacing w:line="360" w:lineRule="auto"/>
              <w:rPr>
                <w:rFonts w:ascii="宋体" w:hAnsi="宋体"/>
                <w:szCs w:val="21"/>
              </w:rPr>
            </w:pPr>
            <w:r>
              <w:rPr>
                <w:rFonts w:ascii="宋体" w:hAnsi="宋体"/>
                <w:szCs w:val="21"/>
              </w:rPr>
              <w:t>湿度</w:t>
            </w:r>
          </w:p>
        </w:tc>
        <w:tc>
          <w:tcPr>
            <w:tcW w:w="1351" w:type="dxa"/>
            <w:vAlign w:val="center"/>
          </w:tcPr>
          <w:p>
            <w:pPr>
              <w:spacing w:line="360" w:lineRule="auto"/>
              <w:rPr>
                <w:rFonts w:ascii="宋体" w:hAnsi="宋体"/>
                <w:szCs w:val="21"/>
              </w:rPr>
            </w:pPr>
            <w:r>
              <w:rPr>
                <w:rFonts w:ascii="宋体" w:hAnsi="宋体"/>
                <w:szCs w:val="21"/>
              </w:rPr>
              <w:t>测量范围</w:t>
            </w:r>
          </w:p>
        </w:tc>
        <w:tc>
          <w:tcPr>
            <w:tcW w:w="5831" w:type="dxa"/>
            <w:vAlign w:val="center"/>
          </w:tcPr>
          <w:p>
            <w:pPr>
              <w:spacing w:line="360" w:lineRule="auto"/>
              <w:rPr>
                <w:rFonts w:ascii="宋体" w:hAnsi="宋体"/>
                <w:szCs w:val="21"/>
              </w:rPr>
            </w:pPr>
            <w:r>
              <w:rPr>
                <w:rFonts w:ascii="宋体" w:hAnsi="宋体"/>
                <w:szCs w:val="21"/>
              </w:rPr>
              <w:t>0％RH～100％RH</w:t>
            </w:r>
          </w:p>
        </w:tc>
      </w:tr>
      <w:tr>
        <w:tblPrEx>
          <w:tblW w:w="0" w:type="auto"/>
          <w:jc w:val="center"/>
          <w:tblCellMar>
            <w:top w:w="0" w:type="dxa"/>
            <w:left w:w="108" w:type="dxa"/>
            <w:bottom w:w="0" w:type="dxa"/>
            <w:right w:w="108" w:type="dxa"/>
          </w:tblCellMar>
        </w:tblPrEx>
        <w:trPr>
          <w:trHeight w:val="75"/>
          <w:jc w:val="center"/>
        </w:trPr>
        <w:tc>
          <w:tcPr>
            <w:tcW w:w="1214" w:type="dxa"/>
            <w:vMerge/>
            <w:vAlign w:val="center"/>
          </w:tcPr>
          <w:p>
            <w:pPr>
              <w:spacing w:line="360" w:lineRule="auto"/>
              <w:rPr>
                <w:rFonts w:ascii="宋体" w:hAnsi="宋体"/>
                <w:szCs w:val="21"/>
              </w:rPr>
            </w:pPr>
          </w:p>
        </w:tc>
        <w:tc>
          <w:tcPr>
            <w:tcW w:w="1351" w:type="dxa"/>
            <w:vAlign w:val="center"/>
          </w:tcPr>
          <w:p>
            <w:pPr>
              <w:spacing w:line="360" w:lineRule="auto"/>
              <w:rPr>
                <w:rFonts w:ascii="宋体" w:hAnsi="宋体"/>
                <w:szCs w:val="21"/>
              </w:rPr>
            </w:pPr>
            <w:r>
              <w:rPr>
                <w:rFonts w:ascii="宋体" w:hAnsi="宋体"/>
                <w:szCs w:val="21"/>
              </w:rPr>
              <w:t>分辨率</w:t>
            </w:r>
          </w:p>
        </w:tc>
        <w:tc>
          <w:tcPr>
            <w:tcW w:w="5831" w:type="dxa"/>
            <w:vAlign w:val="center"/>
          </w:tcPr>
          <w:p>
            <w:pPr>
              <w:spacing w:line="360" w:lineRule="auto"/>
              <w:rPr>
                <w:rFonts w:ascii="宋体" w:hAnsi="宋体"/>
                <w:szCs w:val="21"/>
              </w:rPr>
            </w:pPr>
            <w:r>
              <w:rPr>
                <w:rFonts w:ascii="宋体" w:hAnsi="宋体"/>
                <w:szCs w:val="21"/>
              </w:rPr>
              <w:t>0.1％RH</w:t>
            </w:r>
          </w:p>
        </w:tc>
      </w:tr>
      <w:tr>
        <w:tblPrEx>
          <w:tblW w:w="0" w:type="auto"/>
          <w:jc w:val="center"/>
          <w:tblCellMar>
            <w:top w:w="0" w:type="dxa"/>
            <w:left w:w="108" w:type="dxa"/>
            <w:bottom w:w="0" w:type="dxa"/>
            <w:right w:w="108" w:type="dxa"/>
          </w:tblCellMar>
        </w:tblPrEx>
        <w:trPr>
          <w:trHeight w:val="75"/>
          <w:jc w:val="center"/>
        </w:trPr>
        <w:tc>
          <w:tcPr>
            <w:tcW w:w="1214" w:type="dxa"/>
            <w:vMerge/>
            <w:vAlign w:val="center"/>
          </w:tcPr>
          <w:p>
            <w:pPr>
              <w:spacing w:line="360" w:lineRule="auto"/>
              <w:rPr>
                <w:rFonts w:ascii="宋体" w:hAnsi="宋体"/>
                <w:szCs w:val="21"/>
              </w:rPr>
            </w:pPr>
          </w:p>
        </w:tc>
        <w:tc>
          <w:tcPr>
            <w:tcW w:w="1351" w:type="dxa"/>
            <w:vAlign w:val="center"/>
          </w:tcPr>
          <w:p>
            <w:pPr>
              <w:spacing w:line="360" w:lineRule="auto"/>
              <w:rPr>
                <w:rFonts w:ascii="宋体" w:hAnsi="宋体"/>
                <w:szCs w:val="21"/>
              </w:rPr>
            </w:pPr>
            <w:r>
              <w:rPr>
                <w:rFonts w:ascii="宋体" w:hAnsi="宋体"/>
                <w:szCs w:val="21"/>
              </w:rPr>
              <w:t>准确度</w:t>
            </w:r>
          </w:p>
        </w:tc>
        <w:tc>
          <w:tcPr>
            <w:tcW w:w="5831" w:type="dxa"/>
            <w:vAlign w:val="center"/>
          </w:tcPr>
          <w:p>
            <w:pPr>
              <w:spacing w:line="360" w:lineRule="auto"/>
              <w:rPr>
                <w:rFonts w:ascii="宋体" w:hAnsi="宋体"/>
                <w:szCs w:val="21"/>
              </w:rPr>
            </w:pPr>
            <w:r>
              <w:rPr>
                <w:rFonts w:ascii="宋体" w:hAnsi="宋体"/>
                <w:szCs w:val="21"/>
              </w:rPr>
              <w:t>≤±5％RH</w:t>
            </w:r>
          </w:p>
        </w:tc>
      </w:tr>
      <w:tr>
        <w:tblPrEx>
          <w:tblW w:w="0" w:type="auto"/>
          <w:jc w:val="center"/>
          <w:tblCellMar>
            <w:top w:w="0" w:type="dxa"/>
            <w:left w:w="108" w:type="dxa"/>
            <w:bottom w:w="0" w:type="dxa"/>
            <w:right w:w="108" w:type="dxa"/>
          </w:tblCellMar>
        </w:tblPrEx>
        <w:trPr>
          <w:trHeight w:val="76"/>
          <w:jc w:val="center"/>
        </w:trPr>
        <w:tc>
          <w:tcPr>
            <w:tcW w:w="1214" w:type="dxa"/>
            <w:vMerge w:val="restart"/>
            <w:vAlign w:val="center"/>
          </w:tcPr>
          <w:p>
            <w:pPr>
              <w:spacing w:line="360" w:lineRule="auto"/>
              <w:rPr>
                <w:rFonts w:ascii="宋体" w:hAnsi="宋体"/>
                <w:szCs w:val="21"/>
              </w:rPr>
            </w:pPr>
            <w:r>
              <w:rPr>
                <w:rFonts w:ascii="宋体" w:hAnsi="宋体"/>
                <w:szCs w:val="21"/>
              </w:rPr>
              <w:t>风向</w:t>
            </w:r>
          </w:p>
        </w:tc>
        <w:tc>
          <w:tcPr>
            <w:tcW w:w="1351" w:type="dxa"/>
            <w:vAlign w:val="center"/>
          </w:tcPr>
          <w:p>
            <w:pPr>
              <w:spacing w:line="360" w:lineRule="auto"/>
              <w:rPr>
                <w:rFonts w:ascii="宋体" w:hAnsi="宋体"/>
                <w:szCs w:val="21"/>
              </w:rPr>
            </w:pPr>
            <w:r>
              <w:rPr>
                <w:rFonts w:ascii="宋体" w:hAnsi="宋体"/>
                <w:szCs w:val="21"/>
              </w:rPr>
              <w:t>测量范围</w:t>
            </w:r>
          </w:p>
        </w:tc>
        <w:tc>
          <w:tcPr>
            <w:tcW w:w="5831" w:type="dxa"/>
            <w:vAlign w:val="center"/>
          </w:tcPr>
          <w:p>
            <w:pPr>
              <w:spacing w:line="360" w:lineRule="auto"/>
              <w:rPr>
                <w:rFonts w:ascii="宋体" w:hAnsi="宋体"/>
                <w:szCs w:val="21"/>
              </w:rPr>
            </w:pPr>
            <w:r>
              <w:rPr>
                <w:rFonts w:ascii="宋体" w:hAnsi="宋体"/>
                <w:szCs w:val="21"/>
              </w:rPr>
              <w:t>0°～360°</w:t>
            </w:r>
          </w:p>
        </w:tc>
      </w:tr>
      <w:tr>
        <w:tblPrEx>
          <w:tblW w:w="0" w:type="auto"/>
          <w:jc w:val="center"/>
          <w:tblCellMar>
            <w:top w:w="0" w:type="dxa"/>
            <w:left w:w="108" w:type="dxa"/>
            <w:bottom w:w="0" w:type="dxa"/>
            <w:right w:w="108" w:type="dxa"/>
          </w:tblCellMar>
        </w:tblPrEx>
        <w:trPr>
          <w:trHeight w:val="75"/>
          <w:jc w:val="center"/>
        </w:trPr>
        <w:tc>
          <w:tcPr>
            <w:tcW w:w="1214" w:type="dxa"/>
            <w:vMerge/>
            <w:vAlign w:val="center"/>
          </w:tcPr>
          <w:p>
            <w:pPr>
              <w:spacing w:line="360" w:lineRule="auto"/>
              <w:rPr>
                <w:rFonts w:ascii="宋体" w:hAnsi="宋体"/>
                <w:szCs w:val="21"/>
              </w:rPr>
            </w:pPr>
          </w:p>
        </w:tc>
        <w:tc>
          <w:tcPr>
            <w:tcW w:w="1351" w:type="dxa"/>
            <w:vAlign w:val="center"/>
          </w:tcPr>
          <w:p>
            <w:pPr>
              <w:spacing w:line="360" w:lineRule="auto"/>
              <w:rPr>
                <w:rFonts w:ascii="宋体" w:hAnsi="宋体"/>
                <w:szCs w:val="21"/>
              </w:rPr>
            </w:pPr>
            <w:r>
              <w:rPr>
                <w:rFonts w:ascii="宋体" w:hAnsi="宋体"/>
                <w:szCs w:val="21"/>
              </w:rPr>
              <w:t>分辨率</w:t>
            </w:r>
          </w:p>
        </w:tc>
        <w:tc>
          <w:tcPr>
            <w:tcW w:w="5831" w:type="dxa"/>
            <w:vAlign w:val="center"/>
          </w:tcPr>
          <w:p>
            <w:pPr>
              <w:spacing w:line="360" w:lineRule="auto"/>
              <w:rPr>
                <w:rFonts w:ascii="宋体" w:hAnsi="宋体"/>
                <w:szCs w:val="21"/>
              </w:rPr>
            </w:pPr>
            <w:r>
              <w:rPr>
                <w:rFonts w:ascii="宋体" w:hAnsi="宋体"/>
                <w:szCs w:val="21"/>
              </w:rPr>
              <w:t>1°</w:t>
            </w:r>
          </w:p>
        </w:tc>
      </w:tr>
      <w:tr>
        <w:tblPrEx>
          <w:tblW w:w="0" w:type="auto"/>
          <w:jc w:val="center"/>
          <w:tblCellMar>
            <w:top w:w="0" w:type="dxa"/>
            <w:left w:w="108" w:type="dxa"/>
            <w:bottom w:w="0" w:type="dxa"/>
            <w:right w:w="108" w:type="dxa"/>
          </w:tblCellMar>
        </w:tblPrEx>
        <w:trPr>
          <w:trHeight w:val="75"/>
          <w:jc w:val="center"/>
        </w:trPr>
        <w:tc>
          <w:tcPr>
            <w:tcW w:w="1214" w:type="dxa"/>
            <w:vMerge/>
            <w:vAlign w:val="center"/>
          </w:tcPr>
          <w:p>
            <w:pPr>
              <w:spacing w:line="360" w:lineRule="auto"/>
              <w:rPr>
                <w:rFonts w:ascii="宋体" w:hAnsi="宋体"/>
                <w:szCs w:val="21"/>
              </w:rPr>
            </w:pPr>
          </w:p>
        </w:tc>
        <w:tc>
          <w:tcPr>
            <w:tcW w:w="1351" w:type="dxa"/>
            <w:vAlign w:val="center"/>
          </w:tcPr>
          <w:p>
            <w:pPr>
              <w:spacing w:line="360" w:lineRule="auto"/>
              <w:rPr>
                <w:rFonts w:ascii="宋体" w:hAnsi="宋体"/>
                <w:szCs w:val="21"/>
              </w:rPr>
            </w:pPr>
            <w:r>
              <w:rPr>
                <w:rFonts w:ascii="宋体" w:hAnsi="宋体"/>
                <w:szCs w:val="21"/>
              </w:rPr>
              <w:t>准确度</w:t>
            </w:r>
          </w:p>
        </w:tc>
        <w:tc>
          <w:tcPr>
            <w:tcW w:w="5831" w:type="dxa"/>
            <w:vAlign w:val="center"/>
          </w:tcPr>
          <w:p>
            <w:pPr>
              <w:spacing w:line="360" w:lineRule="auto"/>
              <w:rPr>
                <w:rFonts w:ascii="宋体" w:hAnsi="宋体"/>
                <w:szCs w:val="21"/>
              </w:rPr>
            </w:pPr>
            <w:r>
              <w:rPr>
                <w:rFonts w:ascii="宋体" w:hAnsi="宋体"/>
                <w:szCs w:val="21"/>
              </w:rPr>
              <w:t>≤±5°</w:t>
            </w:r>
          </w:p>
        </w:tc>
      </w:tr>
      <w:tr>
        <w:tblPrEx>
          <w:tblW w:w="0" w:type="auto"/>
          <w:jc w:val="center"/>
          <w:tblCellMar>
            <w:top w:w="0" w:type="dxa"/>
            <w:left w:w="108" w:type="dxa"/>
            <w:bottom w:w="0" w:type="dxa"/>
            <w:right w:w="108" w:type="dxa"/>
          </w:tblCellMar>
        </w:tblPrEx>
        <w:trPr>
          <w:trHeight w:val="76"/>
          <w:jc w:val="center"/>
        </w:trPr>
        <w:tc>
          <w:tcPr>
            <w:tcW w:w="1214" w:type="dxa"/>
            <w:vMerge w:val="restart"/>
            <w:vAlign w:val="center"/>
          </w:tcPr>
          <w:p>
            <w:pPr>
              <w:spacing w:line="360" w:lineRule="auto"/>
              <w:rPr>
                <w:rFonts w:ascii="宋体" w:hAnsi="宋体"/>
                <w:szCs w:val="21"/>
              </w:rPr>
            </w:pPr>
            <w:r>
              <w:rPr>
                <w:rFonts w:ascii="宋体" w:hAnsi="宋体"/>
                <w:szCs w:val="21"/>
              </w:rPr>
              <w:t>风速</w:t>
            </w:r>
          </w:p>
        </w:tc>
        <w:tc>
          <w:tcPr>
            <w:tcW w:w="1351" w:type="dxa"/>
            <w:vAlign w:val="center"/>
          </w:tcPr>
          <w:p>
            <w:pPr>
              <w:spacing w:line="360" w:lineRule="auto"/>
              <w:rPr>
                <w:rFonts w:ascii="宋体" w:hAnsi="宋体"/>
                <w:szCs w:val="21"/>
              </w:rPr>
            </w:pPr>
            <w:r>
              <w:rPr>
                <w:rFonts w:ascii="宋体" w:hAnsi="宋体"/>
                <w:szCs w:val="21"/>
              </w:rPr>
              <w:t>测量范围</w:t>
            </w:r>
          </w:p>
        </w:tc>
        <w:tc>
          <w:tcPr>
            <w:tcW w:w="5831" w:type="dxa"/>
            <w:vAlign w:val="center"/>
          </w:tcPr>
          <w:p>
            <w:pPr>
              <w:spacing w:line="360" w:lineRule="auto"/>
              <w:rPr>
                <w:rFonts w:ascii="宋体" w:hAnsi="宋体"/>
                <w:szCs w:val="21"/>
              </w:rPr>
            </w:pPr>
            <w:r>
              <w:rPr>
                <w:rFonts w:ascii="宋体" w:hAnsi="宋体"/>
                <w:szCs w:val="21"/>
              </w:rPr>
              <w:t>0m/s～60m/s</w:t>
            </w:r>
          </w:p>
        </w:tc>
      </w:tr>
      <w:tr>
        <w:tblPrEx>
          <w:tblW w:w="0" w:type="auto"/>
          <w:jc w:val="center"/>
          <w:tblCellMar>
            <w:top w:w="0" w:type="dxa"/>
            <w:left w:w="108" w:type="dxa"/>
            <w:bottom w:w="0" w:type="dxa"/>
            <w:right w:w="108" w:type="dxa"/>
          </w:tblCellMar>
        </w:tblPrEx>
        <w:trPr>
          <w:trHeight w:val="75"/>
          <w:jc w:val="center"/>
        </w:trPr>
        <w:tc>
          <w:tcPr>
            <w:tcW w:w="1214" w:type="dxa"/>
            <w:vMerge/>
            <w:vAlign w:val="center"/>
          </w:tcPr>
          <w:p>
            <w:pPr>
              <w:spacing w:line="360" w:lineRule="auto"/>
              <w:rPr>
                <w:rFonts w:ascii="宋体" w:hAnsi="宋体"/>
                <w:szCs w:val="21"/>
              </w:rPr>
            </w:pPr>
          </w:p>
        </w:tc>
        <w:tc>
          <w:tcPr>
            <w:tcW w:w="1351" w:type="dxa"/>
            <w:vAlign w:val="center"/>
          </w:tcPr>
          <w:p>
            <w:pPr>
              <w:spacing w:line="360" w:lineRule="auto"/>
              <w:rPr>
                <w:rFonts w:ascii="宋体" w:hAnsi="宋体"/>
                <w:szCs w:val="21"/>
              </w:rPr>
            </w:pPr>
            <w:r>
              <w:rPr>
                <w:rFonts w:ascii="宋体" w:hAnsi="宋体"/>
                <w:szCs w:val="21"/>
              </w:rPr>
              <w:t>分辨率</w:t>
            </w:r>
          </w:p>
        </w:tc>
        <w:tc>
          <w:tcPr>
            <w:tcW w:w="5831" w:type="dxa"/>
            <w:vAlign w:val="center"/>
          </w:tcPr>
          <w:p>
            <w:pPr>
              <w:spacing w:line="360" w:lineRule="auto"/>
              <w:rPr>
                <w:rFonts w:ascii="宋体" w:hAnsi="宋体"/>
                <w:szCs w:val="21"/>
              </w:rPr>
            </w:pPr>
            <w:r>
              <w:rPr>
                <w:rFonts w:ascii="宋体" w:hAnsi="宋体"/>
                <w:szCs w:val="21"/>
              </w:rPr>
              <w:t>0.1m/s</w:t>
            </w:r>
          </w:p>
        </w:tc>
      </w:tr>
      <w:tr>
        <w:tblPrEx>
          <w:tblW w:w="0" w:type="auto"/>
          <w:jc w:val="center"/>
          <w:tblCellMar>
            <w:top w:w="0" w:type="dxa"/>
            <w:left w:w="108" w:type="dxa"/>
            <w:bottom w:w="0" w:type="dxa"/>
            <w:right w:w="108" w:type="dxa"/>
          </w:tblCellMar>
        </w:tblPrEx>
        <w:trPr>
          <w:trHeight w:val="75"/>
          <w:jc w:val="center"/>
        </w:trPr>
        <w:tc>
          <w:tcPr>
            <w:tcW w:w="1214" w:type="dxa"/>
            <w:vMerge/>
            <w:vAlign w:val="center"/>
          </w:tcPr>
          <w:p>
            <w:pPr>
              <w:spacing w:line="360" w:lineRule="auto"/>
              <w:rPr>
                <w:rFonts w:ascii="宋体" w:hAnsi="宋体"/>
                <w:szCs w:val="21"/>
              </w:rPr>
            </w:pPr>
          </w:p>
        </w:tc>
        <w:tc>
          <w:tcPr>
            <w:tcW w:w="1351" w:type="dxa"/>
            <w:vAlign w:val="center"/>
          </w:tcPr>
          <w:p>
            <w:pPr>
              <w:spacing w:line="360" w:lineRule="auto"/>
              <w:rPr>
                <w:rFonts w:ascii="宋体" w:hAnsi="宋体"/>
                <w:szCs w:val="21"/>
              </w:rPr>
            </w:pPr>
            <w:r>
              <w:rPr>
                <w:rFonts w:ascii="宋体" w:hAnsi="宋体"/>
                <w:szCs w:val="21"/>
              </w:rPr>
              <w:t>准确度</w:t>
            </w:r>
          </w:p>
        </w:tc>
        <w:tc>
          <w:tcPr>
            <w:tcW w:w="5831" w:type="dxa"/>
            <w:vAlign w:val="center"/>
          </w:tcPr>
          <w:p>
            <w:pPr>
              <w:spacing w:line="360" w:lineRule="auto"/>
              <w:rPr>
                <w:rFonts w:ascii="宋体" w:hAnsi="宋体"/>
                <w:szCs w:val="21"/>
              </w:rPr>
            </w:pPr>
            <w:r>
              <w:rPr>
                <w:rFonts w:ascii="宋体" w:hAnsi="宋体"/>
                <w:szCs w:val="21"/>
              </w:rPr>
              <w:t>±0.3m/s(0</w:t>
            </w:r>
            <w:r>
              <w:rPr>
                <w:rFonts w:ascii="宋体" w:hAnsi="宋体" w:hint="eastAsia"/>
                <w:szCs w:val="21"/>
              </w:rPr>
              <w:t>～</w:t>
            </w:r>
            <w:r>
              <w:rPr>
                <w:rFonts w:ascii="宋体" w:hAnsi="宋体"/>
                <w:szCs w:val="21"/>
              </w:rPr>
              <w:t>16m/s)/±2%（16m/s</w:t>
            </w:r>
            <w:r>
              <w:rPr>
                <w:rFonts w:ascii="宋体" w:hAnsi="宋体" w:hint="eastAsia"/>
                <w:szCs w:val="21"/>
              </w:rPr>
              <w:t>～</w:t>
            </w:r>
            <w:r>
              <w:rPr>
                <w:rFonts w:ascii="宋体" w:hAnsi="宋体"/>
                <w:szCs w:val="21"/>
              </w:rPr>
              <w:t>40m/s）/±</w:t>
            </w:r>
            <w:r>
              <w:rPr>
                <w:rFonts w:ascii="宋体" w:hAnsi="宋体" w:hint="eastAsia"/>
                <w:szCs w:val="21"/>
              </w:rPr>
              <w:t>，</w:t>
            </w:r>
            <w:r>
              <w:rPr>
                <w:rFonts w:ascii="宋体" w:hAnsi="宋体"/>
                <w:szCs w:val="21"/>
              </w:rPr>
              <w:t>4%（40m/s</w:t>
            </w:r>
            <w:r>
              <w:rPr>
                <w:rFonts w:ascii="宋体" w:hAnsi="宋体" w:hint="eastAsia"/>
                <w:szCs w:val="21"/>
              </w:rPr>
              <w:t>～</w:t>
            </w:r>
            <w:r>
              <w:rPr>
                <w:rFonts w:ascii="宋体" w:hAnsi="宋体"/>
                <w:szCs w:val="21"/>
              </w:rPr>
              <w:t>60m/s）</w:t>
            </w:r>
          </w:p>
        </w:tc>
      </w:tr>
      <w:tr>
        <w:tblPrEx>
          <w:tblW w:w="0" w:type="auto"/>
          <w:jc w:val="center"/>
          <w:tblCellMar>
            <w:top w:w="0" w:type="dxa"/>
            <w:left w:w="108" w:type="dxa"/>
            <w:bottom w:w="0" w:type="dxa"/>
            <w:right w:w="108" w:type="dxa"/>
          </w:tblCellMar>
        </w:tblPrEx>
        <w:trPr>
          <w:trHeight w:val="76"/>
          <w:jc w:val="center"/>
        </w:trPr>
        <w:tc>
          <w:tcPr>
            <w:tcW w:w="1214" w:type="dxa"/>
            <w:vMerge w:val="restart"/>
            <w:vAlign w:val="center"/>
          </w:tcPr>
          <w:p>
            <w:pPr>
              <w:spacing w:line="360" w:lineRule="auto"/>
              <w:rPr>
                <w:rFonts w:ascii="宋体" w:hAnsi="宋体"/>
                <w:szCs w:val="21"/>
              </w:rPr>
            </w:pPr>
            <w:r>
              <w:rPr>
                <w:rFonts w:ascii="宋体" w:hAnsi="宋体"/>
                <w:szCs w:val="21"/>
              </w:rPr>
              <w:t>气压</w:t>
            </w:r>
          </w:p>
        </w:tc>
        <w:tc>
          <w:tcPr>
            <w:tcW w:w="1351" w:type="dxa"/>
            <w:vAlign w:val="center"/>
          </w:tcPr>
          <w:p>
            <w:pPr>
              <w:spacing w:line="360" w:lineRule="auto"/>
              <w:rPr>
                <w:rFonts w:ascii="宋体" w:hAnsi="宋体"/>
                <w:szCs w:val="21"/>
              </w:rPr>
            </w:pPr>
            <w:r>
              <w:rPr>
                <w:rFonts w:ascii="宋体" w:hAnsi="宋体"/>
                <w:szCs w:val="21"/>
              </w:rPr>
              <w:t>测量范围</w:t>
            </w:r>
          </w:p>
        </w:tc>
        <w:tc>
          <w:tcPr>
            <w:tcW w:w="5831" w:type="dxa"/>
            <w:vAlign w:val="center"/>
          </w:tcPr>
          <w:p>
            <w:pPr>
              <w:spacing w:line="360" w:lineRule="auto"/>
              <w:rPr>
                <w:rFonts w:ascii="宋体" w:hAnsi="宋体"/>
                <w:szCs w:val="21"/>
              </w:rPr>
            </w:pPr>
            <w:r>
              <w:rPr>
                <w:rFonts w:ascii="宋体" w:hAnsi="宋体" w:cs="宋体" w:hint="eastAsia"/>
                <w:szCs w:val="21"/>
              </w:rPr>
              <w:t>5</w:t>
            </w:r>
            <w:r>
              <w:rPr>
                <w:rFonts w:ascii="宋体" w:hAnsi="宋体" w:cs="宋体"/>
                <w:szCs w:val="21"/>
              </w:rPr>
              <w:t>00hPa～1</w:t>
            </w:r>
            <w:r>
              <w:rPr>
                <w:rFonts w:ascii="宋体" w:hAnsi="宋体" w:cs="宋体" w:hint="eastAsia"/>
                <w:szCs w:val="21"/>
              </w:rPr>
              <w:t>1</w:t>
            </w:r>
            <w:r>
              <w:rPr>
                <w:rFonts w:ascii="宋体" w:hAnsi="宋体" w:cs="宋体"/>
                <w:szCs w:val="21"/>
              </w:rPr>
              <w:t>00hPa</w:t>
            </w:r>
          </w:p>
        </w:tc>
      </w:tr>
      <w:tr>
        <w:tblPrEx>
          <w:tblW w:w="0" w:type="auto"/>
          <w:jc w:val="center"/>
          <w:tblCellMar>
            <w:top w:w="0" w:type="dxa"/>
            <w:left w:w="108" w:type="dxa"/>
            <w:bottom w:w="0" w:type="dxa"/>
            <w:right w:w="108" w:type="dxa"/>
          </w:tblCellMar>
        </w:tblPrEx>
        <w:trPr>
          <w:trHeight w:val="75"/>
          <w:jc w:val="center"/>
        </w:trPr>
        <w:tc>
          <w:tcPr>
            <w:tcW w:w="1214" w:type="dxa"/>
            <w:vMerge/>
            <w:vAlign w:val="center"/>
          </w:tcPr>
          <w:p>
            <w:pPr>
              <w:spacing w:line="360" w:lineRule="auto"/>
              <w:rPr>
                <w:rFonts w:ascii="宋体" w:hAnsi="宋体"/>
                <w:szCs w:val="21"/>
              </w:rPr>
            </w:pPr>
          </w:p>
        </w:tc>
        <w:tc>
          <w:tcPr>
            <w:tcW w:w="1351" w:type="dxa"/>
            <w:vAlign w:val="center"/>
          </w:tcPr>
          <w:p>
            <w:pPr>
              <w:spacing w:line="360" w:lineRule="auto"/>
              <w:rPr>
                <w:rFonts w:ascii="宋体" w:hAnsi="宋体"/>
                <w:szCs w:val="21"/>
              </w:rPr>
            </w:pPr>
            <w:r>
              <w:rPr>
                <w:rFonts w:ascii="宋体" w:hAnsi="宋体"/>
                <w:szCs w:val="21"/>
              </w:rPr>
              <w:t>分辨率</w:t>
            </w:r>
          </w:p>
        </w:tc>
        <w:tc>
          <w:tcPr>
            <w:tcW w:w="5831" w:type="dxa"/>
            <w:vAlign w:val="center"/>
          </w:tcPr>
          <w:p>
            <w:pPr>
              <w:spacing w:line="360" w:lineRule="auto"/>
              <w:rPr>
                <w:rFonts w:ascii="宋体" w:hAnsi="宋体"/>
                <w:szCs w:val="21"/>
              </w:rPr>
            </w:pPr>
            <w:r>
              <w:rPr>
                <w:rFonts w:ascii="宋体" w:hAnsi="宋体"/>
                <w:szCs w:val="21"/>
              </w:rPr>
              <w:t>0.1hPa</w:t>
            </w:r>
          </w:p>
        </w:tc>
      </w:tr>
      <w:tr>
        <w:tblPrEx>
          <w:tblW w:w="0" w:type="auto"/>
          <w:jc w:val="center"/>
          <w:tblCellMar>
            <w:top w:w="0" w:type="dxa"/>
            <w:left w:w="108" w:type="dxa"/>
            <w:bottom w:w="0" w:type="dxa"/>
            <w:right w:w="108" w:type="dxa"/>
          </w:tblCellMar>
        </w:tblPrEx>
        <w:trPr>
          <w:trHeight w:val="75"/>
          <w:jc w:val="center"/>
        </w:trPr>
        <w:tc>
          <w:tcPr>
            <w:tcW w:w="1214" w:type="dxa"/>
            <w:vMerge/>
            <w:vAlign w:val="center"/>
          </w:tcPr>
          <w:p>
            <w:pPr>
              <w:spacing w:line="360" w:lineRule="auto"/>
              <w:rPr>
                <w:rFonts w:ascii="宋体" w:hAnsi="宋体"/>
                <w:szCs w:val="21"/>
              </w:rPr>
            </w:pPr>
          </w:p>
        </w:tc>
        <w:tc>
          <w:tcPr>
            <w:tcW w:w="1351" w:type="dxa"/>
            <w:vAlign w:val="center"/>
          </w:tcPr>
          <w:p>
            <w:pPr>
              <w:spacing w:line="360" w:lineRule="auto"/>
              <w:rPr>
                <w:rFonts w:ascii="宋体" w:hAnsi="宋体"/>
                <w:szCs w:val="21"/>
              </w:rPr>
            </w:pPr>
            <w:r>
              <w:rPr>
                <w:rFonts w:ascii="宋体" w:hAnsi="宋体"/>
                <w:szCs w:val="21"/>
              </w:rPr>
              <w:t>准确度</w:t>
            </w:r>
          </w:p>
        </w:tc>
        <w:tc>
          <w:tcPr>
            <w:tcW w:w="5831" w:type="dxa"/>
            <w:vAlign w:val="center"/>
          </w:tcPr>
          <w:p>
            <w:pPr>
              <w:spacing w:line="360" w:lineRule="auto"/>
              <w:rPr>
                <w:rFonts w:ascii="宋体" w:hAnsi="宋体"/>
                <w:szCs w:val="21"/>
              </w:rPr>
            </w:pPr>
            <w:r>
              <w:rPr>
                <w:rFonts w:ascii="宋体" w:hAnsi="宋体"/>
                <w:szCs w:val="21"/>
              </w:rPr>
              <w:t>≤±0.5hPa</w:t>
            </w:r>
          </w:p>
        </w:tc>
      </w:tr>
      <w:tr>
        <w:tblPrEx>
          <w:tblW w:w="0" w:type="auto"/>
          <w:jc w:val="center"/>
          <w:tblCellMar>
            <w:top w:w="0" w:type="dxa"/>
            <w:left w:w="108" w:type="dxa"/>
            <w:bottom w:w="0" w:type="dxa"/>
            <w:right w:w="108" w:type="dxa"/>
          </w:tblCellMar>
        </w:tblPrEx>
        <w:trPr>
          <w:trHeight w:val="95"/>
          <w:jc w:val="center"/>
        </w:trPr>
        <w:tc>
          <w:tcPr>
            <w:tcW w:w="1214" w:type="dxa"/>
            <w:vMerge w:val="restart"/>
            <w:vAlign w:val="center"/>
          </w:tcPr>
          <w:p>
            <w:pPr>
              <w:spacing w:line="360" w:lineRule="auto"/>
              <w:rPr>
                <w:rFonts w:ascii="宋体" w:hAnsi="宋体"/>
                <w:szCs w:val="21"/>
              </w:rPr>
            </w:pPr>
            <w:r>
              <w:rPr>
                <w:rFonts w:ascii="宋体" w:hAnsi="宋体"/>
                <w:szCs w:val="21"/>
              </w:rPr>
              <w:t>雨量</w:t>
            </w:r>
          </w:p>
        </w:tc>
        <w:tc>
          <w:tcPr>
            <w:tcW w:w="1351" w:type="dxa"/>
            <w:vAlign w:val="center"/>
          </w:tcPr>
          <w:p>
            <w:pPr>
              <w:spacing w:line="360" w:lineRule="auto"/>
              <w:rPr>
                <w:rFonts w:ascii="宋体" w:hAnsi="宋体"/>
                <w:szCs w:val="21"/>
              </w:rPr>
            </w:pPr>
            <w:r>
              <w:rPr>
                <w:rFonts w:ascii="宋体" w:hAnsi="宋体"/>
                <w:szCs w:val="21"/>
              </w:rPr>
              <w:t>测量范围</w:t>
            </w:r>
          </w:p>
        </w:tc>
        <w:tc>
          <w:tcPr>
            <w:tcW w:w="5831" w:type="dxa"/>
            <w:vAlign w:val="center"/>
          </w:tcPr>
          <w:p>
            <w:pPr>
              <w:spacing w:line="360" w:lineRule="auto"/>
              <w:rPr>
                <w:rFonts w:ascii="宋体" w:hAnsi="宋体"/>
                <w:szCs w:val="21"/>
              </w:rPr>
            </w:pPr>
            <w:r>
              <w:rPr>
                <w:rFonts w:ascii="宋体" w:hAnsi="宋体"/>
                <w:szCs w:val="21"/>
              </w:rPr>
              <w:t>雨强0mm/min～4mm/min</w:t>
            </w:r>
          </w:p>
        </w:tc>
      </w:tr>
      <w:tr>
        <w:tblPrEx>
          <w:tblW w:w="0" w:type="auto"/>
          <w:jc w:val="center"/>
          <w:tblCellMar>
            <w:top w:w="0" w:type="dxa"/>
            <w:left w:w="108" w:type="dxa"/>
            <w:bottom w:w="0" w:type="dxa"/>
            <w:right w:w="108" w:type="dxa"/>
          </w:tblCellMar>
        </w:tblPrEx>
        <w:trPr>
          <w:trHeight w:val="95"/>
          <w:jc w:val="center"/>
        </w:trPr>
        <w:tc>
          <w:tcPr>
            <w:tcW w:w="1214" w:type="dxa"/>
            <w:vMerge/>
            <w:vAlign w:val="center"/>
          </w:tcPr>
          <w:p>
            <w:pPr>
              <w:spacing w:line="360" w:lineRule="auto"/>
              <w:rPr>
                <w:rFonts w:ascii="宋体" w:hAnsi="宋体"/>
                <w:szCs w:val="21"/>
              </w:rPr>
            </w:pPr>
          </w:p>
        </w:tc>
        <w:tc>
          <w:tcPr>
            <w:tcW w:w="1351" w:type="dxa"/>
            <w:vAlign w:val="center"/>
          </w:tcPr>
          <w:p>
            <w:pPr>
              <w:spacing w:line="360" w:lineRule="auto"/>
              <w:rPr>
                <w:rFonts w:ascii="宋体" w:hAnsi="宋体"/>
                <w:szCs w:val="21"/>
              </w:rPr>
            </w:pPr>
            <w:r>
              <w:rPr>
                <w:rFonts w:ascii="宋体" w:hAnsi="宋体"/>
                <w:szCs w:val="21"/>
              </w:rPr>
              <w:t>分辨率</w:t>
            </w:r>
          </w:p>
        </w:tc>
        <w:tc>
          <w:tcPr>
            <w:tcW w:w="5831" w:type="dxa"/>
            <w:vAlign w:val="center"/>
          </w:tcPr>
          <w:p>
            <w:pPr>
              <w:spacing w:line="360" w:lineRule="auto"/>
              <w:rPr>
                <w:rFonts w:ascii="宋体" w:hAnsi="宋体"/>
                <w:szCs w:val="21"/>
              </w:rPr>
            </w:pPr>
            <w:r>
              <w:rPr>
                <w:rFonts w:ascii="宋体" w:hAnsi="宋体"/>
                <w:szCs w:val="21"/>
              </w:rPr>
              <w:t>0.1mm</w:t>
            </w:r>
          </w:p>
        </w:tc>
      </w:tr>
      <w:tr>
        <w:tblPrEx>
          <w:tblW w:w="0" w:type="auto"/>
          <w:jc w:val="center"/>
          <w:tblCellMar>
            <w:top w:w="0" w:type="dxa"/>
            <w:left w:w="108" w:type="dxa"/>
            <w:bottom w:w="0" w:type="dxa"/>
            <w:right w:w="108" w:type="dxa"/>
          </w:tblCellMar>
        </w:tblPrEx>
        <w:trPr>
          <w:trHeight w:val="95"/>
          <w:jc w:val="center"/>
        </w:trPr>
        <w:tc>
          <w:tcPr>
            <w:tcW w:w="1214" w:type="dxa"/>
            <w:vMerge/>
            <w:vAlign w:val="center"/>
          </w:tcPr>
          <w:p>
            <w:pPr>
              <w:spacing w:line="360" w:lineRule="auto"/>
              <w:rPr>
                <w:rFonts w:ascii="宋体" w:hAnsi="宋体"/>
                <w:szCs w:val="21"/>
              </w:rPr>
            </w:pPr>
          </w:p>
        </w:tc>
        <w:tc>
          <w:tcPr>
            <w:tcW w:w="1351" w:type="dxa"/>
            <w:vAlign w:val="center"/>
          </w:tcPr>
          <w:p>
            <w:pPr>
              <w:spacing w:line="360" w:lineRule="auto"/>
              <w:rPr>
                <w:rFonts w:ascii="宋体" w:hAnsi="宋体"/>
                <w:szCs w:val="21"/>
              </w:rPr>
            </w:pPr>
            <w:r>
              <w:rPr>
                <w:rFonts w:ascii="宋体" w:hAnsi="宋体"/>
                <w:szCs w:val="21"/>
              </w:rPr>
              <w:t>准确度</w:t>
            </w:r>
          </w:p>
        </w:tc>
        <w:tc>
          <w:tcPr>
            <w:tcW w:w="5831" w:type="dxa"/>
            <w:vAlign w:val="center"/>
          </w:tcPr>
          <w:p>
            <w:pPr>
              <w:spacing w:line="360" w:lineRule="auto"/>
              <w:rPr>
                <w:rFonts w:ascii="宋体" w:hAnsi="宋体"/>
                <w:szCs w:val="21"/>
              </w:rPr>
            </w:pPr>
            <w:r>
              <w:rPr>
                <w:rFonts w:ascii="宋体" w:hAnsi="宋体"/>
                <w:szCs w:val="21"/>
              </w:rPr>
              <w:t>≤2mm(小时雨量)：±1mm(绝对误差)；＞2mm(小时雨量):±20%</w:t>
            </w:r>
          </w:p>
        </w:tc>
      </w:tr>
      <w:tr>
        <w:tblPrEx>
          <w:tblW w:w="0" w:type="auto"/>
          <w:jc w:val="center"/>
          <w:tblCellMar>
            <w:top w:w="0" w:type="dxa"/>
            <w:left w:w="108" w:type="dxa"/>
            <w:bottom w:w="0" w:type="dxa"/>
            <w:right w:w="108" w:type="dxa"/>
          </w:tblCellMar>
        </w:tblPrEx>
        <w:trPr>
          <w:jc w:val="center"/>
        </w:trPr>
        <w:tc>
          <w:tcPr>
            <w:tcW w:w="2565" w:type="dxa"/>
            <w:gridSpan w:val="2"/>
            <w:vAlign w:val="center"/>
          </w:tcPr>
          <w:p>
            <w:pPr>
              <w:spacing w:line="360" w:lineRule="auto"/>
              <w:rPr>
                <w:rFonts w:ascii="宋体" w:hAnsi="宋体"/>
                <w:szCs w:val="21"/>
              </w:rPr>
            </w:pPr>
            <w:r>
              <w:rPr>
                <w:rFonts w:ascii="宋体" w:hAnsi="宋体" w:hint="eastAsia"/>
                <w:szCs w:val="21"/>
              </w:rPr>
              <w:t>质保</w:t>
            </w:r>
          </w:p>
        </w:tc>
        <w:tc>
          <w:tcPr>
            <w:tcW w:w="5831" w:type="dxa"/>
            <w:vAlign w:val="center"/>
          </w:tcPr>
          <w:p>
            <w:pPr>
              <w:spacing w:line="360" w:lineRule="auto"/>
              <w:rPr>
                <w:rFonts w:ascii="宋体" w:hAnsi="宋体"/>
                <w:szCs w:val="21"/>
              </w:rPr>
            </w:pPr>
            <w:r>
              <w:rPr>
                <w:rFonts w:ascii="宋体" w:hAnsi="宋体" w:hint="eastAsia"/>
                <w:szCs w:val="21"/>
              </w:rPr>
              <w:t>≥8年</w:t>
            </w:r>
          </w:p>
        </w:tc>
      </w:tr>
    </w:tbl>
    <w:p>
      <w:pPr>
        <w:spacing w:line="360" w:lineRule="auto"/>
        <w:rPr>
          <w:rFonts w:ascii="宋体" w:hAnsi="宋体"/>
          <w:szCs w:val="21"/>
        </w:rPr>
      </w:pPr>
    </w:p>
    <w:p>
      <w:pPr>
        <w:spacing w:line="360" w:lineRule="auto"/>
        <w:outlineLvl w:val="2"/>
        <w:rPr>
          <w:rFonts w:ascii="宋体" w:hAnsi="宋体"/>
          <w:b/>
          <w:bCs/>
          <w:szCs w:val="21"/>
        </w:rPr>
      </w:pPr>
      <w:r>
        <w:rPr>
          <w:rFonts w:ascii="宋体" w:hAnsi="宋体" w:hint="eastAsia"/>
          <w:b/>
          <w:bCs/>
          <w:szCs w:val="21"/>
        </w:rPr>
        <w:t>1.14激光云高仪</w:t>
      </w:r>
    </w:p>
    <w:p>
      <w:pPr>
        <w:spacing w:line="360" w:lineRule="auto"/>
        <w:ind w:firstLine="420" w:firstLineChars="200"/>
        <w:rPr>
          <w:rFonts w:ascii="宋体" w:hAnsi="宋体"/>
          <w:szCs w:val="21"/>
        </w:rPr>
      </w:pPr>
      <w:bookmarkStart w:id="78" w:name="OLE_LINK29"/>
      <w:r>
        <w:rPr>
          <w:rFonts w:ascii="宋体" w:hAnsi="宋体"/>
          <w:szCs w:val="21"/>
        </w:rPr>
        <w:t>提供有效期内的</w:t>
      </w:r>
      <w:r>
        <w:rPr>
          <w:rFonts w:ascii="宋体" w:hAnsi="宋体" w:hint="eastAsia"/>
          <w:szCs w:val="21"/>
        </w:rPr>
        <w:t>中国气象局颁发的该产品《气象专用技术装备使用许可证》</w:t>
      </w:r>
      <w:bookmarkEnd w:id="78"/>
      <w:r>
        <w:rPr>
          <w:rFonts w:ascii="宋体" w:hAnsi="宋体" w:hint="eastAsia"/>
          <w:szCs w:val="21"/>
        </w:rPr>
        <w:t>。</w:t>
      </w:r>
    </w:p>
    <w:p>
      <w:pPr>
        <w:spacing w:line="360" w:lineRule="auto"/>
        <w:ind w:firstLine="420" w:firstLineChars="200"/>
        <w:rPr>
          <w:rFonts w:ascii="宋体" w:hAnsi="宋体"/>
          <w:szCs w:val="21"/>
        </w:rPr>
      </w:pPr>
      <w:r>
        <w:rPr>
          <w:rFonts w:ascii="宋体" w:hAnsi="宋体" w:hint="eastAsia"/>
          <w:szCs w:val="21"/>
        </w:rPr>
        <w:t>激光云高仪包括温控系统、光学系统、信号处理单元、激光发射单元、激光接收单元，能够测量云底高、云厚、云层数量、垂直能见度等参数。具有自动加热吹风控制系统、窗口自动监测系统，安装方便、维护简单，可长期在野外应用，并可以自动探测云高。激光云高仪配有减震安装台，可有效避免载车平台运行振动对测量造成的影响。</w:t>
      </w:r>
      <w:r>
        <w:rPr>
          <w:rFonts w:ascii="宋体" w:hAnsi="宋体"/>
          <w:szCs w:val="21"/>
        </w:rPr>
        <w:t>激光云高仪技术参数应符合或者高于下表要求：</w:t>
      </w:r>
    </w:p>
    <w:p>
      <w:pPr>
        <w:spacing w:line="360" w:lineRule="auto"/>
        <w:jc w:val="center"/>
        <w:rPr>
          <w:rFonts w:ascii="宋体" w:hAnsi="宋体"/>
          <w:b/>
          <w:bCs/>
          <w:szCs w:val="21"/>
        </w:rPr>
      </w:pPr>
      <w:r>
        <w:rPr>
          <w:rFonts w:ascii="宋体" w:hAnsi="宋体"/>
          <w:b/>
          <w:bCs/>
          <w:szCs w:val="21"/>
        </w:rPr>
        <w:t>激光云高仪设备技术参数</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20"/>
        <w:gridCol w:w="2238"/>
        <w:gridCol w:w="533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58"/>
          <w:jc w:val="center"/>
        </w:trPr>
        <w:tc>
          <w:tcPr>
            <w:tcW w:w="3058" w:type="dxa"/>
            <w:gridSpan w:val="2"/>
            <w:vAlign w:val="center"/>
          </w:tcPr>
          <w:p>
            <w:pPr>
              <w:spacing w:line="360" w:lineRule="auto"/>
              <w:jc w:val="left"/>
              <w:rPr>
                <w:rFonts w:ascii="宋体" w:hAnsi="宋体"/>
                <w:szCs w:val="21"/>
              </w:rPr>
            </w:pPr>
            <w:r>
              <w:rPr>
                <w:rFonts w:ascii="宋体" w:hAnsi="宋体" w:hint="eastAsia"/>
                <w:szCs w:val="21"/>
              </w:rPr>
              <w:t>项目</w:t>
            </w:r>
          </w:p>
        </w:tc>
        <w:tc>
          <w:tcPr>
            <w:tcW w:w="5338" w:type="dxa"/>
            <w:vAlign w:val="center"/>
          </w:tcPr>
          <w:p>
            <w:pPr>
              <w:spacing w:line="360" w:lineRule="auto"/>
              <w:jc w:val="left"/>
              <w:rPr>
                <w:rFonts w:ascii="宋体" w:hAnsi="宋体"/>
                <w:szCs w:val="21"/>
              </w:rPr>
            </w:pPr>
            <w:r>
              <w:rPr>
                <w:rFonts w:ascii="宋体" w:hAnsi="宋体" w:hint="eastAsia"/>
                <w:szCs w:val="21"/>
              </w:rPr>
              <w:t>性能指标</w:t>
            </w:r>
          </w:p>
        </w:tc>
      </w:tr>
      <w:tr>
        <w:tblPrEx>
          <w:tblW w:w="0" w:type="auto"/>
          <w:jc w:val="center"/>
          <w:tblCellMar>
            <w:top w:w="0" w:type="dxa"/>
            <w:left w:w="108" w:type="dxa"/>
            <w:bottom w:w="0" w:type="dxa"/>
            <w:right w:w="108" w:type="dxa"/>
          </w:tblCellMar>
        </w:tblPrEx>
        <w:trPr>
          <w:jc w:val="center"/>
        </w:trPr>
        <w:tc>
          <w:tcPr>
            <w:tcW w:w="3058" w:type="dxa"/>
            <w:gridSpan w:val="2"/>
            <w:vAlign w:val="center"/>
          </w:tcPr>
          <w:p>
            <w:pPr>
              <w:spacing w:line="360" w:lineRule="auto"/>
              <w:jc w:val="left"/>
              <w:rPr>
                <w:rFonts w:ascii="宋体" w:hAnsi="宋体"/>
                <w:szCs w:val="21"/>
              </w:rPr>
            </w:pPr>
            <w:r>
              <w:rPr>
                <w:rFonts w:ascii="宋体" w:hAnsi="宋体" w:hint="eastAsia"/>
                <w:szCs w:val="21"/>
              </w:rPr>
              <w:t>测量范围</w:t>
            </w:r>
          </w:p>
        </w:tc>
        <w:tc>
          <w:tcPr>
            <w:tcW w:w="5338" w:type="dxa"/>
            <w:vAlign w:val="center"/>
          </w:tcPr>
          <w:p>
            <w:pPr>
              <w:spacing w:line="360" w:lineRule="auto"/>
              <w:jc w:val="left"/>
              <w:rPr>
                <w:rFonts w:ascii="宋体" w:hAnsi="宋体"/>
                <w:szCs w:val="21"/>
              </w:rPr>
            </w:pPr>
            <w:r>
              <w:rPr>
                <w:rFonts w:ascii="宋体" w:hAnsi="宋体" w:hint="eastAsia"/>
                <w:szCs w:val="21"/>
              </w:rPr>
              <w:t>5m～12km</w:t>
            </w:r>
          </w:p>
        </w:tc>
      </w:tr>
      <w:tr>
        <w:tblPrEx>
          <w:tblW w:w="0" w:type="auto"/>
          <w:jc w:val="center"/>
          <w:tblCellMar>
            <w:top w:w="0" w:type="dxa"/>
            <w:left w:w="108" w:type="dxa"/>
            <w:bottom w:w="0" w:type="dxa"/>
            <w:right w:w="108" w:type="dxa"/>
          </w:tblCellMar>
        </w:tblPrEx>
        <w:trPr>
          <w:trHeight w:val="113"/>
          <w:jc w:val="center"/>
        </w:trPr>
        <w:tc>
          <w:tcPr>
            <w:tcW w:w="820" w:type="dxa"/>
            <w:vMerge w:val="restart"/>
            <w:vAlign w:val="center"/>
          </w:tcPr>
          <w:p>
            <w:pPr>
              <w:spacing w:line="360" w:lineRule="auto"/>
              <w:jc w:val="left"/>
              <w:rPr>
                <w:rFonts w:ascii="宋体" w:hAnsi="宋体"/>
                <w:szCs w:val="21"/>
              </w:rPr>
            </w:pPr>
            <w:r>
              <w:rPr>
                <w:rFonts w:ascii="宋体" w:hAnsi="宋体" w:hint="eastAsia"/>
                <w:szCs w:val="21"/>
              </w:rPr>
              <w:t>准确度</w:t>
            </w:r>
          </w:p>
        </w:tc>
        <w:tc>
          <w:tcPr>
            <w:tcW w:w="2238" w:type="dxa"/>
            <w:vAlign w:val="center"/>
          </w:tcPr>
          <w:p>
            <w:pPr>
              <w:spacing w:line="360" w:lineRule="auto"/>
              <w:jc w:val="left"/>
              <w:rPr>
                <w:rFonts w:ascii="宋体" w:hAnsi="宋体"/>
                <w:szCs w:val="21"/>
              </w:rPr>
            </w:pPr>
            <w:r>
              <w:rPr>
                <w:rFonts w:ascii="宋体" w:hAnsi="宋体" w:hint="eastAsia"/>
                <w:szCs w:val="21"/>
              </w:rPr>
              <w:t>测量精度</w:t>
            </w:r>
          </w:p>
        </w:tc>
        <w:tc>
          <w:tcPr>
            <w:tcW w:w="5338" w:type="dxa"/>
            <w:vAlign w:val="center"/>
          </w:tcPr>
          <w:p>
            <w:pPr>
              <w:spacing w:line="360" w:lineRule="auto"/>
              <w:jc w:val="left"/>
              <w:rPr>
                <w:rFonts w:ascii="宋体" w:hAnsi="宋体"/>
                <w:szCs w:val="21"/>
              </w:rPr>
            </w:pPr>
            <w:r>
              <w:rPr>
                <w:rFonts w:ascii="宋体" w:hAnsi="宋体" w:hint="eastAsia"/>
                <w:szCs w:val="21"/>
              </w:rPr>
              <w:t>＜150m时，±15m，150～300m时，±10%，＞300m时±20%</w:t>
            </w:r>
          </w:p>
        </w:tc>
      </w:tr>
      <w:tr>
        <w:tblPrEx>
          <w:tblW w:w="0" w:type="auto"/>
          <w:jc w:val="center"/>
          <w:tblCellMar>
            <w:top w:w="0" w:type="dxa"/>
            <w:left w:w="108" w:type="dxa"/>
            <w:bottom w:w="0" w:type="dxa"/>
            <w:right w:w="108" w:type="dxa"/>
          </w:tblCellMar>
        </w:tblPrEx>
        <w:trPr>
          <w:trHeight w:val="90"/>
          <w:jc w:val="center"/>
        </w:trPr>
        <w:tc>
          <w:tcPr>
            <w:tcW w:w="820" w:type="dxa"/>
            <w:vMerge/>
            <w:vAlign w:val="center"/>
          </w:tcPr>
          <w:p>
            <w:pPr>
              <w:spacing w:line="360" w:lineRule="auto"/>
              <w:jc w:val="left"/>
              <w:rPr>
                <w:rFonts w:ascii="宋体" w:hAnsi="宋体"/>
                <w:szCs w:val="21"/>
              </w:rPr>
            </w:pPr>
          </w:p>
        </w:tc>
        <w:tc>
          <w:tcPr>
            <w:tcW w:w="2238" w:type="dxa"/>
            <w:vAlign w:val="center"/>
          </w:tcPr>
          <w:p>
            <w:pPr>
              <w:spacing w:line="360" w:lineRule="auto"/>
              <w:jc w:val="left"/>
              <w:rPr>
                <w:rFonts w:ascii="宋体" w:hAnsi="宋体"/>
                <w:szCs w:val="21"/>
              </w:rPr>
            </w:pPr>
            <w:r>
              <w:rPr>
                <w:rFonts w:ascii="宋体" w:hAnsi="宋体" w:hint="eastAsia"/>
                <w:szCs w:val="21"/>
              </w:rPr>
              <w:t>固体目标测量精度</w:t>
            </w:r>
          </w:p>
        </w:tc>
        <w:tc>
          <w:tcPr>
            <w:tcW w:w="5338" w:type="dxa"/>
            <w:vAlign w:val="center"/>
          </w:tcPr>
          <w:p>
            <w:pPr>
              <w:spacing w:line="360" w:lineRule="auto"/>
              <w:jc w:val="left"/>
              <w:rPr>
                <w:rFonts w:ascii="宋体" w:hAnsi="宋体"/>
                <w:szCs w:val="21"/>
              </w:rPr>
            </w:pPr>
            <w:r>
              <w:rPr>
                <w:rFonts w:ascii="宋体" w:hAnsi="宋体" w:hint="eastAsia"/>
                <w:szCs w:val="21"/>
              </w:rPr>
              <w:t>15m</w:t>
            </w:r>
          </w:p>
          <w:p>
            <w:pPr>
              <w:spacing w:line="360" w:lineRule="auto"/>
              <w:jc w:val="left"/>
              <w:rPr>
                <w:rFonts w:ascii="宋体" w:hAnsi="宋体"/>
                <w:szCs w:val="21"/>
              </w:rPr>
            </w:pPr>
            <w:bookmarkStart w:id="79" w:name="OLE_LINK4"/>
            <w:r>
              <w:rPr>
                <w:rFonts w:ascii="宋体" w:hAnsi="宋体" w:hint="eastAsia"/>
                <w:szCs w:val="21"/>
              </w:rPr>
              <w:t>▲</w:t>
            </w:r>
            <w:bookmarkEnd w:id="79"/>
            <w:r>
              <w:rPr>
                <w:rFonts w:ascii="宋体" w:hAnsi="宋体" w:hint="eastAsia"/>
                <w:szCs w:val="21"/>
              </w:rPr>
              <w:t>提供中国气象局考核报告或需</w:t>
            </w:r>
            <w:r>
              <w:rPr>
                <w:rFonts w:ascii="宋体" w:hAnsi="宋体"/>
                <w:szCs w:val="21"/>
              </w:rPr>
              <w:t>提供</w:t>
            </w:r>
            <w:r>
              <w:rPr>
                <w:rFonts w:ascii="宋体" w:hAnsi="宋体" w:hint="eastAsia"/>
                <w:szCs w:val="21"/>
              </w:rPr>
              <w:t>第三方测试报告，第三方测试报告出具单位需具备CNAS及CMA资质</w:t>
            </w:r>
          </w:p>
        </w:tc>
      </w:tr>
      <w:tr>
        <w:tblPrEx>
          <w:tblW w:w="0" w:type="auto"/>
          <w:jc w:val="center"/>
          <w:tblCellMar>
            <w:top w:w="0" w:type="dxa"/>
            <w:left w:w="108" w:type="dxa"/>
            <w:bottom w:w="0" w:type="dxa"/>
            <w:right w:w="108" w:type="dxa"/>
          </w:tblCellMar>
        </w:tblPrEx>
        <w:trPr>
          <w:jc w:val="center"/>
        </w:trPr>
        <w:tc>
          <w:tcPr>
            <w:tcW w:w="3058" w:type="dxa"/>
            <w:gridSpan w:val="2"/>
            <w:vAlign w:val="center"/>
          </w:tcPr>
          <w:p>
            <w:pPr>
              <w:spacing w:line="360" w:lineRule="auto"/>
              <w:jc w:val="left"/>
              <w:rPr>
                <w:rFonts w:ascii="宋体" w:hAnsi="宋体"/>
                <w:szCs w:val="21"/>
              </w:rPr>
            </w:pPr>
            <w:r>
              <w:rPr>
                <w:rFonts w:ascii="宋体" w:hAnsi="宋体" w:hint="eastAsia"/>
                <w:szCs w:val="21"/>
              </w:rPr>
              <w:t>测量周期</w:t>
            </w:r>
          </w:p>
        </w:tc>
        <w:tc>
          <w:tcPr>
            <w:tcW w:w="5338" w:type="dxa"/>
            <w:vAlign w:val="center"/>
          </w:tcPr>
          <w:p>
            <w:pPr>
              <w:spacing w:line="360" w:lineRule="auto"/>
              <w:jc w:val="left"/>
              <w:rPr>
                <w:rFonts w:ascii="宋体" w:hAnsi="宋体"/>
                <w:szCs w:val="21"/>
              </w:rPr>
            </w:pPr>
            <w:r>
              <w:rPr>
                <w:rFonts w:ascii="宋体" w:hAnsi="宋体" w:hint="eastAsia"/>
                <w:szCs w:val="21"/>
              </w:rPr>
              <w:t>30s</w:t>
            </w:r>
          </w:p>
        </w:tc>
      </w:tr>
      <w:tr>
        <w:tblPrEx>
          <w:tblW w:w="0" w:type="auto"/>
          <w:jc w:val="center"/>
          <w:tblCellMar>
            <w:top w:w="0" w:type="dxa"/>
            <w:left w:w="108" w:type="dxa"/>
            <w:bottom w:w="0" w:type="dxa"/>
            <w:right w:w="108" w:type="dxa"/>
          </w:tblCellMar>
        </w:tblPrEx>
        <w:trPr>
          <w:jc w:val="center"/>
        </w:trPr>
        <w:tc>
          <w:tcPr>
            <w:tcW w:w="3058" w:type="dxa"/>
            <w:gridSpan w:val="2"/>
            <w:vAlign w:val="center"/>
          </w:tcPr>
          <w:p>
            <w:pPr>
              <w:spacing w:line="360" w:lineRule="auto"/>
              <w:jc w:val="left"/>
              <w:rPr>
                <w:rFonts w:ascii="宋体" w:hAnsi="宋体"/>
                <w:szCs w:val="21"/>
              </w:rPr>
            </w:pPr>
            <w:r>
              <w:rPr>
                <w:rFonts w:ascii="宋体" w:hAnsi="宋体" w:hint="eastAsia"/>
                <w:szCs w:val="21"/>
              </w:rPr>
              <w:t>测云层数</w:t>
            </w:r>
          </w:p>
        </w:tc>
        <w:tc>
          <w:tcPr>
            <w:tcW w:w="5338" w:type="dxa"/>
            <w:vAlign w:val="center"/>
          </w:tcPr>
          <w:p>
            <w:pPr>
              <w:spacing w:line="360" w:lineRule="auto"/>
              <w:jc w:val="left"/>
              <w:rPr>
                <w:rFonts w:ascii="宋体" w:hAnsi="宋体"/>
                <w:szCs w:val="21"/>
              </w:rPr>
            </w:pPr>
            <w:r>
              <w:rPr>
                <w:rFonts w:ascii="宋体" w:hAnsi="宋体" w:hint="eastAsia"/>
                <w:szCs w:val="21"/>
              </w:rPr>
              <w:t>≥3层</w:t>
            </w:r>
          </w:p>
        </w:tc>
      </w:tr>
      <w:tr>
        <w:tblPrEx>
          <w:tblW w:w="0" w:type="auto"/>
          <w:jc w:val="center"/>
          <w:tblCellMar>
            <w:top w:w="0" w:type="dxa"/>
            <w:left w:w="108" w:type="dxa"/>
            <w:bottom w:w="0" w:type="dxa"/>
            <w:right w:w="108" w:type="dxa"/>
          </w:tblCellMar>
        </w:tblPrEx>
        <w:trPr>
          <w:jc w:val="center"/>
        </w:trPr>
        <w:tc>
          <w:tcPr>
            <w:tcW w:w="3058" w:type="dxa"/>
            <w:gridSpan w:val="2"/>
            <w:vAlign w:val="center"/>
          </w:tcPr>
          <w:p>
            <w:pPr>
              <w:spacing w:line="360" w:lineRule="auto"/>
              <w:jc w:val="left"/>
              <w:rPr>
                <w:rFonts w:ascii="宋体" w:hAnsi="宋体"/>
                <w:szCs w:val="21"/>
              </w:rPr>
            </w:pPr>
            <w:r>
              <w:rPr>
                <w:rFonts w:ascii="宋体" w:hAnsi="宋体" w:hint="eastAsia"/>
                <w:szCs w:val="21"/>
              </w:rPr>
              <w:t>分辨力</w:t>
            </w:r>
          </w:p>
        </w:tc>
        <w:tc>
          <w:tcPr>
            <w:tcW w:w="5338" w:type="dxa"/>
            <w:vAlign w:val="center"/>
          </w:tcPr>
          <w:p>
            <w:pPr>
              <w:spacing w:line="360" w:lineRule="auto"/>
              <w:jc w:val="left"/>
              <w:rPr>
                <w:rFonts w:ascii="宋体" w:hAnsi="宋体"/>
                <w:szCs w:val="21"/>
              </w:rPr>
            </w:pPr>
            <w:r>
              <w:rPr>
                <w:rFonts w:ascii="宋体" w:hAnsi="宋体" w:hint="eastAsia"/>
                <w:szCs w:val="21"/>
              </w:rPr>
              <w:t>5m</w:t>
            </w:r>
          </w:p>
        </w:tc>
      </w:tr>
      <w:tr>
        <w:tblPrEx>
          <w:tblW w:w="0" w:type="auto"/>
          <w:jc w:val="center"/>
          <w:tblCellMar>
            <w:top w:w="0" w:type="dxa"/>
            <w:left w:w="108" w:type="dxa"/>
            <w:bottom w:w="0" w:type="dxa"/>
            <w:right w:w="108" w:type="dxa"/>
          </w:tblCellMar>
        </w:tblPrEx>
        <w:trPr>
          <w:jc w:val="center"/>
        </w:trPr>
        <w:tc>
          <w:tcPr>
            <w:tcW w:w="3058" w:type="dxa"/>
            <w:gridSpan w:val="2"/>
            <w:vAlign w:val="center"/>
          </w:tcPr>
          <w:p>
            <w:pPr>
              <w:spacing w:line="360" w:lineRule="auto"/>
              <w:jc w:val="left"/>
              <w:rPr>
                <w:rFonts w:ascii="宋体" w:hAnsi="宋体"/>
                <w:szCs w:val="21"/>
              </w:rPr>
            </w:pPr>
            <w:r>
              <w:rPr>
                <w:rFonts w:ascii="宋体" w:hAnsi="宋体" w:hint="eastAsia"/>
                <w:szCs w:val="21"/>
              </w:rPr>
              <w:t>功耗</w:t>
            </w:r>
          </w:p>
        </w:tc>
        <w:tc>
          <w:tcPr>
            <w:tcW w:w="5338" w:type="dxa"/>
            <w:vAlign w:val="center"/>
          </w:tcPr>
          <w:p>
            <w:pPr>
              <w:spacing w:line="360" w:lineRule="auto"/>
              <w:jc w:val="left"/>
              <w:rPr>
                <w:rFonts w:ascii="宋体" w:hAnsi="宋体"/>
                <w:szCs w:val="21"/>
              </w:rPr>
            </w:pPr>
            <w:r>
              <w:rPr>
                <w:rFonts w:ascii="宋体" w:hAnsi="宋体" w:hint="eastAsia"/>
                <w:szCs w:val="21"/>
              </w:rPr>
              <w:t>≤10W（不加热时），≤100W（加热时）</w:t>
            </w:r>
          </w:p>
        </w:tc>
      </w:tr>
      <w:tr>
        <w:tblPrEx>
          <w:tblW w:w="0" w:type="auto"/>
          <w:jc w:val="center"/>
          <w:tblCellMar>
            <w:top w:w="0" w:type="dxa"/>
            <w:left w:w="108" w:type="dxa"/>
            <w:bottom w:w="0" w:type="dxa"/>
            <w:right w:w="108" w:type="dxa"/>
          </w:tblCellMar>
        </w:tblPrEx>
        <w:trPr>
          <w:jc w:val="center"/>
        </w:trPr>
        <w:tc>
          <w:tcPr>
            <w:tcW w:w="3058" w:type="dxa"/>
            <w:gridSpan w:val="2"/>
            <w:vAlign w:val="center"/>
          </w:tcPr>
          <w:p>
            <w:pPr>
              <w:spacing w:line="360" w:lineRule="auto"/>
              <w:jc w:val="left"/>
              <w:rPr>
                <w:rFonts w:ascii="宋体" w:hAnsi="宋体"/>
                <w:szCs w:val="21"/>
              </w:rPr>
            </w:pPr>
            <w:r>
              <w:rPr>
                <w:rFonts w:ascii="宋体" w:hAnsi="宋体" w:hint="eastAsia"/>
                <w:szCs w:val="21"/>
              </w:rPr>
              <w:t>重量</w:t>
            </w:r>
          </w:p>
        </w:tc>
        <w:tc>
          <w:tcPr>
            <w:tcW w:w="5338" w:type="dxa"/>
            <w:vAlign w:val="center"/>
          </w:tcPr>
          <w:p>
            <w:pPr>
              <w:spacing w:line="360" w:lineRule="auto"/>
              <w:jc w:val="left"/>
              <w:rPr>
                <w:rFonts w:ascii="宋体" w:hAnsi="宋体"/>
                <w:szCs w:val="21"/>
              </w:rPr>
            </w:pPr>
            <w:r>
              <w:rPr>
                <w:rFonts w:ascii="宋体" w:hAnsi="宋体" w:hint="eastAsia"/>
                <w:szCs w:val="21"/>
              </w:rPr>
              <w:t>≤20kg</w:t>
            </w:r>
          </w:p>
        </w:tc>
      </w:tr>
      <w:tr>
        <w:tblPrEx>
          <w:tblW w:w="0" w:type="auto"/>
          <w:jc w:val="center"/>
          <w:tblCellMar>
            <w:top w:w="0" w:type="dxa"/>
            <w:left w:w="108" w:type="dxa"/>
            <w:bottom w:w="0" w:type="dxa"/>
            <w:right w:w="108" w:type="dxa"/>
          </w:tblCellMar>
        </w:tblPrEx>
        <w:trPr>
          <w:jc w:val="center"/>
        </w:trPr>
        <w:tc>
          <w:tcPr>
            <w:tcW w:w="3058" w:type="dxa"/>
            <w:gridSpan w:val="2"/>
            <w:vAlign w:val="center"/>
          </w:tcPr>
          <w:p>
            <w:pPr>
              <w:spacing w:line="360" w:lineRule="auto"/>
              <w:jc w:val="left"/>
              <w:rPr>
                <w:rFonts w:ascii="宋体" w:hAnsi="宋体"/>
                <w:szCs w:val="21"/>
              </w:rPr>
            </w:pPr>
            <w:r>
              <w:rPr>
                <w:rFonts w:ascii="宋体" w:hAnsi="宋体" w:hint="eastAsia"/>
                <w:szCs w:val="21"/>
              </w:rPr>
              <w:t>防护等级</w:t>
            </w:r>
          </w:p>
        </w:tc>
        <w:tc>
          <w:tcPr>
            <w:tcW w:w="5338" w:type="dxa"/>
            <w:vAlign w:val="center"/>
          </w:tcPr>
          <w:p>
            <w:pPr>
              <w:spacing w:line="360" w:lineRule="auto"/>
              <w:jc w:val="left"/>
              <w:rPr>
                <w:rFonts w:ascii="宋体" w:hAnsi="宋体"/>
                <w:szCs w:val="21"/>
              </w:rPr>
            </w:pPr>
            <w:r>
              <w:rPr>
                <w:rFonts w:ascii="宋体" w:hAnsi="宋体" w:hint="eastAsia"/>
                <w:szCs w:val="21"/>
              </w:rPr>
              <w:t>IP66</w:t>
            </w:r>
          </w:p>
        </w:tc>
      </w:tr>
      <w:tr>
        <w:tblPrEx>
          <w:tblW w:w="0" w:type="auto"/>
          <w:jc w:val="center"/>
          <w:tblCellMar>
            <w:top w:w="0" w:type="dxa"/>
            <w:left w:w="108" w:type="dxa"/>
            <w:bottom w:w="0" w:type="dxa"/>
            <w:right w:w="108" w:type="dxa"/>
          </w:tblCellMar>
        </w:tblPrEx>
        <w:trPr>
          <w:jc w:val="center"/>
        </w:trPr>
        <w:tc>
          <w:tcPr>
            <w:tcW w:w="3058" w:type="dxa"/>
            <w:gridSpan w:val="2"/>
            <w:vAlign w:val="center"/>
          </w:tcPr>
          <w:p>
            <w:pPr>
              <w:spacing w:line="360" w:lineRule="auto"/>
              <w:jc w:val="left"/>
              <w:rPr>
                <w:rFonts w:ascii="宋体" w:hAnsi="宋体"/>
                <w:szCs w:val="21"/>
              </w:rPr>
            </w:pPr>
            <w:r>
              <w:rPr>
                <w:rFonts w:ascii="宋体" w:hAnsi="宋体" w:hint="eastAsia"/>
                <w:szCs w:val="21"/>
              </w:rPr>
              <w:t>工作温度</w:t>
            </w:r>
          </w:p>
        </w:tc>
        <w:tc>
          <w:tcPr>
            <w:tcW w:w="5338" w:type="dxa"/>
            <w:vAlign w:val="center"/>
          </w:tcPr>
          <w:p>
            <w:pPr>
              <w:spacing w:line="360" w:lineRule="auto"/>
              <w:jc w:val="left"/>
              <w:rPr>
                <w:rFonts w:ascii="宋体" w:hAnsi="宋体"/>
                <w:szCs w:val="21"/>
              </w:rPr>
            </w:pPr>
            <w:r>
              <w:rPr>
                <w:rFonts w:ascii="宋体" w:hAnsi="宋体" w:hint="eastAsia"/>
                <w:szCs w:val="21"/>
              </w:rPr>
              <w:t>-45～55℃</w:t>
            </w:r>
          </w:p>
        </w:tc>
      </w:tr>
      <w:tr>
        <w:tblPrEx>
          <w:tblW w:w="0" w:type="auto"/>
          <w:jc w:val="center"/>
          <w:tblCellMar>
            <w:top w:w="0" w:type="dxa"/>
            <w:left w:w="108" w:type="dxa"/>
            <w:bottom w:w="0" w:type="dxa"/>
            <w:right w:w="108" w:type="dxa"/>
          </w:tblCellMar>
        </w:tblPrEx>
        <w:trPr>
          <w:jc w:val="center"/>
        </w:trPr>
        <w:tc>
          <w:tcPr>
            <w:tcW w:w="3058" w:type="dxa"/>
            <w:gridSpan w:val="2"/>
            <w:vAlign w:val="center"/>
          </w:tcPr>
          <w:p>
            <w:pPr>
              <w:spacing w:line="360" w:lineRule="auto"/>
              <w:jc w:val="left"/>
              <w:rPr>
                <w:rFonts w:ascii="宋体" w:hAnsi="宋体"/>
                <w:szCs w:val="21"/>
              </w:rPr>
            </w:pPr>
            <w:r>
              <w:rPr>
                <w:rFonts w:ascii="宋体" w:hAnsi="宋体" w:hint="eastAsia"/>
                <w:szCs w:val="21"/>
              </w:rPr>
              <w:t>工作湿度</w:t>
            </w:r>
          </w:p>
        </w:tc>
        <w:tc>
          <w:tcPr>
            <w:tcW w:w="5338" w:type="dxa"/>
            <w:vAlign w:val="center"/>
          </w:tcPr>
          <w:p>
            <w:pPr>
              <w:spacing w:line="360" w:lineRule="auto"/>
              <w:jc w:val="left"/>
              <w:rPr>
                <w:rFonts w:ascii="宋体" w:hAnsi="宋体"/>
                <w:szCs w:val="21"/>
              </w:rPr>
            </w:pPr>
            <w:r>
              <w:rPr>
                <w:rFonts w:ascii="宋体" w:hAnsi="宋体" w:hint="eastAsia"/>
                <w:szCs w:val="21"/>
              </w:rPr>
              <w:t>0～100%RH</w:t>
            </w:r>
          </w:p>
        </w:tc>
      </w:tr>
      <w:tr>
        <w:tblPrEx>
          <w:tblW w:w="0" w:type="auto"/>
          <w:jc w:val="center"/>
          <w:tblCellMar>
            <w:top w:w="0" w:type="dxa"/>
            <w:left w:w="108" w:type="dxa"/>
            <w:bottom w:w="0" w:type="dxa"/>
            <w:right w:w="108" w:type="dxa"/>
          </w:tblCellMar>
        </w:tblPrEx>
        <w:trPr>
          <w:jc w:val="center"/>
        </w:trPr>
        <w:tc>
          <w:tcPr>
            <w:tcW w:w="3058" w:type="dxa"/>
            <w:gridSpan w:val="2"/>
            <w:vAlign w:val="center"/>
          </w:tcPr>
          <w:p>
            <w:pPr>
              <w:spacing w:line="360" w:lineRule="auto"/>
              <w:jc w:val="left"/>
              <w:rPr>
                <w:rFonts w:ascii="宋体" w:hAnsi="宋体"/>
                <w:szCs w:val="21"/>
              </w:rPr>
            </w:pPr>
            <w:r>
              <w:rPr>
                <w:rFonts w:ascii="宋体" w:hAnsi="宋体" w:hint="eastAsia"/>
                <w:szCs w:val="21"/>
              </w:rPr>
              <w:t>贮存温度</w:t>
            </w:r>
          </w:p>
        </w:tc>
        <w:tc>
          <w:tcPr>
            <w:tcW w:w="5338" w:type="dxa"/>
            <w:vAlign w:val="center"/>
          </w:tcPr>
          <w:p>
            <w:pPr>
              <w:spacing w:line="360" w:lineRule="auto"/>
              <w:jc w:val="left"/>
              <w:rPr>
                <w:rFonts w:ascii="宋体" w:hAnsi="宋体"/>
                <w:szCs w:val="21"/>
              </w:rPr>
            </w:pPr>
            <w:r>
              <w:rPr>
                <w:rFonts w:ascii="宋体" w:hAnsi="宋体" w:hint="eastAsia"/>
                <w:szCs w:val="21"/>
              </w:rPr>
              <w:t>-50～60℃</w:t>
            </w:r>
          </w:p>
        </w:tc>
      </w:tr>
      <w:tr>
        <w:tblPrEx>
          <w:tblW w:w="0" w:type="auto"/>
          <w:jc w:val="center"/>
          <w:tblCellMar>
            <w:top w:w="0" w:type="dxa"/>
            <w:left w:w="108" w:type="dxa"/>
            <w:bottom w:w="0" w:type="dxa"/>
            <w:right w:w="108" w:type="dxa"/>
          </w:tblCellMar>
        </w:tblPrEx>
        <w:trPr>
          <w:jc w:val="center"/>
        </w:trPr>
        <w:tc>
          <w:tcPr>
            <w:tcW w:w="3058" w:type="dxa"/>
            <w:gridSpan w:val="2"/>
            <w:vAlign w:val="center"/>
          </w:tcPr>
          <w:p>
            <w:pPr>
              <w:spacing w:line="360" w:lineRule="auto"/>
              <w:jc w:val="left"/>
              <w:rPr>
                <w:rFonts w:ascii="宋体" w:hAnsi="宋体"/>
                <w:szCs w:val="21"/>
              </w:rPr>
            </w:pPr>
            <w:r>
              <w:rPr>
                <w:rFonts w:ascii="宋体" w:hAnsi="宋体" w:hint="eastAsia"/>
                <w:szCs w:val="21"/>
              </w:rPr>
              <w:t>贮存湿度</w:t>
            </w:r>
          </w:p>
        </w:tc>
        <w:tc>
          <w:tcPr>
            <w:tcW w:w="5338" w:type="dxa"/>
            <w:vAlign w:val="center"/>
          </w:tcPr>
          <w:p>
            <w:pPr>
              <w:spacing w:line="360" w:lineRule="auto"/>
              <w:jc w:val="left"/>
              <w:rPr>
                <w:rFonts w:ascii="宋体" w:hAnsi="宋体"/>
                <w:szCs w:val="21"/>
              </w:rPr>
            </w:pPr>
            <w:r>
              <w:rPr>
                <w:rFonts w:ascii="宋体" w:hAnsi="宋体" w:hint="eastAsia"/>
                <w:szCs w:val="21"/>
              </w:rPr>
              <w:t>0～100%RH</w:t>
            </w:r>
          </w:p>
        </w:tc>
      </w:tr>
      <w:tr>
        <w:tblPrEx>
          <w:tblW w:w="0" w:type="auto"/>
          <w:jc w:val="center"/>
          <w:tblCellMar>
            <w:top w:w="0" w:type="dxa"/>
            <w:left w:w="108" w:type="dxa"/>
            <w:bottom w:w="0" w:type="dxa"/>
            <w:right w:w="108" w:type="dxa"/>
          </w:tblCellMar>
        </w:tblPrEx>
        <w:trPr>
          <w:trHeight w:val="226"/>
          <w:jc w:val="center"/>
        </w:trPr>
        <w:tc>
          <w:tcPr>
            <w:tcW w:w="3058" w:type="dxa"/>
            <w:gridSpan w:val="2"/>
            <w:vMerge w:val="restart"/>
            <w:vAlign w:val="center"/>
          </w:tcPr>
          <w:p>
            <w:pPr>
              <w:spacing w:line="360" w:lineRule="auto"/>
              <w:jc w:val="left"/>
              <w:rPr>
                <w:rFonts w:ascii="宋体" w:hAnsi="宋体"/>
                <w:szCs w:val="21"/>
              </w:rPr>
            </w:pPr>
            <w:r>
              <w:rPr>
                <w:rFonts w:ascii="宋体" w:hAnsi="宋体" w:hint="eastAsia"/>
                <w:szCs w:val="21"/>
              </w:rPr>
              <w:t>环境适应性</w:t>
            </w:r>
          </w:p>
          <w:p>
            <w:pPr>
              <w:spacing w:line="360" w:lineRule="auto"/>
              <w:jc w:val="left"/>
              <w:rPr>
                <w:rFonts w:ascii="宋体" w:hAnsi="宋体"/>
                <w:szCs w:val="21"/>
              </w:rPr>
            </w:pPr>
            <w:r>
              <w:rPr>
                <w:rFonts w:ascii="宋体" w:hAnsi="宋体" w:cs="宋体" w:hint="eastAsia"/>
                <w:szCs w:val="21"/>
              </w:rPr>
              <w:t>▲</w:t>
            </w:r>
            <w:r>
              <w:rPr>
                <w:rFonts w:ascii="宋体" w:hAnsi="宋体" w:hint="eastAsia"/>
                <w:szCs w:val="21"/>
              </w:rPr>
              <w:t>提供第三方测试报告，出具单位需具备CNAS及CMA资质</w:t>
            </w:r>
          </w:p>
        </w:tc>
        <w:tc>
          <w:tcPr>
            <w:tcW w:w="5338" w:type="dxa"/>
            <w:vAlign w:val="center"/>
          </w:tcPr>
          <w:p>
            <w:pPr>
              <w:spacing w:line="360" w:lineRule="auto"/>
              <w:jc w:val="left"/>
              <w:rPr>
                <w:rFonts w:ascii="宋体" w:hAnsi="宋体"/>
                <w:szCs w:val="21"/>
              </w:rPr>
            </w:pPr>
            <w:r>
              <w:rPr>
                <w:rFonts w:ascii="宋体" w:hAnsi="宋体"/>
                <w:szCs w:val="21"/>
              </w:rPr>
              <w:t>满足高温试验、低温试验技术要求</w:t>
            </w:r>
            <w:r>
              <w:rPr>
                <w:rFonts w:ascii="宋体" w:hAnsi="宋体" w:hint="eastAsia"/>
                <w:szCs w:val="21"/>
              </w:rPr>
              <w:t>：</w:t>
            </w:r>
          </w:p>
        </w:tc>
      </w:tr>
      <w:tr>
        <w:tblPrEx>
          <w:tblW w:w="0" w:type="auto"/>
          <w:jc w:val="center"/>
          <w:tblCellMar>
            <w:top w:w="0" w:type="dxa"/>
            <w:left w:w="108" w:type="dxa"/>
            <w:bottom w:w="0" w:type="dxa"/>
            <w:right w:w="108" w:type="dxa"/>
          </w:tblCellMar>
        </w:tblPrEx>
        <w:trPr>
          <w:trHeight w:val="223"/>
          <w:jc w:val="center"/>
        </w:trPr>
        <w:tc>
          <w:tcPr>
            <w:tcW w:w="3058" w:type="dxa"/>
            <w:gridSpan w:val="2"/>
            <w:vMerge/>
            <w:vAlign w:val="center"/>
          </w:tcPr>
          <w:p>
            <w:pPr>
              <w:spacing w:line="360" w:lineRule="auto"/>
              <w:jc w:val="left"/>
              <w:rPr>
                <w:rFonts w:ascii="宋体" w:hAnsi="宋体"/>
                <w:szCs w:val="21"/>
              </w:rPr>
            </w:pPr>
          </w:p>
        </w:tc>
        <w:tc>
          <w:tcPr>
            <w:tcW w:w="5338" w:type="dxa"/>
            <w:vAlign w:val="center"/>
          </w:tcPr>
          <w:p>
            <w:pPr>
              <w:spacing w:line="360" w:lineRule="auto"/>
              <w:jc w:val="left"/>
              <w:rPr>
                <w:rFonts w:ascii="宋体" w:hAnsi="宋体"/>
                <w:szCs w:val="21"/>
              </w:rPr>
            </w:pPr>
            <w:r>
              <w:rPr>
                <w:rFonts w:ascii="宋体" w:hAnsi="宋体"/>
                <w:szCs w:val="21"/>
              </w:rPr>
              <w:t>满足湿热试验技术要求</w:t>
            </w:r>
            <w:r>
              <w:rPr>
                <w:rFonts w:ascii="宋体" w:hAnsi="宋体" w:hint="eastAsia"/>
                <w:szCs w:val="21"/>
              </w:rPr>
              <w:t>：</w:t>
            </w:r>
          </w:p>
        </w:tc>
      </w:tr>
      <w:tr>
        <w:tblPrEx>
          <w:tblW w:w="0" w:type="auto"/>
          <w:jc w:val="center"/>
          <w:tblCellMar>
            <w:top w:w="0" w:type="dxa"/>
            <w:left w:w="108" w:type="dxa"/>
            <w:bottom w:w="0" w:type="dxa"/>
            <w:right w:w="108" w:type="dxa"/>
          </w:tblCellMar>
        </w:tblPrEx>
        <w:trPr>
          <w:trHeight w:val="223"/>
          <w:jc w:val="center"/>
        </w:trPr>
        <w:tc>
          <w:tcPr>
            <w:tcW w:w="3058" w:type="dxa"/>
            <w:gridSpan w:val="2"/>
            <w:vMerge/>
            <w:vAlign w:val="center"/>
          </w:tcPr>
          <w:p>
            <w:pPr>
              <w:spacing w:line="360" w:lineRule="auto"/>
              <w:jc w:val="left"/>
              <w:rPr>
                <w:rFonts w:ascii="宋体" w:hAnsi="宋体"/>
                <w:szCs w:val="21"/>
              </w:rPr>
            </w:pPr>
          </w:p>
        </w:tc>
        <w:tc>
          <w:tcPr>
            <w:tcW w:w="5338" w:type="dxa"/>
            <w:vAlign w:val="center"/>
          </w:tcPr>
          <w:p>
            <w:pPr>
              <w:spacing w:line="360" w:lineRule="auto"/>
              <w:jc w:val="left"/>
              <w:rPr>
                <w:rFonts w:ascii="宋体" w:hAnsi="宋体"/>
                <w:szCs w:val="21"/>
              </w:rPr>
            </w:pPr>
            <w:bookmarkStart w:id="80" w:name="OLE_LINK3"/>
            <w:r>
              <w:rPr>
                <w:rFonts w:ascii="宋体" w:hAnsi="宋体"/>
                <w:szCs w:val="21"/>
              </w:rPr>
              <w:t>满足振动试验技术要求</w:t>
            </w:r>
            <w:r>
              <w:rPr>
                <w:rFonts w:ascii="宋体" w:hAnsi="宋体" w:hint="eastAsia"/>
                <w:szCs w:val="21"/>
              </w:rPr>
              <w:t>：</w:t>
            </w:r>
            <w:bookmarkEnd w:id="80"/>
          </w:p>
        </w:tc>
      </w:tr>
      <w:tr>
        <w:tblPrEx>
          <w:tblW w:w="0" w:type="auto"/>
          <w:jc w:val="center"/>
          <w:tblCellMar>
            <w:top w:w="0" w:type="dxa"/>
            <w:left w:w="108" w:type="dxa"/>
            <w:bottom w:w="0" w:type="dxa"/>
            <w:right w:w="108" w:type="dxa"/>
          </w:tblCellMar>
        </w:tblPrEx>
        <w:trPr>
          <w:trHeight w:val="223"/>
          <w:jc w:val="center"/>
        </w:trPr>
        <w:tc>
          <w:tcPr>
            <w:tcW w:w="3058" w:type="dxa"/>
            <w:gridSpan w:val="2"/>
            <w:vMerge/>
            <w:vAlign w:val="center"/>
          </w:tcPr>
          <w:p>
            <w:pPr>
              <w:spacing w:line="360" w:lineRule="auto"/>
              <w:jc w:val="left"/>
              <w:rPr>
                <w:rFonts w:ascii="宋体" w:hAnsi="宋体"/>
                <w:szCs w:val="21"/>
              </w:rPr>
            </w:pPr>
          </w:p>
        </w:tc>
        <w:tc>
          <w:tcPr>
            <w:tcW w:w="5338" w:type="dxa"/>
            <w:vAlign w:val="center"/>
          </w:tcPr>
          <w:p>
            <w:pPr>
              <w:spacing w:line="360" w:lineRule="auto"/>
              <w:jc w:val="left"/>
              <w:rPr>
                <w:rFonts w:ascii="宋体" w:hAnsi="宋体"/>
                <w:szCs w:val="21"/>
              </w:rPr>
            </w:pPr>
            <w:bookmarkStart w:id="81" w:name="OLE_LINK5"/>
            <w:r>
              <w:rPr>
                <w:rFonts w:ascii="宋体" w:hAnsi="宋体"/>
                <w:szCs w:val="21"/>
              </w:rPr>
              <w:t>满足</w:t>
            </w:r>
            <w:r>
              <w:rPr>
                <w:rFonts w:ascii="宋体" w:hAnsi="宋体" w:hint="eastAsia"/>
                <w:szCs w:val="21"/>
              </w:rPr>
              <w:t>盐雾</w:t>
            </w:r>
            <w:r>
              <w:rPr>
                <w:rFonts w:ascii="宋体" w:hAnsi="宋体"/>
                <w:szCs w:val="21"/>
              </w:rPr>
              <w:t>试验技术要求：</w:t>
            </w:r>
            <w:bookmarkEnd w:id="81"/>
          </w:p>
        </w:tc>
      </w:tr>
      <w:tr>
        <w:tblPrEx>
          <w:tblW w:w="0" w:type="auto"/>
          <w:jc w:val="center"/>
          <w:tblCellMar>
            <w:top w:w="0" w:type="dxa"/>
            <w:left w:w="108" w:type="dxa"/>
            <w:bottom w:w="0" w:type="dxa"/>
            <w:right w:w="108" w:type="dxa"/>
          </w:tblCellMar>
        </w:tblPrEx>
        <w:trPr>
          <w:trHeight w:val="223"/>
          <w:jc w:val="center"/>
        </w:trPr>
        <w:tc>
          <w:tcPr>
            <w:tcW w:w="3058" w:type="dxa"/>
            <w:gridSpan w:val="2"/>
            <w:vMerge/>
            <w:vAlign w:val="center"/>
          </w:tcPr>
          <w:p>
            <w:pPr>
              <w:spacing w:line="360" w:lineRule="auto"/>
              <w:jc w:val="left"/>
              <w:rPr>
                <w:rFonts w:ascii="宋体" w:hAnsi="宋体"/>
                <w:szCs w:val="21"/>
              </w:rPr>
            </w:pPr>
          </w:p>
        </w:tc>
        <w:tc>
          <w:tcPr>
            <w:tcW w:w="5338" w:type="dxa"/>
            <w:vAlign w:val="center"/>
          </w:tcPr>
          <w:p>
            <w:pPr>
              <w:spacing w:line="360" w:lineRule="auto"/>
              <w:jc w:val="left"/>
              <w:rPr>
                <w:rFonts w:ascii="宋体" w:hAnsi="宋体"/>
                <w:szCs w:val="21"/>
              </w:rPr>
            </w:pPr>
            <w:bookmarkStart w:id="82" w:name="OLE_LINK6"/>
            <w:r>
              <w:rPr>
                <w:rFonts w:ascii="宋体" w:hAnsi="宋体"/>
                <w:szCs w:val="21"/>
              </w:rPr>
              <w:t>满足</w:t>
            </w:r>
            <w:r>
              <w:rPr>
                <w:rFonts w:ascii="宋体" w:hAnsi="宋体" w:hint="eastAsia"/>
                <w:szCs w:val="21"/>
              </w:rPr>
              <w:t>低气压</w:t>
            </w:r>
            <w:r>
              <w:rPr>
                <w:rFonts w:ascii="宋体" w:hAnsi="宋体"/>
                <w:szCs w:val="21"/>
              </w:rPr>
              <w:t>试验技术要求：</w:t>
            </w:r>
            <w:bookmarkEnd w:id="82"/>
          </w:p>
        </w:tc>
      </w:tr>
      <w:tr>
        <w:tblPrEx>
          <w:tblW w:w="0" w:type="auto"/>
          <w:jc w:val="center"/>
          <w:tblCellMar>
            <w:top w:w="0" w:type="dxa"/>
            <w:left w:w="108" w:type="dxa"/>
            <w:bottom w:w="0" w:type="dxa"/>
            <w:right w:w="108" w:type="dxa"/>
          </w:tblCellMar>
        </w:tblPrEx>
        <w:trPr>
          <w:trHeight w:val="223"/>
          <w:jc w:val="center"/>
        </w:trPr>
        <w:tc>
          <w:tcPr>
            <w:tcW w:w="3058" w:type="dxa"/>
            <w:gridSpan w:val="2"/>
            <w:vMerge/>
            <w:vAlign w:val="center"/>
          </w:tcPr>
          <w:p>
            <w:pPr>
              <w:spacing w:line="360" w:lineRule="auto"/>
              <w:jc w:val="left"/>
              <w:rPr>
                <w:rFonts w:ascii="宋体" w:hAnsi="宋体"/>
                <w:szCs w:val="21"/>
              </w:rPr>
            </w:pPr>
          </w:p>
        </w:tc>
        <w:tc>
          <w:tcPr>
            <w:tcW w:w="5338" w:type="dxa"/>
            <w:vAlign w:val="center"/>
          </w:tcPr>
          <w:p>
            <w:pPr>
              <w:spacing w:line="360" w:lineRule="auto"/>
              <w:jc w:val="left"/>
              <w:rPr>
                <w:rFonts w:ascii="宋体" w:hAnsi="宋体"/>
                <w:szCs w:val="21"/>
              </w:rPr>
            </w:pPr>
            <w:r>
              <w:rPr>
                <w:rFonts w:ascii="宋体" w:hAnsi="宋体"/>
                <w:szCs w:val="21"/>
              </w:rPr>
              <w:t>满足</w:t>
            </w:r>
            <w:r>
              <w:rPr>
                <w:rFonts w:ascii="宋体" w:hAnsi="宋体" w:hint="eastAsia"/>
                <w:szCs w:val="21"/>
              </w:rPr>
              <w:t>冲击</w:t>
            </w:r>
            <w:r>
              <w:rPr>
                <w:rFonts w:ascii="宋体" w:hAnsi="宋体"/>
                <w:szCs w:val="21"/>
              </w:rPr>
              <w:t>试验技术要求：</w:t>
            </w:r>
          </w:p>
        </w:tc>
      </w:tr>
      <w:tr>
        <w:tblPrEx>
          <w:tblW w:w="0" w:type="auto"/>
          <w:jc w:val="center"/>
          <w:tblCellMar>
            <w:top w:w="0" w:type="dxa"/>
            <w:left w:w="108" w:type="dxa"/>
            <w:bottom w:w="0" w:type="dxa"/>
            <w:right w:w="108" w:type="dxa"/>
          </w:tblCellMar>
        </w:tblPrEx>
        <w:trPr>
          <w:trHeight w:val="223"/>
          <w:jc w:val="center"/>
        </w:trPr>
        <w:tc>
          <w:tcPr>
            <w:tcW w:w="3058" w:type="dxa"/>
            <w:gridSpan w:val="2"/>
            <w:vAlign w:val="center"/>
          </w:tcPr>
          <w:p>
            <w:pPr>
              <w:spacing w:line="360" w:lineRule="auto"/>
              <w:jc w:val="left"/>
              <w:rPr>
                <w:rFonts w:ascii="宋体" w:hAnsi="宋体"/>
                <w:szCs w:val="21"/>
              </w:rPr>
            </w:pPr>
            <w:r>
              <w:rPr>
                <w:rFonts w:ascii="宋体" w:hAnsi="宋体" w:hint="eastAsia"/>
                <w:szCs w:val="21"/>
              </w:rPr>
              <w:t>质保</w:t>
            </w:r>
          </w:p>
        </w:tc>
        <w:tc>
          <w:tcPr>
            <w:tcW w:w="5338" w:type="dxa"/>
            <w:vAlign w:val="center"/>
          </w:tcPr>
          <w:p>
            <w:pPr>
              <w:spacing w:line="360" w:lineRule="auto"/>
              <w:jc w:val="left"/>
              <w:rPr>
                <w:rFonts w:ascii="宋体" w:hAnsi="宋体"/>
                <w:szCs w:val="21"/>
              </w:rPr>
            </w:pPr>
            <w:r>
              <w:rPr>
                <w:rFonts w:ascii="宋体" w:hAnsi="宋体" w:hint="eastAsia"/>
                <w:szCs w:val="21"/>
              </w:rPr>
              <w:t>≥8年</w:t>
            </w:r>
          </w:p>
        </w:tc>
      </w:tr>
    </w:tbl>
    <w:p>
      <w:pPr>
        <w:tabs>
          <w:tab w:val="left" w:pos="7300"/>
        </w:tabs>
        <w:spacing w:line="360" w:lineRule="auto"/>
        <w:jc w:val="left"/>
        <w:rPr>
          <w:rFonts w:ascii="宋体" w:hAnsi="宋体"/>
          <w:szCs w:val="21"/>
        </w:rPr>
      </w:pPr>
      <w:r>
        <w:rPr>
          <w:rFonts w:ascii="宋体" w:hAnsi="宋体" w:hint="eastAsia"/>
          <w:szCs w:val="21"/>
        </w:rPr>
        <w:tab/>
      </w:r>
    </w:p>
    <w:p>
      <w:pPr>
        <w:spacing w:line="360" w:lineRule="auto"/>
        <w:outlineLvl w:val="2"/>
        <w:rPr>
          <w:rFonts w:ascii="宋体" w:hAnsi="宋体"/>
          <w:b/>
          <w:bCs/>
          <w:szCs w:val="21"/>
        </w:rPr>
      </w:pPr>
      <w:r>
        <w:rPr>
          <w:rFonts w:ascii="宋体" w:hAnsi="宋体" w:hint="eastAsia"/>
          <w:b/>
          <w:bCs/>
          <w:szCs w:val="21"/>
        </w:rPr>
        <w:t>1.15毫米波云雷达（全固态Ka波段双偏振云雷达）</w:t>
      </w:r>
    </w:p>
    <w:p>
      <w:pPr>
        <w:spacing w:line="360" w:lineRule="auto"/>
        <w:rPr>
          <w:rFonts w:ascii="宋体" w:hAnsi="宋体"/>
          <w:szCs w:val="21"/>
        </w:rPr>
      </w:pPr>
      <w:r>
        <w:rPr>
          <w:rFonts w:ascii="宋体" w:hAnsi="宋体"/>
          <w:szCs w:val="21"/>
        </w:rPr>
        <w:t>提供有效期内的</w:t>
      </w:r>
      <w:r>
        <w:rPr>
          <w:rFonts w:ascii="宋体" w:hAnsi="宋体" w:hint="eastAsia"/>
          <w:szCs w:val="21"/>
        </w:rPr>
        <w:t>中国气象局颁发的该产品《气象专用技术装备使用许可证》。</w:t>
      </w:r>
    </w:p>
    <w:p>
      <w:pPr>
        <w:spacing w:line="360" w:lineRule="auto"/>
        <w:rPr>
          <w:rFonts w:ascii="宋体" w:hAnsi="宋体"/>
          <w:b/>
          <w:szCs w:val="21"/>
        </w:rPr>
      </w:pPr>
      <w:bookmarkStart w:id="83" w:name="_Toc15246"/>
      <w:r>
        <w:rPr>
          <w:rFonts w:ascii="宋体" w:hAnsi="宋体" w:hint="eastAsia"/>
          <w:b/>
          <w:szCs w:val="21"/>
        </w:rPr>
        <w:t>1.15.1.功能要求</w:t>
      </w:r>
      <w:bookmarkEnd w:id="83"/>
    </w:p>
    <w:p>
      <w:pPr>
        <w:spacing w:line="360" w:lineRule="auto"/>
        <w:rPr>
          <w:rFonts w:ascii="宋体" w:hAnsi="宋体"/>
          <w:szCs w:val="21"/>
        </w:rPr>
      </w:pPr>
      <w:bookmarkStart w:id="84" w:name="_Toc7562"/>
      <w:r>
        <w:rPr>
          <w:rFonts w:ascii="宋体" w:hAnsi="宋体" w:hint="eastAsia"/>
          <w:szCs w:val="21"/>
        </w:rPr>
        <w:t>全固态Ka波段双偏振云雷达总体功能要求</w:t>
      </w:r>
      <w:bookmarkEnd w:id="84"/>
    </w:p>
    <w:p>
      <w:pPr>
        <w:spacing w:line="360" w:lineRule="auto"/>
        <w:rPr>
          <w:rFonts w:ascii="宋体" w:hAnsi="宋体"/>
          <w:szCs w:val="21"/>
        </w:rPr>
      </w:pPr>
      <w:r>
        <w:rPr>
          <w:rFonts w:ascii="宋体" w:hAnsi="宋体" w:hint="eastAsia"/>
          <w:szCs w:val="21"/>
        </w:rPr>
        <w:t>扫描型云雷达采用双发双收偏振体制，支持单发双收偏振工作模式。云雷达具有机内标定功能，并可根据标定结果对探测数据进行修正以保证其准确性。具有扩展通信模块接口，通过扩展模块可实现设备状态信息的收集处理，满足状态信息的高速和低时延加密传输，并且可以进行双向通信和远程控制。</w:t>
      </w:r>
    </w:p>
    <w:p>
      <w:pPr>
        <w:spacing w:line="360" w:lineRule="auto"/>
        <w:rPr>
          <w:rFonts w:ascii="宋体" w:hAnsi="宋体"/>
          <w:szCs w:val="21"/>
        </w:rPr>
      </w:pPr>
      <w:r>
        <w:rPr>
          <w:rFonts w:ascii="宋体" w:hAnsi="宋体" w:hint="eastAsia"/>
          <w:szCs w:val="21"/>
        </w:rPr>
        <w:t>扫描型云雷达的天线分系统、馈线分系统、收发分系统、供电分系统通过支撑件与伺服转台分系统连接，伺服转台分系统与安装立柱连接固定，实现俯仰-2~182°、方位0~360°立体观测。</w:t>
      </w:r>
    </w:p>
    <w:p>
      <w:pPr>
        <w:spacing w:line="360" w:lineRule="auto"/>
        <w:rPr>
          <w:rFonts w:ascii="宋体" w:hAnsi="宋体"/>
          <w:szCs w:val="21"/>
        </w:rPr>
      </w:pPr>
      <w:r>
        <w:rPr>
          <w:rFonts w:ascii="宋体" w:hAnsi="宋体" w:hint="eastAsia"/>
          <w:szCs w:val="21"/>
        </w:rPr>
        <w:t>扫描型云雷达除伺服转台分系统和远程电源控制器安装位置以外，其余接口和布线均应当保持一致。各分系统尺寸误差控制在±5%以内。</w:t>
      </w:r>
    </w:p>
    <w:p>
      <w:pPr>
        <w:pStyle w:val="Heading8"/>
        <w:spacing w:line="360" w:lineRule="auto"/>
        <w:rPr>
          <w:rFonts w:ascii="宋体" w:hAnsi="宋体"/>
          <w:color w:val="auto"/>
          <w:szCs w:val="21"/>
        </w:rPr>
      </w:pPr>
      <w:r>
        <w:rPr>
          <w:rFonts w:ascii="宋体" w:hAnsi="宋体" w:hint="eastAsia"/>
          <w:color w:val="auto"/>
          <w:szCs w:val="21"/>
        </w:rPr>
        <w:t>1.15.2总体技术要求</w:t>
      </w:r>
    </w:p>
    <w:p>
      <w:pPr>
        <w:spacing w:line="360" w:lineRule="auto"/>
        <w:ind w:firstLine="420" w:firstLineChars="200"/>
        <w:rPr>
          <w:rFonts w:ascii="宋体" w:hAnsi="宋体" w:cs="宋体"/>
          <w:szCs w:val="21"/>
        </w:rPr>
      </w:pPr>
      <w:r>
        <w:rPr>
          <w:rFonts w:ascii="宋体" w:hAnsi="宋体" w:cs="宋体" w:hint="eastAsia"/>
          <w:szCs w:val="21"/>
        </w:rPr>
        <w:t>具体指标见下表。</w:t>
      </w:r>
    </w:p>
    <w:p>
      <w:pPr>
        <w:pStyle w:val="a2"/>
        <w:spacing w:line="360" w:lineRule="auto"/>
        <w:rPr>
          <w:rFonts w:ascii="宋体" w:hAnsi="宋体" w:cs="等线"/>
          <w:szCs w:val="21"/>
        </w:rPr>
      </w:pPr>
      <w:r>
        <w:rPr>
          <w:rFonts w:ascii="宋体" w:hAnsi="宋体" w:cs="等线" w:hint="eastAsia"/>
          <w:szCs w:val="21"/>
        </w:rPr>
        <w:t>表1 总体技术指标表</w:t>
      </w:r>
    </w:p>
    <w:tbl>
      <w:tblPr>
        <w:tblStyle w:val="TableNormal0"/>
        <w:tblW w:w="859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7"/>
        <w:gridCol w:w="1979"/>
        <w:gridCol w:w="1561"/>
        <w:gridCol w:w="7"/>
        <w:gridCol w:w="5030"/>
        <w:gridCol w:w="7"/>
      </w:tblGrid>
      <w:tr>
        <w:tblPrEx>
          <w:tblW w:w="859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gridAfter w:val="1"/>
          <w:wAfter w:w="7" w:type="dxa"/>
          <w:trHeight w:val="242"/>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项目</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性能指标</w:t>
            </w:r>
          </w:p>
        </w:tc>
      </w:tr>
      <w:tr>
        <w:tblPrEx>
          <w:tblW w:w="8591" w:type="dxa"/>
          <w:tblInd w:w="2" w:type="dxa"/>
          <w:tblLayout w:type="fixed"/>
          <w:tblCellMar>
            <w:top w:w="0" w:type="dxa"/>
            <w:left w:w="0" w:type="dxa"/>
            <w:bottom w:w="0" w:type="dxa"/>
            <w:right w:w="0" w:type="dxa"/>
          </w:tblCellMar>
        </w:tblPrEx>
        <w:trPr>
          <w:gridAfter w:val="1"/>
          <w:wAfter w:w="7" w:type="dxa"/>
          <w:trHeight w:val="240"/>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偏振类型</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双发双收线偏振（支持单发双收线偏振）</w:t>
            </w:r>
          </w:p>
        </w:tc>
      </w:tr>
      <w:tr>
        <w:tblPrEx>
          <w:tblW w:w="8591" w:type="dxa"/>
          <w:tblInd w:w="2" w:type="dxa"/>
          <w:tblLayout w:type="fixed"/>
          <w:tblCellMar>
            <w:top w:w="0" w:type="dxa"/>
            <w:left w:w="0" w:type="dxa"/>
            <w:bottom w:w="0" w:type="dxa"/>
            <w:right w:w="0" w:type="dxa"/>
          </w:tblCellMar>
        </w:tblPrEx>
        <w:trPr>
          <w:gridAfter w:val="1"/>
          <w:wAfter w:w="7" w:type="dxa"/>
          <w:trHeight w:val="240"/>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发射机形式</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全固态</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工作频率</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34.5GHz～35.5GHz 范围频点可选，带宽≤200MHz</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整机寿命</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≥8 年</w:t>
            </w:r>
          </w:p>
        </w:tc>
      </w:tr>
      <w:tr>
        <w:tblPrEx>
          <w:tblW w:w="8591" w:type="dxa"/>
          <w:tblInd w:w="2" w:type="dxa"/>
          <w:tblLayout w:type="fixed"/>
          <w:tblCellMar>
            <w:top w:w="0" w:type="dxa"/>
            <w:left w:w="0" w:type="dxa"/>
            <w:bottom w:w="0" w:type="dxa"/>
            <w:right w:w="0" w:type="dxa"/>
          </w:tblCellMar>
        </w:tblPrEx>
        <w:trPr>
          <w:gridAfter w:val="1"/>
          <w:wAfter w:w="7" w:type="dxa"/>
          <w:trHeight w:val="242"/>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探测距离范围</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警戒≥20km，定量≥15km</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近距离盲区范围</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≤150m</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1986" w:type="dxa"/>
            <w:gridSpan w:val="2"/>
            <w:vMerge w:val="restart"/>
            <w:tcBorders>
              <w:bottom w:val="nil"/>
            </w:tcBorders>
          </w:tcPr>
          <w:p>
            <w:pPr>
              <w:spacing w:line="360" w:lineRule="auto"/>
              <w:rPr>
                <w:rFonts w:ascii="宋体" w:eastAsia="等线" w:hAnsi="宋体" w:cs="宋体"/>
                <w:szCs w:val="21"/>
              </w:rPr>
            </w:pPr>
          </w:p>
          <w:p>
            <w:pPr>
              <w:spacing w:line="360" w:lineRule="auto"/>
              <w:rPr>
                <w:rFonts w:ascii="宋体" w:eastAsia="等线" w:hAnsi="宋体" w:cs="宋体"/>
                <w:szCs w:val="21"/>
              </w:rPr>
            </w:pPr>
          </w:p>
          <w:p>
            <w:pPr>
              <w:spacing w:line="360" w:lineRule="auto"/>
              <w:rPr>
                <w:rFonts w:ascii="宋体" w:eastAsia="等线" w:hAnsi="宋体" w:cs="宋体"/>
                <w:szCs w:val="21"/>
              </w:rPr>
            </w:pPr>
          </w:p>
          <w:p>
            <w:pPr>
              <w:spacing w:line="360" w:lineRule="auto"/>
              <w:rPr>
                <w:rFonts w:ascii="宋体" w:eastAsia="等线" w:hAnsi="宋体" w:cs="宋体"/>
                <w:szCs w:val="21"/>
              </w:rPr>
            </w:pPr>
            <w:r>
              <w:rPr>
                <w:rFonts w:ascii="宋体" w:eastAsia="等线" w:hAnsi="宋体" w:cs="宋体" w:hint="eastAsia"/>
                <w:szCs w:val="21"/>
              </w:rPr>
              <w:t>基数据产品测量范围</w:t>
            </w:r>
          </w:p>
        </w:tc>
        <w:tc>
          <w:tcPr>
            <w:tcW w:w="1561" w:type="dxa"/>
          </w:tcPr>
          <w:p>
            <w:pPr>
              <w:spacing w:line="360" w:lineRule="auto"/>
              <w:rPr>
                <w:rFonts w:ascii="宋体" w:eastAsia="等线" w:hAnsi="宋体" w:cs="宋体"/>
                <w:szCs w:val="21"/>
              </w:rPr>
            </w:pPr>
            <w:r>
              <w:rPr>
                <w:rFonts w:ascii="宋体" w:eastAsia="等线" w:hAnsi="宋体" w:cs="宋体" w:hint="eastAsia"/>
                <w:szCs w:val="21"/>
              </w:rPr>
              <w:t>反射率因子</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-45dBZ～+35dBZ</w:t>
            </w:r>
          </w:p>
        </w:tc>
      </w:tr>
      <w:tr>
        <w:tblPrEx>
          <w:tblW w:w="8591" w:type="dxa"/>
          <w:tblInd w:w="2" w:type="dxa"/>
          <w:tblLayout w:type="fixed"/>
          <w:tblCellMar>
            <w:top w:w="0" w:type="dxa"/>
            <w:left w:w="0" w:type="dxa"/>
            <w:bottom w:w="0" w:type="dxa"/>
            <w:right w:w="0" w:type="dxa"/>
          </w:tblCellMar>
        </w:tblPrEx>
        <w:trPr>
          <w:gridAfter w:val="1"/>
          <w:wAfter w:w="7" w:type="dxa"/>
          <w:trHeight w:val="240"/>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径向速度</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-17m/s～+17m/s</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速度谱宽</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0m/s～8m/s</w:t>
            </w:r>
          </w:p>
        </w:tc>
      </w:tr>
      <w:tr>
        <w:tblPrEx>
          <w:tblW w:w="8591" w:type="dxa"/>
          <w:tblInd w:w="2" w:type="dxa"/>
          <w:tblLayout w:type="fixed"/>
          <w:tblCellMar>
            <w:top w:w="0" w:type="dxa"/>
            <w:left w:w="0" w:type="dxa"/>
            <w:bottom w:w="0" w:type="dxa"/>
            <w:right w:w="0" w:type="dxa"/>
          </w:tblCellMar>
        </w:tblPrEx>
        <w:trPr>
          <w:gridAfter w:val="1"/>
          <w:wAfter w:w="7" w:type="dxa"/>
          <w:trHeight w:val="240"/>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差分反射率因子</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-8dB～+8dB</w:t>
            </w:r>
          </w:p>
        </w:tc>
      </w:tr>
      <w:tr>
        <w:tblPrEx>
          <w:tblW w:w="8591" w:type="dxa"/>
          <w:tblInd w:w="2" w:type="dxa"/>
          <w:tblLayout w:type="fixed"/>
          <w:tblCellMar>
            <w:top w:w="0" w:type="dxa"/>
            <w:left w:w="0" w:type="dxa"/>
            <w:bottom w:w="0" w:type="dxa"/>
            <w:right w:w="0" w:type="dxa"/>
          </w:tblCellMar>
        </w:tblPrEx>
        <w:trPr>
          <w:gridAfter w:val="1"/>
          <w:wAfter w:w="7" w:type="dxa"/>
          <w:trHeight w:val="238"/>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差分传播相移</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-180°~+180 °</w:t>
            </w:r>
          </w:p>
        </w:tc>
      </w:tr>
      <w:tr>
        <w:tblPrEx>
          <w:tblW w:w="8591" w:type="dxa"/>
          <w:tblInd w:w="2" w:type="dxa"/>
          <w:tblLayout w:type="fixed"/>
          <w:tblCellMar>
            <w:top w:w="0" w:type="dxa"/>
            <w:left w:w="0" w:type="dxa"/>
            <w:bottom w:w="0" w:type="dxa"/>
            <w:right w:w="0" w:type="dxa"/>
          </w:tblCellMar>
        </w:tblPrEx>
        <w:trPr>
          <w:gridAfter w:val="1"/>
          <w:wAfter w:w="7" w:type="dxa"/>
          <w:trHeight w:val="240"/>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差分传播相移率</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-10 °/km～+10 °/km</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退偏振比</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-30dB～0dB（单发双收工作模式）</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1986" w:type="dxa"/>
            <w:gridSpan w:val="2"/>
            <w:vMerge/>
            <w:tcBorders>
              <w:top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相关系数</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0～1</w:t>
            </w:r>
          </w:p>
        </w:tc>
      </w:tr>
      <w:tr>
        <w:tblPrEx>
          <w:tblW w:w="8591" w:type="dxa"/>
          <w:tblInd w:w="2" w:type="dxa"/>
          <w:tblLayout w:type="fixed"/>
          <w:tblCellMar>
            <w:top w:w="0" w:type="dxa"/>
            <w:left w:w="0" w:type="dxa"/>
            <w:bottom w:w="0" w:type="dxa"/>
            <w:right w:w="0" w:type="dxa"/>
          </w:tblCellMar>
        </w:tblPrEx>
        <w:trPr>
          <w:gridAfter w:val="1"/>
          <w:wAfter w:w="7" w:type="dxa"/>
          <w:trHeight w:val="240"/>
        </w:trPr>
        <w:tc>
          <w:tcPr>
            <w:tcW w:w="1986" w:type="dxa"/>
            <w:gridSpan w:val="2"/>
            <w:vMerge w:val="restart"/>
            <w:tcBorders>
              <w:bottom w:val="nil"/>
            </w:tcBorders>
          </w:tcPr>
          <w:p>
            <w:pPr>
              <w:spacing w:line="360" w:lineRule="auto"/>
              <w:rPr>
                <w:rFonts w:ascii="宋体" w:eastAsia="等线" w:hAnsi="宋体" w:cs="宋体"/>
                <w:szCs w:val="21"/>
              </w:rPr>
            </w:pPr>
          </w:p>
          <w:p>
            <w:pPr>
              <w:spacing w:line="360" w:lineRule="auto"/>
              <w:rPr>
                <w:rFonts w:ascii="宋体" w:eastAsia="等线" w:hAnsi="宋体" w:cs="宋体"/>
                <w:szCs w:val="21"/>
              </w:rPr>
            </w:pPr>
          </w:p>
          <w:p>
            <w:pPr>
              <w:spacing w:line="360" w:lineRule="auto"/>
              <w:rPr>
                <w:rFonts w:ascii="宋体" w:eastAsia="等线" w:hAnsi="宋体" w:cs="宋体"/>
                <w:szCs w:val="21"/>
              </w:rPr>
            </w:pPr>
          </w:p>
          <w:p>
            <w:pPr>
              <w:spacing w:line="360" w:lineRule="auto"/>
              <w:rPr>
                <w:rFonts w:ascii="宋体" w:eastAsia="等线" w:hAnsi="宋体" w:cs="宋体"/>
                <w:szCs w:val="21"/>
              </w:rPr>
            </w:pPr>
          </w:p>
          <w:p>
            <w:pPr>
              <w:spacing w:line="360" w:lineRule="auto"/>
              <w:rPr>
                <w:rFonts w:ascii="宋体" w:eastAsia="等线" w:hAnsi="宋体" w:cs="宋体"/>
                <w:szCs w:val="21"/>
              </w:rPr>
            </w:pPr>
            <w:r>
              <w:rPr>
                <w:rFonts w:ascii="宋体" w:eastAsia="等线" w:hAnsi="宋体" w:cs="宋体" w:hint="eastAsia"/>
                <w:szCs w:val="21"/>
              </w:rPr>
              <w:t>基数据产品分辨力</w:t>
            </w:r>
          </w:p>
        </w:tc>
        <w:tc>
          <w:tcPr>
            <w:tcW w:w="1561" w:type="dxa"/>
          </w:tcPr>
          <w:p>
            <w:pPr>
              <w:spacing w:line="360" w:lineRule="auto"/>
              <w:rPr>
                <w:rFonts w:ascii="宋体" w:eastAsia="等线" w:hAnsi="宋体" w:cs="宋体"/>
                <w:szCs w:val="21"/>
              </w:rPr>
            </w:pPr>
            <w:r>
              <w:rPr>
                <w:rFonts w:ascii="宋体" w:eastAsia="等线" w:hAnsi="宋体" w:cs="宋体" w:hint="eastAsia"/>
                <w:szCs w:val="21"/>
              </w:rPr>
              <w:t>距离</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30m</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角度</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≤0.4 °</w:t>
            </w:r>
          </w:p>
        </w:tc>
      </w:tr>
      <w:tr>
        <w:tblPrEx>
          <w:tblW w:w="8591" w:type="dxa"/>
          <w:tblInd w:w="2" w:type="dxa"/>
          <w:tblLayout w:type="fixed"/>
          <w:tblCellMar>
            <w:top w:w="0" w:type="dxa"/>
            <w:left w:w="0" w:type="dxa"/>
            <w:bottom w:w="0" w:type="dxa"/>
            <w:right w:w="0" w:type="dxa"/>
          </w:tblCellMar>
        </w:tblPrEx>
        <w:trPr>
          <w:gridAfter w:val="1"/>
          <w:wAfter w:w="7" w:type="dxa"/>
          <w:trHeight w:val="240"/>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反射率因子</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0.1dBZ</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径向速度</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0.1m/s</w:t>
            </w:r>
          </w:p>
        </w:tc>
      </w:tr>
      <w:tr>
        <w:tblPrEx>
          <w:tblW w:w="8591" w:type="dxa"/>
          <w:tblInd w:w="2" w:type="dxa"/>
          <w:tblLayout w:type="fixed"/>
          <w:tblCellMar>
            <w:top w:w="0" w:type="dxa"/>
            <w:left w:w="0" w:type="dxa"/>
            <w:bottom w:w="0" w:type="dxa"/>
            <w:right w:w="0" w:type="dxa"/>
          </w:tblCellMar>
        </w:tblPrEx>
        <w:trPr>
          <w:gridAfter w:val="1"/>
          <w:wAfter w:w="7" w:type="dxa"/>
          <w:trHeight w:val="240"/>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速度谱宽</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0.1m/s</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差分反射率因子</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0.1dB</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差分传播相移</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1 °</w:t>
            </w:r>
          </w:p>
        </w:tc>
      </w:tr>
      <w:tr>
        <w:tblPrEx>
          <w:tblW w:w="8591" w:type="dxa"/>
          <w:tblInd w:w="2" w:type="dxa"/>
          <w:tblLayout w:type="fixed"/>
          <w:tblCellMar>
            <w:top w:w="0" w:type="dxa"/>
            <w:left w:w="0" w:type="dxa"/>
            <w:bottom w:w="0" w:type="dxa"/>
            <w:right w:w="0" w:type="dxa"/>
          </w:tblCellMar>
        </w:tblPrEx>
        <w:trPr>
          <w:gridAfter w:val="1"/>
          <w:wAfter w:w="7" w:type="dxa"/>
          <w:trHeight w:val="240"/>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差分传播相移率</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0.1 °/km</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退偏振比</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0.1dB（单发双收工作模式）</w:t>
            </w:r>
          </w:p>
        </w:tc>
      </w:tr>
      <w:tr>
        <w:tblPrEx>
          <w:tblW w:w="8591" w:type="dxa"/>
          <w:tblInd w:w="2" w:type="dxa"/>
          <w:tblLayout w:type="fixed"/>
          <w:tblCellMar>
            <w:top w:w="0" w:type="dxa"/>
            <w:left w:w="0" w:type="dxa"/>
            <w:bottom w:w="0" w:type="dxa"/>
            <w:right w:w="0" w:type="dxa"/>
          </w:tblCellMar>
        </w:tblPrEx>
        <w:trPr>
          <w:gridAfter w:val="1"/>
          <w:wAfter w:w="7" w:type="dxa"/>
          <w:trHeight w:val="240"/>
        </w:trPr>
        <w:tc>
          <w:tcPr>
            <w:tcW w:w="1986" w:type="dxa"/>
            <w:gridSpan w:val="2"/>
            <w:vMerge/>
            <w:tcBorders>
              <w:top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相关系数</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0.01</w:t>
            </w:r>
          </w:p>
        </w:tc>
      </w:tr>
      <w:tr>
        <w:tblPrEx>
          <w:tblW w:w="8591" w:type="dxa"/>
          <w:tblInd w:w="2" w:type="dxa"/>
          <w:tblLayout w:type="fixed"/>
          <w:tblCellMar>
            <w:top w:w="0" w:type="dxa"/>
            <w:left w:w="0" w:type="dxa"/>
            <w:bottom w:w="0" w:type="dxa"/>
            <w:right w:w="0" w:type="dxa"/>
          </w:tblCellMar>
        </w:tblPrEx>
        <w:trPr>
          <w:gridAfter w:val="1"/>
          <w:wAfter w:w="7" w:type="dxa"/>
          <w:trHeight w:val="264"/>
        </w:trPr>
        <w:tc>
          <w:tcPr>
            <w:tcW w:w="1986" w:type="dxa"/>
            <w:gridSpan w:val="2"/>
            <w:vMerge w:val="restart"/>
            <w:tcBorders>
              <w:bottom w:val="nil"/>
            </w:tcBorders>
          </w:tcPr>
          <w:p>
            <w:pPr>
              <w:spacing w:line="360" w:lineRule="auto"/>
              <w:rPr>
                <w:rFonts w:ascii="宋体" w:eastAsia="等线" w:hAnsi="宋体" w:cs="宋体"/>
                <w:szCs w:val="21"/>
              </w:rPr>
            </w:pPr>
          </w:p>
          <w:p>
            <w:pPr>
              <w:spacing w:line="360" w:lineRule="auto"/>
              <w:rPr>
                <w:rFonts w:ascii="宋体" w:eastAsia="等线" w:hAnsi="宋体" w:cs="宋体"/>
                <w:szCs w:val="21"/>
              </w:rPr>
            </w:pPr>
          </w:p>
          <w:p>
            <w:pPr>
              <w:spacing w:line="360" w:lineRule="auto"/>
              <w:rPr>
                <w:rFonts w:ascii="宋体" w:eastAsia="等线" w:hAnsi="宋体" w:cs="宋体"/>
                <w:szCs w:val="21"/>
              </w:rPr>
            </w:pPr>
          </w:p>
          <w:p>
            <w:pPr>
              <w:spacing w:line="360" w:lineRule="auto"/>
              <w:rPr>
                <w:rFonts w:ascii="宋体" w:eastAsia="等线" w:hAnsi="宋体" w:cs="宋体"/>
                <w:szCs w:val="21"/>
              </w:rPr>
            </w:pPr>
            <w:r>
              <w:rPr>
                <w:rFonts w:ascii="宋体" w:eastAsia="等线" w:hAnsi="宋体" w:cs="宋体" w:hint="eastAsia"/>
                <w:szCs w:val="21"/>
              </w:rPr>
              <w:t>基数据产品测量精度</w:t>
            </w:r>
          </w:p>
        </w:tc>
        <w:tc>
          <w:tcPr>
            <w:tcW w:w="1561" w:type="dxa"/>
          </w:tcPr>
          <w:p>
            <w:pPr>
              <w:spacing w:line="360" w:lineRule="auto"/>
              <w:rPr>
                <w:rFonts w:ascii="宋体" w:eastAsia="等线" w:hAnsi="宋体" w:cs="宋体"/>
                <w:szCs w:val="21"/>
              </w:rPr>
            </w:pPr>
            <w:r>
              <w:rPr>
                <w:rFonts w:ascii="宋体" w:eastAsia="等线" w:hAnsi="宋体" w:cs="宋体" w:hint="eastAsia"/>
                <w:szCs w:val="21"/>
              </w:rPr>
              <w:t>反射率因子</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±1dB</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径向速度</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±0.5m/s</w:t>
            </w:r>
          </w:p>
        </w:tc>
      </w:tr>
      <w:tr>
        <w:tblPrEx>
          <w:tblW w:w="8591" w:type="dxa"/>
          <w:tblInd w:w="2" w:type="dxa"/>
          <w:tblLayout w:type="fixed"/>
          <w:tblCellMar>
            <w:top w:w="0" w:type="dxa"/>
            <w:left w:w="0" w:type="dxa"/>
            <w:bottom w:w="0" w:type="dxa"/>
            <w:right w:w="0" w:type="dxa"/>
          </w:tblCellMar>
        </w:tblPrEx>
        <w:trPr>
          <w:gridAfter w:val="1"/>
          <w:wAfter w:w="7" w:type="dxa"/>
          <w:trHeight w:val="240"/>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速度谱宽</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±0.5m/s</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差分反射率因子</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±0.2dB</w:t>
            </w:r>
          </w:p>
        </w:tc>
      </w:tr>
      <w:tr>
        <w:tblPrEx>
          <w:tblW w:w="8591" w:type="dxa"/>
          <w:tblInd w:w="2" w:type="dxa"/>
          <w:tblLayout w:type="fixed"/>
          <w:tblCellMar>
            <w:top w:w="0" w:type="dxa"/>
            <w:left w:w="0" w:type="dxa"/>
            <w:bottom w:w="0" w:type="dxa"/>
            <w:right w:w="0" w:type="dxa"/>
          </w:tblCellMar>
        </w:tblPrEx>
        <w:trPr>
          <w:gridAfter w:val="1"/>
          <w:wAfter w:w="7" w:type="dxa"/>
          <w:trHeight w:val="240"/>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差分传播相移</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±5 °</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差分传播相移率</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±0.2 °/km</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退偏振比</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±0.2dB（单发双收工作模式）</w:t>
            </w:r>
          </w:p>
        </w:tc>
      </w:tr>
      <w:tr>
        <w:tblPrEx>
          <w:tblW w:w="8591" w:type="dxa"/>
          <w:tblInd w:w="2" w:type="dxa"/>
          <w:tblLayout w:type="fixed"/>
          <w:tblCellMar>
            <w:top w:w="0" w:type="dxa"/>
            <w:left w:w="0" w:type="dxa"/>
            <w:bottom w:w="0" w:type="dxa"/>
            <w:right w:w="0" w:type="dxa"/>
          </w:tblCellMar>
        </w:tblPrEx>
        <w:trPr>
          <w:gridAfter w:val="1"/>
          <w:wAfter w:w="7" w:type="dxa"/>
          <w:trHeight w:val="240"/>
        </w:trPr>
        <w:tc>
          <w:tcPr>
            <w:tcW w:w="1986" w:type="dxa"/>
            <w:gridSpan w:val="2"/>
            <w:vMerge/>
            <w:tcBorders>
              <w:top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相关系数</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±0.01</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1986" w:type="dxa"/>
            <w:gridSpan w:val="2"/>
            <w:vMerge w:val="restart"/>
            <w:tcBorders>
              <w:bottom w:val="nil"/>
            </w:tcBorders>
          </w:tcPr>
          <w:p>
            <w:pPr>
              <w:spacing w:line="360" w:lineRule="auto"/>
              <w:rPr>
                <w:rFonts w:ascii="宋体" w:eastAsia="等线" w:hAnsi="宋体" w:cs="宋体"/>
                <w:szCs w:val="21"/>
              </w:rPr>
            </w:pPr>
            <w:r>
              <w:rPr>
                <w:rFonts w:ascii="宋体" w:eastAsia="等线" w:hAnsi="宋体" w:cs="宋体" w:hint="eastAsia"/>
                <w:szCs w:val="21"/>
              </w:rPr>
              <w:t>物理量产品测量精度</w:t>
            </w:r>
          </w:p>
        </w:tc>
        <w:tc>
          <w:tcPr>
            <w:tcW w:w="1561" w:type="dxa"/>
          </w:tcPr>
          <w:p>
            <w:pPr>
              <w:spacing w:line="360" w:lineRule="auto"/>
              <w:rPr>
                <w:rFonts w:ascii="宋体" w:eastAsia="等线" w:hAnsi="宋体" w:cs="宋体"/>
                <w:szCs w:val="21"/>
              </w:rPr>
            </w:pPr>
            <w:bookmarkStart w:id="85" w:name="OLE_LINK34"/>
            <w:r>
              <w:rPr>
                <w:rFonts w:ascii="宋体" w:eastAsia="等线" w:hAnsi="宋体" w:cs="宋体" w:hint="eastAsia"/>
                <w:szCs w:val="21"/>
              </w:rPr>
              <w:t>▲</w:t>
            </w:r>
            <w:bookmarkEnd w:id="85"/>
            <w:r>
              <w:rPr>
                <w:rFonts w:ascii="宋体" w:eastAsia="等线" w:hAnsi="宋体" w:cs="宋体" w:hint="eastAsia"/>
                <w:szCs w:val="21"/>
              </w:rPr>
              <w:t>云底高度</w:t>
            </w:r>
          </w:p>
          <w:p>
            <w:pPr>
              <w:spacing w:line="360" w:lineRule="auto"/>
              <w:rPr>
                <w:rFonts w:ascii="宋体" w:eastAsia="等线" w:hAnsi="宋体" w:cs="宋体"/>
                <w:szCs w:val="21"/>
              </w:rPr>
            </w:pPr>
            <w:r>
              <w:rPr>
                <w:rFonts w:ascii="宋体" w:eastAsia="等线" w:hAnsi="宋体" w:cs="宋体" w:hint="eastAsia"/>
                <w:szCs w:val="21"/>
              </w:rPr>
              <w:t>须提供第三方机构出具的</w:t>
            </w:r>
            <w:r>
              <w:rPr>
                <w:rFonts w:ascii="宋体" w:eastAsia="等线" w:hAnsi="宋体" w:cs="宋体"/>
                <w:szCs w:val="21"/>
              </w:rPr>
              <w:t>证明文件复印件</w:t>
            </w:r>
            <w:r>
              <w:rPr>
                <w:rFonts w:ascii="宋体" w:eastAsia="等线" w:hAnsi="宋体" w:cs="宋体" w:hint="eastAsia"/>
                <w:szCs w:val="21"/>
              </w:rPr>
              <w:t>进行佐证</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云高＜1000m 时， ±100m；云高≥1000m 时， ±10%</w:t>
            </w:r>
          </w:p>
        </w:tc>
      </w:tr>
      <w:tr>
        <w:tblPrEx>
          <w:tblW w:w="8591" w:type="dxa"/>
          <w:tblInd w:w="2" w:type="dxa"/>
          <w:tblLayout w:type="fixed"/>
          <w:tblCellMar>
            <w:top w:w="0" w:type="dxa"/>
            <w:left w:w="0" w:type="dxa"/>
            <w:bottom w:w="0" w:type="dxa"/>
            <w:right w:w="0" w:type="dxa"/>
          </w:tblCellMar>
        </w:tblPrEx>
        <w:trPr>
          <w:gridAfter w:val="1"/>
          <w:wAfter w:w="7" w:type="dxa"/>
          <w:trHeight w:val="240"/>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▲云顶高度</w:t>
            </w:r>
          </w:p>
          <w:p>
            <w:pPr>
              <w:spacing w:line="360" w:lineRule="auto"/>
              <w:rPr>
                <w:rFonts w:ascii="宋体" w:eastAsia="等线" w:hAnsi="宋体" w:cs="宋体"/>
                <w:szCs w:val="21"/>
              </w:rPr>
            </w:pPr>
            <w:r>
              <w:rPr>
                <w:rFonts w:ascii="宋体" w:eastAsia="等线" w:hAnsi="宋体" w:cs="宋体" w:hint="eastAsia"/>
                <w:szCs w:val="21"/>
              </w:rPr>
              <w:t>须提供第三方机构出具的</w:t>
            </w:r>
            <w:r>
              <w:rPr>
                <w:rFonts w:ascii="宋体" w:eastAsia="等线" w:hAnsi="宋体" w:cs="宋体"/>
                <w:szCs w:val="21"/>
              </w:rPr>
              <w:t>证明文件复印件</w:t>
            </w:r>
            <w:r>
              <w:rPr>
                <w:rFonts w:ascii="宋体" w:eastAsia="等线" w:hAnsi="宋体" w:cs="宋体" w:hint="eastAsia"/>
                <w:szCs w:val="21"/>
              </w:rPr>
              <w:t>进行佐证</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云高＜1000m 时， ±100m；云高≥1000m 时， ±10%</w:t>
            </w:r>
          </w:p>
        </w:tc>
      </w:tr>
      <w:tr>
        <w:tblPrEx>
          <w:tblW w:w="8591" w:type="dxa"/>
          <w:tblInd w:w="2" w:type="dxa"/>
          <w:tblLayout w:type="fixed"/>
          <w:tblCellMar>
            <w:top w:w="0" w:type="dxa"/>
            <w:left w:w="0" w:type="dxa"/>
            <w:bottom w:w="0" w:type="dxa"/>
            <w:right w:w="0" w:type="dxa"/>
          </w:tblCellMar>
        </w:tblPrEx>
        <w:trPr>
          <w:gridAfter w:val="1"/>
          <w:wAfter w:w="7" w:type="dxa"/>
          <w:trHeight w:val="254"/>
        </w:trPr>
        <w:tc>
          <w:tcPr>
            <w:tcW w:w="1986" w:type="dxa"/>
            <w:gridSpan w:val="2"/>
            <w:vMerge/>
            <w:tcBorders>
              <w:top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云量（扫描型）</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±20%</w:t>
            </w:r>
          </w:p>
        </w:tc>
      </w:tr>
      <w:tr>
        <w:tblPrEx>
          <w:tblW w:w="8591" w:type="dxa"/>
          <w:tblInd w:w="2" w:type="dxa"/>
          <w:tblLayout w:type="fixed"/>
          <w:tblCellMar>
            <w:top w:w="0" w:type="dxa"/>
            <w:left w:w="0" w:type="dxa"/>
            <w:bottom w:w="0" w:type="dxa"/>
            <w:right w:w="0" w:type="dxa"/>
          </w:tblCellMar>
        </w:tblPrEx>
        <w:trPr>
          <w:gridAfter w:val="1"/>
          <w:wAfter w:w="7" w:type="dxa"/>
          <w:trHeight w:val="473"/>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远距离可探测最小反射率因子（256 点 FFT 处理情况下）（不计大气衰减）</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≤-30dBZ@10km</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系统相位噪声</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≤0.4 °</w:t>
            </w:r>
          </w:p>
        </w:tc>
      </w:tr>
      <w:tr>
        <w:tblPrEx>
          <w:tblW w:w="8591" w:type="dxa"/>
          <w:tblInd w:w="2" w:type="dxa"/>
          <w:tblLayout w:type="fixed"/>
          <w:tblCellMar>
            <w:top w:w="0" w:type="dxa"/>
            <w:left w:w="0" w:type="dxa"/>
            <w:bottom w:w="0" w:type="dxa"/>
            <w:right w:w="0" w:type="dxa"/>
          </w:tblCellMar>
        </w:tblPrEx>
        <w:trPr>
          <w:gridAfter w:val="1"/>
          <w:wAfter w:w="7" w:type="dxa"/>
          <w:trHeight w:val="240"/>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地物杂波抑制比</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≥42dB</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电源要求</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单相 AC220V±10%，50Hz±5%</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重量（标准配置，参考值）</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≤2000Kg（不包括天线罩）</w:t>
            </w:r>
          </w:p>
        </w:tc>
      </w:tr>
      <w:tr>
        <w:tblPrEx>
          <w:tblW w:w="8591" w:type="dxa"/>
          <w:tblInd w:w="2" w:type="dxa"/>
          <w:tblLayout w:type="fixed"/>
          <w:tblCellMar>
            <w:top w:w="0" w:type="dxa"/>
            <w:left w:w="0" w:type="dxa"/>
            <w:bottom w:w="0" w:type="dxa"/>
            <w:right w:w="0" w:type="dxa"/>
          </w:tblCellMar>
        </w:tblPrEx>
        <w:trPr>
          <w:gridAfter w:val="1"/>
          <w:wAfter w:w="7" w:type="dxa"/>
          <w:trHeight w:val="240"/>
        </w:trPr>
        <w:tc>
          <w:tcPr>
            <w:tcW w:w="1986" w:type="dxa"/>
            <w:gridSpan w:val="2"/>
            <w:vMerge w:val="restart"/>
            <w:tcBorders>
              <w:bottom w:val="nil"/>
            </w:tcBorders>
          </w:tcPr>
          <w:p>
            <w:pPr>
              <w:spacing w:line="360" w:lineRule="auto"/>
              <w:rPr>
                <w:rFonts w:ascii="宋体" w:eastAsia="等线" w:hAnsi="宋体" w:cs="宋体"/>
                <w:szCs w:val="21"/>
              </w:rPr>
            </w:pPr>
          </w:p>
          <w:p>
            <w:pPr>
              <w:spacing w:line="360" w:lineRule="auto"/>
              <w:rPr>
                <w:rFonts w:ascii="宋体" w:eastAsia="等线" w:hAnsi="宋体" w:cs="宋体"/>
                <w:szCs w:val="21"/>
              </w:rPr>
            </w:pPr>
          </w:p>
          <w:p>
            <w:pPr>
              <w:spacing w:line="360" w:lineRule="auto"/>
              <w:rPr>
                <w:rFonts w:ascii="宋体" w:eastAsia="等线" w:hAnsi="宋体" w:cs="宋体"/>
                <w:szCs w:val="21"/>
              </w:rPr>
            </w:pPr>
            <w:r>
              <w:rPr>
                <w:rFonts w:ascii="宋体" w:eastAsia="等线" w:hAnsi="宋体" w:cs="宋体" w:hint="eastAsia"/>
                <w:szCs w:val="21"/>
              </w:rPr>
              <w:t>环境要求</w:t>
            </w:r>
          </w:p>
        </w:tc>
        <w:tc>
          <w:tcPr>
            <w:tcW w:w="1561" w:type="dxa"/>
          </w:tcPr>
          <w:p>
            <w:pPr>
              <w:spacing w:line="360" w:lineRule="auto"/>
              <w:rPr>
                <w:rFonts w:ascii="宋体" w:eastAsia="等线" w:hAnsi="宋体" w:cs="宋体"/>
                <w:szCs w:val="21"/>
              </w:rPr>
            </w:pPr>
            <w:r>
              <w:rPr>
                <w:rFonts w:ascii="宋体" w:eastAsia="等线" w:hAnsi="宋体" w:cs="宋体" w:hint="eastAsia"/>
                <w:szCs w:val="21"/>
              </w:rPr>
              <w:t>工作温度</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室外装置：-40～+50℃,室内装置：0～+40℃</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贮存温度</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-50～+60℃</w:t>
            </w:r>
          </w:p>
        </w:tc>
      </w:tr>
      <w:tr>
        <w:tblPrEx>
          <w:tblW w:w="8591" w:type="dxa"/>
          <w:tblInd w:w="2" w:type="dxa"/>
          <w:tblLayout w:type="fixed"/>
          <w:tblCellMar>
            <w:top w:w="0" w:type="dxa"/>
            <w:left w:w="0" w:type="dxa"/>
            <w:bottom w:w="0" w:type="dxa"/>
            <w:right w:w="0" w:type="dxa"/>
          </w:tblCellMar>
        </w:tblPrEx>
        <w:trPr>
          <w:gridAfter w:val="1"/>
          <w:wAfter w:w="7" w:type="dxa"/>
          <w:trHeight w:val="240"/>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最大湿度（+30℃)</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室外装置：≤95%，室内装置：≤90%</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抗阵风能力</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30m/s 不损坏（锥形天线罩）</w:t>
            </w:r>
          </w:p>
        </w:tc>
      </w:tr>
      <w:tr>
        <w:tblPrEx>
          <w:tblW w:w="8591" w:type="dxa"/>
          <w:tblInd w:w="2" w:type="dxa"/>
          <w:tblLayout w:type="fixed"/>
          <w:tblCellMar>
            <w:top w:w="0" w:type="dxa"/>
            <w:left w:w="0" w:type="dxa"/>
            <w:bottom w:w="0" w:type="dxa"/>
            <w:right w:w="0" w:type="dxa"/>
          </w:tblCellMar>
        </w:tblPrEx>
        <w:trPr>
          <w:gridAfter w:val="1"/>
          <w:wAfter w:w="7" w:type="dxa"/>
          <w:trHeight w:val="240"/>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淋雨</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最大降水强度：6mm/min</w:t>
            </w:r>
          </w:p>
        </w:tc>
      </w:tr>
      <w:tr>
        <w:tblPrEx>
          <w:tblW w:w="8591" w:type="dxa"/>
          <w:tblInd w:w="2" w:type="dxa"/>
          <w:tblLayout w:type="fixed"/>
          <w:tblCellMar>
            <w:top w:w="0" w:type="dxa"/>
            <w:left w:w="0" w:type="dxa"/>
            <w:bottom w:w="0" w:type="dxa"/>
            <w:right w:w="0" w:type="dxa"/>
          </w:tblCellMar>
        </w:tblPrEx>
        <w:trPr>
          <w:gridAfter w:val="1"/>
          <w:wAfter w:w="7" w:type="dxa"/>
          <w:trHeight w:val="237"/>
        </w:trPr>
        <w:tc>
          <w:tcPr>
            <w:tcW w:w="1986" w:type="dxa"/>
            <w:gridSpan w:val="2"/>
            <w:vMerge/>
            <w:tcBorders>
              <w:top w:val="nil"/>
              <w:bottom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抗干扰</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抗电源干扰、电磁干扰、无线电频率干扰等</w:t>
            </w:r>
          </w:p>
        </w:tc>
      </w:tr>
      <w:tr>
        <w:tblPrEx>
          <w:tblW w:w="8591" w:type="dxa"/>
          <w:tblInd w:w="2" w:type="dxa"/>
          <w:tblLayout w:type="fixed"/>
          <w:tblCellMar>
            <w:top w:w="0" w:type="dxa"/>
            <w:left w:w="0" w:type="dxa"/>
            <w:bottom w:w="0" w:type="dxa"/>
            <w:right w:w="0" w:type="dxa"/>
          </w:tblCellMar>
        </w:tblPrEx>
        <w:trPr>
          <w:gridAfter w:val="1"/>
          <w:wAfter w:w="7" w:type="dxa"/>
          <w:trHeight w:val="245"/>
        </w:trPr>
        <w:tc>
          <w:tcPr>
            <w:tcW w:w="1986" w:type="dxa"/>
            <w:gridSpan w:val="2"/>
            <w:vMerge/>
            <w:tcBorders>
              <w:top w:val="nil"/>
            </w:tcBorders>
          </w:tcPr>
          <w:p>
            <w:pPr>
              <w:spacing w:line="360" w:lineRule="auto"/>
              <w:rPr>
                <w:rFonts w:ascii="宋体" w:eastAsia="等线" w:hAnsi="宋体" w:cs="宋体"/>
                <w:szCs w:val="21"/>
              </w:rPr>
            </w:pPr>
          </w:p>
        </w:tc>
        <w:tc>
          <w:tcPr>
            <w:tcW w:w="1561" w:type="dxa"/>
          </w:tcPr>
          <w:p>
            <w:pPr>
              <w:spacing w:line="360" w:lineRule="auto"/>
              <w:rPr>
                <w:rFonts w:ascii="宋体" w:eastAsia="等线" w:hAnsi="宋体" w:cs="宋体"/>
                <w:szCs w:val="21"/>
              </w:rPr>
            </w:pPr>
            <w:r>
              <w:rPr>
                <w:rFonts w:ascii="宋体" w:eastAsia="等线" w:hAnsi="宋体" w:cs="宋体" w:hint="eastAsia"/>
                <w:szCs w:val="21"/>
              </w:rPr>
              <w:t>其它</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防水、防盐雾</w:t>
            </w:r>
          </w:p>
        </w:tc>
      </w:tr>
      <w:tr>
        <w:tblPrEx>
          <w:tblW w:w="8591" w:type="dxa"/>
          <w:tblInd w:w="2" w:type="dxa"/>
          <w:tblLayout w:type="fixed"/>
          <w:tblCellMar>
            <w:top w:w="0" w:type="dxa"/>
            <w:left w:w="0" w:type="dxa"/>
            <w:bottom w:w="0" w:type="dxa"/>
            <w:right w:w="0" w:type="dxa"/>
          </w:tblCellMar>
        </w:tblPrEx>
        <w:trPr>
          <w:gridBefore w:val="1"/>
          <w:wBefore w:w="7" w:type="dxa"/>
          <w:trHeight w:val="242"/>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整机功耗（峰值）</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≤3kW</w:t>
            </w:r>
          </w:p>
        </w:tc>
      </w:tr>
      <w:tr>
        <w:tblPrEx>
          <w:tblW w:w="8591" w:type="dxa"/>
          <w:tblInd w:w="2" w:type="dxa"/>
          <w:tblLayout w:type="fixed"/>
          <w:tblCellMar>
            <w:top w:w="0" w:type="dxa"/>
            <w:left w:w="0" w:type="dxa"/>
            <w:bottom w:w="0" w:type="dxa"/>
            <w:right w:w="0" w:type="dxa"/>
          </w:tblCellMar>
        </w:tblPrEx>
        <w:trPr>
          <w:gridBefore w:val="1"/>
          <w:wBefore w:w="7" w:type="dxa"/>
          <w:trHeight w:val="240"/>
        </w:trPr>
        <w:tc>
          <w:tcPr>
            <w:tcW w:w="3547" w:type="dxa"/>
            <w:gridSpan w:val="3"/>
            <w:shd w:val="clear" w:color="auto" w:fill="FFFFFF"/>
          </w:tcPr>
          <w:p>
            <w:pPr>
              <w:spacing w:line="360" w:lineRule="auto"/>
              <w:rPr>
                <w:rFonts w:ascii="宋体" w:eastAsia="等线" w:hAnsi="宋体" w:cs="宋体"/>
                <w:szCs w:val="21"/>
              </w:rPr>
            </w:pPr>
            <w:r>
              <w:rPr>
                <w:rFonts w:ascii="宋体" w:eastAsia="等线" w:hAnsi="宋体" w:cs="宋体" w:hint="eastAsia"/>
                <w:szCs w:val="21"/>
              </w:rPr>
              <w:t>平均无故障时间（MTBF）</w:t>
            </w:r>
          </w:p>
        </w:tc>
        <w:tc>
          <w:tcPr>
            <w:tcW w:w="5037" w:type="dxa"/>
            <w:gridSpan w:val="2"/>
            <w:shd w:val="clear" w:color="auto" w:fill="FFFFFF"/>
          </w:tcPr>
          <w:p>
            <w:pPr>
              <w:spacing w:line="360" w:lineRule="auto"/>
              <w:rPr>
                <w:rFonts w:ascii="宋体" w:eastAsia="等线" w:hAnsi="宋体" w:cs="宋体"/>
                <w:szCs w:val="21"/>
              </w:rPr>
            </w:pPr>
            <w:r>
              <w:rPr>
                <w:rFonts w:ascii="宋体" w:eastAsia="等线" w:hAnsi="宋体" w:cs="宋体" w:hint="eastAsia"/>
                <w:szCs w:val="21"/>
              </w:rPr>
              <w:t>≥2000h</w:t>
            </w:r>
          </w:p>
        </w:tc>
      </w:tr>
      <w:tr>
        <w:tblPrEx>
          <w:tblW w:w="8591" w:type="dxa"/>
          <w:tblInd w:w="2" w:type="dxa"/>
          <w:tblLayout w:type="fixed"/>
          <w:tblCellMar>
            <w:top w:w="0" w:type="dxa"/>
            <w:left w:w="0" w:type="dxa"/>
            <w:bottom w:w="0" w:type="dxa"/>
            <w:right w:w="0" w:type="dxa"/>
          </w:tblCellMar>
        </w:tblPrEx>
        <w:trPr>
          <w:gridBefore w:val="1"/>
          <w:wBefore w:w="7" w:type="dxa"/>
          <w:trHeight w:val="237"/>
        </w:trPr>
        <w:tc>
          <w:tcPr>
            <w:tcW w:w="3547" w:type="dxa"/>
            <w:gridSpan w:val="3"/>
            <w:shd w:val="clear" w:color="auto" w:fill="FFFFFF"/>
          </w:tcPr>
          <w:p>
            <w:pPr>
              <w:spacing w:line="360" w:lineRule="auto"/>
              <w:rPr>
                <w:rFonts w:ascii="宋体" w:eastAsia="等线" w:hAnsi="宋体" w:cs="宋体"/>
                <w:szCs w:val="21"/>
              </w:rPr>
            </w:pPr>
            <w:r>
              <w:rPr>
                <w:rFonts w:ascii="宋体" w:eastAsia="等线" w:hAnsi="宋体" w:cs="宋体" w:hint="eastAsia"/>
                <w:szCs w:val="21"/>
              </w:rPr>
              <w:t>平均故障修复时间（MTTR）</w:t>
            </w:r>
          </w:p>
        </w:tc>
        <w:tc>
          <w:tcPr>
            <w:tcW w:w="5037" w:type="dxa"/>
            <w:gridSpan w:val="2"/>
            <w:shd w:val="clear" w:color="auto" w:fill="FFFFFF"/>
          </w:tcPr>
          <w:p>
            <w:pPr>
              <w:spacing w:line="360" w:lineRule="auto"/>
              <w:rPr>
                <w:rFonts w:ascii="宋体" w:eastAsia="等线" w:hAnsi="宋体" w:cs="宋体"/>
                <w:szCs w:val="21"/>
              </w:rPr>
            </w:pPr>
            <w:r>
              <w:rPr>
                <w:rFonts w:ascii="宋体" w:eastAsia="等线" w:hAnsi="宋体" w:cs="宋体" w:hint="eastAsia"/>
                <w:szCs w:val="21"/>
              </w:rPr>
              <w:t>≤0.5h</w:t>
            </w:r>
          </w:p>
        </w:tc>
      </w:tr>
      <w:tr>
        <w:tblPrEx>
          <w:tblW w:w="8591" w:type="dxa"/>
          <w:tblInd w:w="2" w:type="dxa"/>
          <w:tblLayout w:type="fixed"/>
          <w:tblCellMar>
            <w:top w:w="0" w:type="dxa"/>
            <w:left w:w="0" w:type="dxa"/>
            <w:bottom w:w="0" w:type="dxa"/>
            <w:right w:w="0" w:type="dxa"/>
          </w:tblCellMar>
        </w:tblPrEx>
        <w:trPr>
          <w:gridBefore w:val="1"/>
          <w:wBefore w:w="7" w:type="dxa"/>
          <w:trHeight w:val="240"/>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架设方式</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可固定架设也可移动式</w:t>
            </w:r>
          </w:p>
        </w:tc>
      </w:tr>
      <w:tr>
        <w:tblPrEx>
          <w:tblW w:w="8591" w:type="dxa"/>
          <w:tblInd w:w="2" w:type="dxa"/>
          <w:tblLayout w:type="fixed"/>
          <w:tblCellMar>
            <w:top w:w="0" w:type="dxa"/>
            <w:left w:w="0" w:type="dxa"/>
            <w:bottom w:w="0" w:type="dxa"/>
            <w:right w:w="0" w:type="dxa"/>
          </w:tblCellMar>
        </w:tblPrEx>
        <w:trPr>
          <w:gridBefore w:val="1"/>
          <w:wBefore w:w="7" w:type="dxa"/>
          <w:trHeight w:val="237"/>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微波辐射安全性</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雷达微波漏能功率密度应符合 GJB5313-2004 的要求</w:t>
            </w:r>
          </w:p>
        </w:tc>
      </w:tr>
      <w:tr>
        <w:tblPrEx>
          <w:tblW w:w="8591" w:type="dxa"/>
          <w:tblInd w:w="2" w:type="dxa"/>
          <w:tblLayout w:type="fixed"/>
          <w:tblCellMar>
            <w:top w:w="0" w:type="dxa"/>
            <w:left w:w="0" w:type="dxa"/>
            <w:bottom w:w="0" w:type="dxa"/>
            <w:right w:w="0" w:type="dxa"/>
          </w:tblCellMar>
        </w:tblPrEx>
        <w:trPr>
          <w:gridBefore w:val="1"/>
          <w:wBefore w:w="7" w:type="dxa"/>
          <w:trHeight w:val="472"/>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安全标识</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微波泄漏部位、机械转动部位、危险电压部位等应有清晰、醒 目的安全警示标记</w:t>
            </w:r>
          </w:p>
        </w:tc>
      </w:tr>
      <w:tr>
        <w:tblPrEx>
          <w:tblW w:w="8591" w:type="dxa"/>
          <w:tblInd w:w="2" w:type="dxa"/>
          <w:tblLayout w:type="fixed"/>
          <w:tblCellMar>
            <w:top w:w="0" w:type="dxa"/>
            <w:left w:w="0" w:type="dxa"/>
            <w:bottom w:w="0" w:type="dxa"/>
            <w:right w:w="0" w:type="dxa"/>
          </w:tblCellMar>
        </w:tblPrEx>
        <w:trPr>
          <w:gridBefore w:val="1"/>
          <w:wBefore w:w="7" w:type="dxa"/>
          <w:trHeight w:val="472"/>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互换性</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雷达备份零件、部件、组件和功能单元均能在现场更换，无需 调整即可正常工作</w:t>
            </w:r>
          </w:p>
        </w:tc>
      </w:tr>
      <w:tr>
        <w:tblPrEx>
          <w:tblW w:w="8591" w:type="dxa"/>
          <w:tblInd w:w="2" w:type="dxa"/>
          <w:tblLayout w:type="fixed"/>
          <w:tblCellMar>
            <w:top w:w="0" w:type="dxa"/>
            <w:left w:w="0" w:type="dxa"/>
            <w:bottom w:w="0" w:type="dxa"/>
            <w:right w:w="0" w:type="dxa"/>
          </w:tblCellMar>
        </w:tblPrEx>
        <w:trPr>
          <w:gridBefore w:val="1"/>
          <w:wBefore w:w="7" w:type="dxa"/>
          <w:trHeight w:val="705"/>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电磁兼容性</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雷达具有市电滤波和防电磁干扰的能力，设置静电屏蔽、电磁 屏蔽，模拟地线、数字地线和安全地线严格分开，油机地线和 避雷地线要单独接地</w:t>
            </w:r>
          </w:p>
        </w:tc>
      </w:tr>
      <w:tr>
        <w:tblPrEx>
          <w:tblW w:w="8591" w:type="dxa"/>
          <w:tblInd w:w="2" w:type="dxa"/>
          <w:tblLayout w:type="fixed"/>
          <w:tblCellMar>
            <w:top w:w="0" w:type="dxa"/>
            <w:left w:w="0" w:type="dxa"/>
            <w:bottom w:w="0" w:type="dxa"/>
            <w:right w:w="0" w:type="dxa"/>
          </w:tblCellMar>
        </w:tblPrEx>
        <w:trPr>
          <w:gridBefore w:val="1"/>
          <w:wBefore w:w="7" w:type="dxa"/>
          <w:trHeight w:val="470"/>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安全性</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雷达应有安全性设计，确保雷达按规定条件进行制造、安装、 运输、贮存、使用和维护时的人身安全和设备安全</w:t>
            </w:r>
          </w:p>
        </w:tc>
      </w:tr>
      <w:tr>
        <w:tblPrEx>
          <w:tblW w:w="8591" w:type="dxa"/>
          <w:tblInd w:w="2" w:type="dxa"/>
          <w:tblLayout w:type="fixed"/>
          <w:tblCellMar>
            <w:top w:w="0" w:type="dxa"/>
            <w:left w:w="0" w:type="dxa"/>
            <w:bottom w:w="0" w:type="dxa"/>
            <w:right w:w="0" w:type="dxa"/>
          </w:tblCellMar>
        </w:tblPrEx>
        <w:trPr>
          <w:gridBefore w:val="1"/>
          <w:wBefore w:w="7" w:type="dxa"/>
          <w:trHeight w:val="472"/>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防雷要求</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接地电阻应不大于 4Ω,雷达电源线输入端应加装防雷滤波器， 室外电缆一律采用屏蔽电缆或光缆</w:t>
            </w:r>
          </w:p>
        </w:tc>
      </w:tr>
      <w:tr>
        <w:tblPrEx>
          <w:tblW w:w="8591" w:type="dxa"/>
          <w:tblInd w:w="2" w:type="dxa"/>
          <w:tblLayout w:type="fixed"/>
          <w:tblCellMar>
            <w:top w:w="0" w:type="dxa"/>
            <w:left w:w="0" w:type="dxa"/>
            <w:bottom w:w="0" w:type="dxa"/>
            <w:right w:w="0" w:type="dxa"/>
          </w:tblCellMar>
        </w:tblPrEx>
        <w:trPr>
          <w:gridBefore w:val="1"/>
          <w:wBefore w:w="7" w:type="dxa"/>
          <w:trHeight w:val="237"/>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绝缘性</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雷达各初级电源与大地间绝缘电阻应大于 1MΩ</w:t>
            </w:r>
          </w:p>
        </w:tc>
      </w:tr>
      <w:tr>
        <w:tblPrEx>
          <w:tblW w:w="8591" w:type="dxa"/>
          <w:tblInd w:w="2" w:type="dxa"/>
          <w:tblLayout w:type="fixed"/>
          <w:tblCellMar>
            <w:top w:w="0" w:type="dxa"/>
            <w:left w:w="0" w:type="dxa"/>
            <w:bottom w:w="0" w:type="dxa"/>
            <w:right w:w="0" w:type="dxa"/>
          </w:tblCellMar>
        </w:tblPrEx>
        <w:trPr>
          <w:gridBefore w:val="1"/>
          <w:wBefore w:w="7" w:type="dxa"/>
          <w:trHeight w:val="705"/>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外观质量</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雷达整体形象应协调一致，外表面应无凹痕、碰伤、裂痕和变 形等缺陷；镀涂层不起泡、龟裂和脱落；金属零件无锈蚀、毛 刺及其它机械损伤</w:t>
            </w:r>
          </w:p>
        </w:tc>
      </w:tr>
      <w:tr>
        <w:tblPrEx>
          <w:tblW w:w="8591" w:type="dxa"/>
          <w:tblInd w:w="2" w:type="dxa"/>
          <w:tblLayout w:type="fixed"/>
          <w:tblCellMar>
            <w:top w:w="0" w:type="dxa"/>
            <w:left w:w="0" w:type="dxa"/>
            <w:bottom w:w="0" w:type="dxa"/>
            <w:right w:w="0" w:type="dxa"/>
          </w:tblCellMar>
        </w:tblPrEx>
        <w:trPr>
          <w:gridBefore w:val="1"/>
          <w:wBefore w:w="7" w:type="dxa"/>
          <w:trHeight w:val="1172"/>
        </w:trPr>
        <w:tc>
          <w:tcPr>
            <w:tcW w:w="3547" w:type="dxa"/>
            <w:gridSpan w:val="3"/>
          </w:tcPr>
          <w:p>
            <w:pPr>
              <w:spacing w:line="360" w:lineRule="auto"/>
              <w:rPr>
                <w:rFonts w:ascii="宋体" w:eastAsia="等线" w:hAnsi="宋体" w:cs="宋体"/>
                <w:szCs w:val="21"/>
              </w:rPr>
            </w:pPr>
          </w:p>
          <w:p>
            <w:pPr>
              <w:spacing w:line="360" w:lineRule="auto"/>
              <w:rPr>
                <w:rFonts w:ascii="宋体" w:eastAsia="等线" w:hAnsi="宋体" w:cs="宋体"/>
                <w:szCs w:val="21"/>
              </w:rPr>
            </w:pPr>
            <w:r>
              <w:rPr>
                <w:rFonts w:ascii="宋体" w:eastAsia="等线" w:hAnsi="宋体" w:cs="宋体" w:hint="eastAsia"/>
                <w:szCs w:val="21"/>
              </w:rPr>
              <w:t>标记与代号</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机箱、插件和线缆等应有统一的编号和标记，符合国家标准； 印制板、主要元器件等应在相应位置印有与电路图中项目代号 相符的标记；</w:t>
            </w:r>
          </w:p>
          <w:p>
            <w:pPr>
              <w:spacing w:line="360" w:lineRule="auto"/>
              <w:rPr>
                <w:rFonts w:ascii="宋体" w:eastAsia="等线" w:hAnsi="宋体" w:cs="宋体"/>
                <w:szCs w:val="21"/>
              </w:rPr>
            </w:pPr>
            <w:r>
              <w:rPr>
                <w:rFonts w:ascii="宋体" w:eastAsia="等线" w:hAnsi="宋体" w:cs="宋体" w:hint="eastAsia"/>
                <w:szCs w:val="21"/>
              </w:rPr>
              <w:t>标记的文字、字母和符号应完整、规范、清晰和牢固，且便于 识读</w:t>
            </w:r>
          </w:p>
        </w:tc>
      </w:tr>
      <w:tr>
        <w:tblPrEx>
          <w:tblW w:w="8591" w:type="dxa"/>
          <w:tblInd w:w="2" w:type="dxa"/>
          <w:tblLayout w:type="fixed"/>
          <w:tblCellMar>
            <w:top w:w="0" w:type="dxa"/>
            <w:left w:w="0" w:type="dxa"/>
            <w:bottom w:w="0" w:type="dxa"/>
            <w:right w:w="0" w:type="dxa"/>
          </w:tblCellMar>
        </w:tblPrEx>
        <w:trPr>
          <w:gridBefore w:val="1"/>
          <w:wBefore w:w="7" w:type="dxa"/>
          <w:trHeight w:val="242"/>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铭牌内容</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雷达的名称、型号（代号）；出厂编号；出厂年月；制造厂商标</w:t>
            </w:r>
          </w:p>
        </w:tc>
      </w:tr>
      <w:tr>
        <w:tblPrEx>
          <w:tblW w:w="8591" w:type="dxa"/>
          <w:tblInd w:w="2" w:type="dxa"/>
          <w:tblLayout w:type="fixed"/>
          <w:tblCellMar>
            <w:top w:w="0" w:type="dxa"/>
            <w:left w:w="0" w:type="dxa"/>
            <w:bottom w:w="0" w:type="dxa"/>
            <w:right w:w="0" w:type="dxa"/>
          </w:tblCellMar>
        </w:tblPrEx>
        <w:trPr>
          <w:gridBefore w:val="1"/>
          <w:wBefore w:w="7" w:type="dxa"/>
          <w:trHeight w:val="242"/>
        </w:trPr>
        <w:tc>
          <w:tcPr>
            <w:tcW w:w="3547" w:type="dxa"/>
            <w:gridSpan w:val="3"/>
          </w:tcPr>
          <w:p>
            <w:pPr>
              <w:spacing w:line="360" w:lineRule="auto"/>
              <w:rPr>
                <w:rFonts w:ascii="宋体" w:eastAsia="等线" w:hAnsi="宋体" w:cs="宋体"/>
                <w:szCs w:val="21"/>
              </w:rPr>
            </w:pPr>
            <w:r>
              <w:rPr>
                <w:rFonts w:ascii="宋体" w:eastAsia="等线" w:hAnsi="宋体" w:cs="宋体" w:hint="eastAsia"/>
                <w:szCs w:val="21"/>
              </w:rPr>
              <w:t>质保</w:t>
            </w:r>
          </w:p>
        </w:tc>
        <w:tc>
          <w:tcPr>
            <w:tcW w:w="5037" w:type="dxa"/>
            <w:gridSpan w:val="2"/>
          </w:tcPr>
          <w:p>
            <w:pPr>
              <w:spacing w:line="360" w:lineRule="auto"/>
              <w:rPr>
                <w:rFonts w:ascii="宋体" w:eastAsia="等线" w:hAnsi="宋体" w:cs="宋体"/>
                <w:szCs w:val="21"/>
              </w:rPr>
            </w:pPr>
            <w:r>
              <w:rPr>
                <w:rFonts w:ascii="宋体" w:eastAsia="等线" w:hAnsi="宋体" w:cs="宋体" w:hint="eastAsia"/>
                <w:szCs w:val="21"/>
              </w:rPr>
              <w:t xml:space="preserve">≥8年 </w:t>
            </w:r>
          </w:p>
        </w:tc>
      </w:tr>
    </w:tbl>
    <w:p>
      <w:pPr>
        <w:pStyle w:val="Heading8"/>
        <w:spacing w:line="360" w:lineRule="auto"/>
        <w:rPr>
          <w:rFonts w:ascii="宋体" w:hAnsi="宋体"/>
          <w:color w:val="auto"/>
          <w:szCs w:val="21"/>
        </w:rPr>
      </w:pPr>
      <w:r>
        <w:rPr>
          <w:rFonts w:ascii="宋体" w:hAnsi="宋体" w:hint="eastAsia"/>
          <w:color w:val="auto"/>
          <w:szCs w:val="21"/>
        </w:rPr>
        <w:t>1.15.3总环境适应性</w:t>
      </w:r>
    </w:p>
    <w:p>
      <w:pPr>
        <w:spacing w:line="360" w:lineRule="auto"/>
        <w:ind w:firstLine="420" w:firstLineChars="200"/>
        <w:rPr>
          <w:rFonts w:ascii="宋体" w:hAnsi="宋体" w:cs="宋体"/>
          <w:szCs w:val="21"/>
        </w:rPr>
      </w:pPr>
      <w:r>
        <w:rPr>
          <w:rFonts w:ascii="宋体" w:hAnsi="宋体" w:cs="宋体" w:hint="eastAsia"/>
          <w:szCs w:val="21"/>
        </w:rPr>
        <w:t>（1）</w:t>
      </w:r>
      <w:r>
        <w:rPr>
          <w:rFonts w:ascii="宋体" w:hAnsi="宋体" w:cs="宋体"/>
          <w:szCs w:val="21"/>
        </w:rPr>
        <w:t>工作温度：-4</w:t>
      </w:r>
      <w:r>
        <w:rPr>
          <w:rFonts w:ascii="宋体" w:hAnsi="宋体" w:cs="宋体" w:hint="eastAsia"/>
          <w:szCs w:val="21"/>
        </w:rPr>
        <w:t>0</w:t>
      </w:r>
      <w:r>
        <w:rPr>
          <w:rFonts w:ascii="宋体" w:hAnsi="宋体" w:cs="宋体"/>
          <w:szCs w:val="21"/>
        </w:rPr>
        <w:t>～+5</w:t>
      </w:r>
      <w:r>
        <w:rPr>
          <w:rFonts w:ascii="宋体" w:hAnsi="宋体" w:cs="宋体" w:hint="eastAsia"/>
          <w:szCs w:val="21"/>
        </w:rPr>
        <w:t>0</w:t>
      </w:r>
      <w:r>
        <w:rPr>
          <w:rFonts w:ascii="宋体" w:hAnsi="宋体" w:cs="宋体"/>
          <w:szCs w:val="21"/>
        </w:rPr>
        <w:t>℃（舱外设备）；</w:t>
      </w:r>
    </w:p>
    <w:p>
      <w:pPr>
        <w:spacing w:line="360" w:lineRule="auto"/>
        <w:ind w:firstLine="420" w:firstLineChars="200"/>
        <w:rPr>
          <w:rFonts w:ascii="宋体" w:hAnsi="宋体" w:cs="宋体"/>
          <w:szCs w:val="21"/>
        </w:rPr>
      </w:pPr>
      <w:r>
        <w:rPr>
          <w:rFonts w:ascii="宋体" w:hAnsi="宋体" w:cs="宋体" w:hint="eastAsia"/>
          <w:szCs w:val="21"/>
        </w:rPr>
        <w:t>（2）</w:t>
      </w:r>
      <w:r>
        <w:rPr>
          <w:rFonts w:ascii="宋体" w:hAnsi="宋体" w:cs="宋体"/>
          <w:szCs w:val="21"/>
        </w:rPr>
        <w:t>贮存温度：-</w:t>
      </w:r>
      <w:r>
        <w:rPr>
          <w:rFonts w:ascii="宋体" w:hAnsi="宋体" w:cs="宋体" w:hint="eastAsia"/>
          <w:szCs w:val="21"/>
        </w:rPr>
        <w:t>50</w:t>
      </w:r>
      <w:r>
        <w:rPr>
          <w:rFonts w:ascii="宋体" w:hAnsi="宋体" w:cs="宋体"/>
          <w:szCs w:val="21"/>
        </w:rPr>
        <w:t>～+</w:t>
      </w:r>
      <w:r>
        <w:rPr>
          <w:rFonts w:ascii="宋体" w:hAnsi="宋体" w:cs="宋体" w:hint="eastAsia"/>
          <w:szCs w:val="21"/>
        </w:rPr>
        <w:t>60</w:t>
      </w:r>
      <w:r>
        <w:rPr>
          <w:rFonts w:ascii="宋体" w:hAnsi="宋体" w:cs="宋体"/>
          <w:szCs w:val="21"/>
        </w:rPr>
        <w:t>℃；</w:t>
      </w:r>
    </w:p>
    <w:p>
      <w:pPr>
        <w:spacing w:line="360" w:lineRule="auto"/>
        <w:ind w:firstLine="420" w:firstLineChars="200"/>
        <w:rPr>
          <w:rFonts w:ascii="宋体" w:hAnsi="宋体" w:cs="宋体"/>
          <w:szCs w:val="21"/>
        </w:rPr>
      </w:pPr>
      <w:r>
        <w:rPr>
          <w:rFonts w:ascii="宋体" w:hAnsi="宋体" w:cs="宋体" w:hint="eastAsia"/>
          <w:szCs w:val="21"/>
        </w:rPr>
        <w:t>（3）最大</w:t>
      </w:r>
      <w:r>
        <w:rPr>
          <w:rFonts w:ascii="宋体" w:hAnsi="宋体" w:cs="宋体"/>
          <w:szCs w:val="21"/>
        </w:rPr>
        <w:t>湿度：</w:t>
      </w:r>
      <w:r>
        <w:rPr>
          <w:rFonts w:ascii="宋体" w:hAnsi="宋体" w:cs="宋体" w:hint="eastAsia"/>
          <w:szCs w:val="21"/>
        </w:rPr>
        <w:t>＜</w:t>
      </w:r>
      <w:r>
        <w:rPr>
          <w:rFonts w:ascii="宋体" w:hAnsi="宋体" w:cs="宋体"/>
          <w:szCs w:val="21"/>
        </w:rPr>
        <w:t>95%（</w:t>
      </w:r>
      <w:r>
        <w:rPr>
          <w:rFonts w:ascii="宋体" w:hAnsi="宋体" w:cs="宋体" w:hint="eastAsia"/>
          <w:szCs w:val="21"/>
        </w:rPr>
        <w:t>30</w:t>
      </w:r>
      <w:r>
        <w:rPr>
          <w:rFonts w:ascii="宋体" w:hAnsi="宋体" w:cs="宋体"/>
          <w:szCs w:val="21"/>
        </w:rPr>
        <w:t>℃）；</w:t>
      </w:r>
    </w:p>
    <w:p>
      <w:pPr>
        <w:spacing w:line="360" w:lineRule="auto"/>
        <w:ind w:firstLine="420" w:firstLineChars="200"/>
        <w:rPr>
          <w:rFonts w:ascii="宋体" w:hAnsi="宋体" w:cs="宋体"/>
          <w:szCs w:val="21"/>
        </w:rPr>
      </w:pPr>
      <w:r>
        <w:rPr>
          <w:rFonts w:ascii="宋体" w:hAnsi="宋体" w:cs="宋体" w:hint="eastAsia"/>
          <w:szCs w:val="21"/>
        </w:rPr>
        <w:t>（4）</w:t>
      </w:r>
      <w:r>
        <w:rPr>
          <w:rFonts w:ascii="宋体" w:hAnsi="宋体" w:cs="宋体"/>
          <w:szCs w:val="21"/>
        </w:rPr>
        <w:t>最大抗阵风能力：60m/s不损坏（球形天线罩），30m/s不损坏（锥形天线罩）</w:t>
      </w:r>
      <w:r>
        <w:rPr>
          <w:rFonts w:ascii="宋体" w:hAnsi="宋体" w:cs="宋体" w:hint="eastAsia"/>
          <w:szCs w:val="21"/>
        </w:rPr>
        <w:t>；</w:t>
      </w:r>
    </w:p>
    <w:p>
      <w:pPr>
        <w:spacing w:line="360" w:lineRule="auto"/>
        <w:ind w:firstLine="420" w:firstLineChars="200"/>
        <w:rPr>
          <w:rFonts w:ascii="宋体" w:hAnsi="宋体" w:cs="宋体"/>
          <w:szCs w:val="21"/>
        </w:rPr>
      </w:pPr>
      <w:r>
        <w:rPr>
          <w:rFonts w:ascii="宋体" w:hAnsi="宋体" w:cs="宋体" w:hint="eastAsia"/>
          <w:szCs w:val="21"/>
        </w:rPr>
        <w:t>（5）</w:t>
      </w:r>
      <w:r>
        <w:rPr>
          <w:rFonts w:ascii="宋体" w:hAnsi="宋体" w:cs="宋体"/>
          <w:szCs w:val="21"/>
        </w:rPr>
        <w:t>最大降水强度：6mm/min；</w:t>
      </w:r>
    </w:p>
    <w:p>
      <w:pPr>
        <w:spacing w:line="360" w:lineRule="auto"/>
        <w:ind w:firstLine="420" w:firstLineChars="200"/>
        <w:rPr>
          <w:rFonts w:ascii="宋体" w:hAnsi="宋体" w:cs="宋体"/>
          <w:szCs w:val="21"/>
        </w:rPr>
      </w:pPr>
      <w:r>
        <w:rPr>
          <w:rFonts w:ascii="宋体" w:hAnsi="宋体" w:cs="宋体" w:hint="eastAsia"/>
          <w:szCs w:val="21"/>
        </w:rPr>
        <w:t>（6）</w:t>
      </w:r>
      <w:r>
        <w:rPr>
          <w:rFonts w:ascii="宋体" w:hAnsi="宋体" w:cs="宋体"/>
          <w:szCs w:val="21"/>
        </w:rPr>
        <w:t>抗盐雾腐蚀：零件镀层耐48小时盐雾沉降试验。</w:t>
      </w:r>
    </w:p>
    <w:p>
      <w:pPr>
        <w:pStyle w:val="a2"/>
        <w:spacing w:line="360" w:lineRule="auto"/>
        <w:rPr>
          <w:rFonts w:ascii="宋体" w:hAnsi="宋体"/>
          <w:szCs w:val="21"/>
        </w:rPr>
      </w:pPr>
    </w:p>
    <w:p>
      <w:pPr>
        <w:pStyle w:val="Heading8"/>
        <w:spacing w:line="360" w:lineRule="auto"/>
        <w:rPr>
          <w:rFonts w:ascii="宋体" w:hAnsi="宋体"/>
          <w:color w:val="auto"/>
          <w:szCs w:val="21"/>
        </w:rPr>
      </w:pPr>
      <w:r>
        <w:rPr>
          <w:rFonts w:ascii="宋体" w:hAnsi="宋体" w:hint="eastAsia"/>
          <w:color w:val="auto"/>
          <w:szCs w:val="21"/>
        </w:rPr>
        <w:t>1.15.4总维修性</w:t>
      </w:r>
    </w:p>
    <w:p>
      <w:pPr>
        <w:spacing w:line="360" w:lineRule="auto"/>
        <w:ind w:firstLine="420" w:firstLineChars="200"/>
        <w:rPr>
          <w:rFonts w:ascii="宋体" w:hAnsi="宋体" w:cs="宋体"/>
          <w:szCs w:val="21"/>
        </w:rPr>
      </w:pPr>
      <w:r>
        <w:rPr>
          <w:rFonts w:ascii="宋体" w:hAnsi="宋体" w:cs="宋体" w:hint="eastAsia"/>
          <w:szCs w:val="21"/>
        </w:rPr>
        <w:t>（1）云雷达系统结构布局的设计在保证可达性的条件下，确定最小可更换单元（LRU），采用更换最小可更换单元的方法进行维修。</w:t>
      </w:r>
    </w:p>
    <w:p>
      <w:pPr>
        <w:spacing w:line="360" w:lineRule="auto"/>
        <w:ind w:firstLine="420" w:firstLineChars="200"/>
        <w:rPr>
          <w:rFonts w:ascii="宋体" w:hAnsi="宋体" w:cs="宋体"/>
          <w:szCs w:val="21"/>
        </w:rPr>
      </w:pPr>
      <w:r>
        <w:rPr>
          <w:rFonts w:ascii="宋体" w:hAnsi="宋体" w:cs="宋体" w:hint="eastAsia"/>
          <w:szCs w:val="21"/>
        </w:rPr>
        <w:t>（2）云雷达系统的各模块与组件还应设置必要的工作状态指示，便于维修时检测。</w:t>
      </w:r>
    </w:p>
    <w:p>
      <w:pPr>
        <w:spacing w:line="360" w:lineRule="auto"/>
        <w:ind w:firstLine="420" w:firstLineChars="200"/>
        <w:rPr>
          <w:rFonts w:ascii="宋体" w:hAnsi="宋体" w:cs="宋体"/>
          <w:szCs w:val="21"/>
        </w:rPr>
      </w:pPr>
      <w:r>
        <w:rPr>
          <w:rFonts w:ascii="宋体" w:hAnsi="宋体" w:cs="宋体" w:hint="eastAsia"/>
          <w:szCs w:val="21"/>
        </w:rPr>
        <w:t>（3）云雷达各模块、组件的装配采用插拔式结构，应具有良好的可达性，采用简单的通用工具即可进行维修操作。</w:t>
      </w:r>
    </w:p>
    <w:p>
      <w:pPr>
        <w:spacing w:line="360" w:lineRule="auto"/>
        <w:ind w:firstLine="420" w:firstLineChars="200"/>
        <w:rPr>
          <w:rFonts w:ascii="宋体" w:hAnsi="宋体" w:cs="宋体"/>
          <w:szCs w:val="21"/>
        </w:rPr>
      </w:pPr>
      <w:r>
        <w:rPr>
          <w:rFonts w:ascii="宋体" w:hAnsi="宋体" w:cs="宋体" w:hint="eastAsia"/>
          <w:szCs w:val="21"/>
        </w:rPr>
        <w:t>（4）云雷达系统中凡是需要维护或修理的部件均应设置观察窗口或检测点。</w:t>
      </w:r>
    </w:p>
    <w:p>
      <w:pPr>
        <w:pStyle w:val="Heading8"/>
        <w:spacing w:line="360" w:lineRule="auto"/>
        <w:rPr>
          <w:rFonts w:ascii="宋体" w:hAnsi="宋体"/>
          <w:color w:val="auto"/>
          <w:szCs w:val="21"/>
        </w:rPr>
      </w:pPr>
      <w:r>
        <w:rPr>
          <w:rFonts w:ascii="宋体" w:hAnsi="宋体" w:hint="eastAsia"/>
          <w:color w:val="auto"/>
          <w:szCs w:val="21"/>
        </w:rPr>
        <w:t>1.15.5总可靠性</w:t>
      </w:r>
    </w:p>
    <w:p>
      <w:pPr>
        <w:spacing w:line="360" w:lineRule="auto"/>
        <w:ind w:firstLine="420" w:firstLineChars="200"/>
        <w:rPr>
          <w:rFonts w:ascii="宋体" w:hAnsi="宋体" w:cs="宋体"/>
          <w:szCs w:val="21"/>
        </w:rPr>
      </w:pPr>
      <w:r>
        <w:rPr>
          <w:rFonts w:ascii="宋体" w:hAnsi="宋体" w:cs="宋体" w:hint="eastAsia"/>
          <w:szCs w:val="21"/>
        </w:rPr>
        <w:t>（1）云雷达各分机和组件应充分贯彻标准化、通用化、模块化设计原则，结合机内测试装置（BITE），保证系统的高可靠性工作。</w:t>
      </w:r>
    </w:p>
    <w:p>
      <w:pPr>
        <w:spacing w:line="360" w:lineRule="auto"/>
        <w:ind w:firstLine="420" w:firstLineChars="200"/>
        <w:rPr>
          <w:rFonts w:ascii="宋体" w:hAnsi="宋体" w:cs="宋体"/>
          <w:szCs w:val="21"/>
        </w:rPr>
      </w:pPr>
      <w:r>
        <w:rPr>
          <w:rFonts w:ascii="宋体" w:hAnsi="宋体" w:cs="宋体" w:hint="eastAsia"/>
          <w:szCs w:val="21"/>
        </w:rPr>
        <w:t>（2）云雷达使用的元器件，无论在模拟还是数字电路中，优先选用集成电路进行设计；特别是数字电路，采用大规模和超大规模集成电路。在通用元器件选用上，应选用高可靠性产品。</w:t>
      </w:r>
    </w:p>
    <w:p>
      <w:pPr>
        <w:spacing w:line="360" w:lineRule="auto"/>
        <w:ind w:firstLine="420" w:firstLineChars="200"/>
        <w:rPr>
          <w:rFonts w:ascii="宋体" w:hAnsi="宋体" w:cs="宋体"/>
          <w:szCs w:val="21"/>
        </w:rPr>
      </w:pPr>
      <w:r>
        <w:rPr>
          <w:rFonts w:ascii="宋体" w:hAnsi="宋体" w:cs="宋体" w:hint="eastAsia"/>
          <w:szCs w:val="21"/>
        </w:rPr>
        <w:t>（3）云雷达各分系统具有体积小、重量轻、工作安全以及效率高等优点。</w:t>
      </w:r>
    </w:p>
    <w:p>
      <w:pPr>
        <w:spacing w:line="360" w:lineRule="auto"/>
        <w:ind w:firstLine="420" w:firstLineChars="200"/>
        <w:rPr>
          <w:rFonts w:ascii="宋体" w:hAnsi="宋体" w:cs="宋体"/>
          <w:szCs w:val="21"/>
        </w:rPr>
      </w:pPr>
      <w:r>
        <w:rPr>
          <w:rFonts w:ascii="宋体" w:hAnsi="宋体" w:cs="宋体" w:hint="eastAsia"/>
          <w:szCs w:val="21"/>
        </w:rPr>
        <w:t>（4）云雷达各分系统的设计中，按照电磁兼容性设计标准要求进行，严格区分模拟地，数字地，以及安全地的接线关系，采取有效的电磁屏蔽措施。</w:t>
      </w:r>
    </w:p>
    <w:p>
      <w:pPr>
        <w:pStyle w:val="Heading7"/>
        <w:spacing w:before="0" w:line="360" w:lineRule="auto"/>
        <w:rPr>
          <w:rFonts w:ascii="宋体" w:hAnsi="宋体"/>
          <w:color w:val="auto"/>
          <w:szCs w:val="21"/>
        </w:rPr>
      </w:pPr>
      <w:r>
        <w:rPr>
          <w:rFonts w:ascii="宋体" w:hAnsi="宋体" w:hint="eastAsia"/>
          <w:color w:val="auto"/>
          <w:szCs w:val="21"/>
        </w:rPr>
        <w:t>1.15.6总天线分系统</w:t>
      </w:r>
    </w:p>
    <w:p>
      <w:pPr>
        <w:spacing w:line="360" w:lineRule="auto"/>
        <w:ind w:firstLine="420" w:firstLineChars="200"/>
        <w:rPr>
          <w:rFonts w:ascii="宋体" w:hAnsi="宋体"/>
          <w:szCs w:val="21"/>
        </w:rPr>
      </w:pPr>
      <w:r>
        <w:rPr>
          <w:rFonts w:ascii="宋体" w:hAnsi="宋体" w:cs="宋体" w:hint="eastAsia"/>
          <w:szCs w:val="21"/>
        </w:rPr>
        <w:t>天线分系统由卡塞格伦天线、馈源、馈线、馈线支架和天线罩等组成。用于辐射微波能量和接收目标后向散射微波功率。天线罩根据使用需求选用锥形天线罩或球形天线罩。其中，锥形天线罩需与天线尺寸相匹配。具体指标见下表。</w:t>
      </w:r>
    </w:p>
    <w:p>
      <w:pPr>
        <w:pStyle w:val="a2"/>
        <w:spacing w:line="360" w:lineRule="auto"/>
        <w:rPr>
          <w:rFonts w:ascii="宋体" w:hAnsi="宋体"/>
          <w:szCs w:val="21"/>
        </w:rPr>
      </w:pPr>
      <w:r>
        <w:rPr>
          <w:rFonts w:ascii="宋体" w:hAnsi="宋体"/>
          <w:szCs w:val="21"/>
        </w:rPr>
        <w:t>表</w:t>
      </w:r>
      <w:r>
        <w:rPr>
          <w:rFonts w:ascii="宋体" w:hAnsi="宋体" w:hint="eastAsia"/>
          <w:szCs w:val="21"/>
        </w:rPr>
        <w:t xml:space="preserve">2 </w:t>
      </w:r>
      <w:r>
        <w:rPr>
          <w:rFonts w:ascii="宋体" w:hAnsi="宋体"/>
          <w:szCs w:val="21"/>
        </w:rPr>
        <w:t>天线技术性能指标表</w:t>
      </w:r>
    </w:p>
    <w:tbl>
      <w:tblPr>
        <w:tblStyle w:val="TableNormal0"/>
        <w:tblW w:w="8560" w:type="dxa"/>
        <w:tblInd w:w="2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1792"/>
        <w:gridCol w:w="1784"/>
        <w:gridCol w:w="4984"/>
      </w:tblGrid>
      <w:tr>
        <w:tblPrEx>
          <w:tblW w:w="8560" w:type="dxa"/>
          <w:tblInd w:w="2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90"/>
        </w:trPr>
        <w:tc>
          <w:tcPr>
            <w:tcW w:w="3576" w:type="dxa"/>
            <w:gridSpan w:val="2"/>
          </w:tcPr>
          <w:p>
            <w:pPr>
              <w:spacing w:line="360" w:lineRule="auto"/>
              <w:rPr>
                <w:rFonts w:ascii="宋体" w:eastAsia="等线" w:hAnsi="宋体" w:cs="宋体"/>
                <w:szCs w:val="21"/>
              </w:rPr>
            </w:pPr>
            <w:r>
              <w:rPr>
                <w:rFonts w:ascii="宋体" w:eastAsia="等线" w:hAnsi="宋体" w:cs="宋体" w:hint="eastAsia"/>
                <w:szCs w:val="21"/>
              </w:rPr>
              <w:t>项目</w:t>
            </w:r>
          </w:p>
        </w:tc>
        <w:tc>
          <w:tcPr>
            <w:tcW w:w="4984" w:type="dxa"/>
          </w:tcPr>
          <w:p>
            <w:pPr>
              <w:spacing w:line="360" w:lineRule="auto"/>
              <w:rPr>
                <w:rFonts w:ascii="宋体" w:eastAsia="等线" w:hAnsi="宋体" w:cs="宋体"/>
                <w:szCs w:val="21"/>
              </w:rPr>
            </w:pPr>
            <w:r>
              <w:rPr>
                <w:rFonts w:ascii="宋体" w:eastAsia="等线" w:hAnsi="宋体" w:cs="宋体" w:hint="eastAsia"/>
                <w:szCs w:val="21"/>
              </w:rPr>
              <w:t>性能指标</w:t>
            </w:r>
          </w:p>
        </w:tc>
      </w:tr>
      <w:tr>
        <w:tblPrEx>
          <w:tblW w:w="8560" w:type="dxa"/>
          <w:tblInd w:w="21" w:type="dxa"/>
          <w:tblLayout w:type="fixed"/>
          <w:tblCellMar>
            <w:top w:w="0" w:type="dxa"/>
            <w:left w:w="0" w:type="dxa"/>
            <w:bottom w:w="0" w:type="dxa"/>
            <w:right w:w="0" w:type="dxa"/>
          </w:tblCellMar>
        </w:tblPrEx>
        <w:trPr>
          <w:trHeight w:val="240"/>
        </w:trPr>
        <w:tc>
          <w:tcPr>
            <w:tcW w:w="3576" w:type="dxa"/>
            <w:gridSpan w:val="2"/>
          </w:tcPr>
          <w:p>
            <w:pPr>
              <w:spacing w:line="360" w:lineRule="auto"/>
              <w:rPr>
                <w:rFonts w:ascii="宋体" w:eastAsia="等线" w:hAnsi="宋体" w:cs="宋体"/>
                <w:szCs w:val="21"/>
              </w:rPr>
            </w:pPr>
            <w:r>
              <w:rPr>
                <w:rFonts w:ascii="宋体" w:eastAsia="等线" w:hAnsi="宋体" w:cs="宋体" w:hint="eastAsia"/>
                <w:szCs w:val="21"/>
              </w:rPr>
              <w:t>天线形式</w:t>
            </w:r>
          </w:p>
        </w:tc>
        <w:tc>
          <w:tcPr>
            <w:tcW w:w="4984" w:type="dxa"/>
          </w:tcPr>
          <w:p>
            <w:pPr>
              <w:spacing w:line="360" w:lineRule="auto"/>
              <w:rPr>
                <w:rFonts w:ascii="宋体" w:eastAsia="等线" w:hAnsi="宋体" w:cs="宋体"/>
                <w:szCs w:val="21"/>
              </w:rPr>
            </w:pPr>
            <w:r>
              <w:rPr>
                <w:rFonts w:ascii="宋体" w:eastAsia="等线" w:hAnsi="宋体" w:cs="宋体" w:hint="eastAsia"/>
                <w:szCs w:val="21"/>
              </w:rPr>
              <w:t>卡塞格伦天线</w:t>
            </w:r>
          </w:p>
        </w:tc>
      </w:tr>
      <w:tr>
        <w:tblPrEx>
          <w:tblW w:w="8560" w:type="dxa"/>
          <w:tblInd w:w="21" w:type="dxa"/>
          <w:tblLayout w:type="fixed"/>
          <w:tblCellMar>
            <w:top w:w="0" w:type="dxa"/>
            <w:left w:w="0" w:type="dxa"/>
            <w:bottom w:w="0" w:type="dxa"/>
            <w:right w:w="0" w:type="dxa"/>
          </w:tblCellMar>
        </w:tblPrEx>
        <w:trPr>
          <w:trHeight w:val="237"/>
        </w:trPr>
        <w:tc>
          <w:tcPr>
            <w:tcW w:w="3576" w:type="dxa"/>
            <w:gridSpan w:val="2"/>
          </w:tcPr>
          <w:p>
            <w:pPr>
              <w:spacing w:line="360" w:lineRule="auto"/>
              <w:rPr>
                <w:rFonts w:ascii="宋体" w:eastAsia="等线" w:hAnsi="宋体" w:cs="宋体"/>
                <w:szCs w:val="21"/>
              </w:rPr>
            </w:pPr>
            <w:r>
              <w:rPr>
                <w:rFonts w:ascii="宋体" w:eastAsia="等线" w:hAnsi="宋体" w:cs="宋体" w:hint="eastAsia"/>
                <w:szCs w:val="21"/>
              </w:rPr>
              <w:t>频率</w:t>
            </w:r>
          </w:p>
        </w:tc>
        <w:tc>
          <w:tcPr>
            <w:tcW w:w="4984" w:type="dxa"/>
          </w:tcPr>
          <w:p>
            <w:pPr>
              <w:spacing w:line="360" w:lineRule="auto"/>
              <w:rPr>
                <w:rFonts w:ascii="宋体" w:eastAsia="等线" w:hAnsi="宋体" w:cs="宋体"/>
                <w:szCs w:val="21"/>
              </w:rPr>
            </w:pPr>
            <w:r>
              <w:rPr>
                <w:rFonts w:ascii="宋体" w:eastAsia="等线" w:hAnsi="宋体" w:cs="宋体" w:hint="eastAsia"/>
                <w:szCs w:val="21"/>
              </w:rPr>
              <w:t>34.5GHz～35.5GHz</w:t>
            </w:r>
          </w:p>
        </w:tc>
      </w:tr>
      <w:tr>
        <w:tblPrEx>
          <w:tblW w:w="8560" w:type="dxa"/>
          <w:tblInd w:w="21" w:type="dxa"/>
          <w:tblLayout w:type="fixed"/>
          <w:tblCellMar>
            <w:top w:w="0" w:type="dxa"/>
            <w:left w:w="0" w:type="dxa"/>
            <w:bottom w:w="0" w:type="dxa"/>
            <w:right w:w="0" w:type="dxa"/>
          </w:tblCellMar>
        </w:tblPrEx>
        <w:trPr>
          <w:trHeight w:val="239"/>
        </w:trPr>
        <w:tc>
          <w:tcPr>
            <w:tcW w:w="3576" w:type="dxa"/>
            <w:gridSpan w:val="2"/>
          </w:tcPr>
          <w:p>
            <w:pPr>
              <w:spacing w:line="360" w:lineRule="auto"/>
              <w:rPr>
                <w:rFonts w:ascii="宋体" w:eastAsia="等线" w:hAnsi="宋体" w:cs="宋体"/>
                <w:szCs w:val="21"/>
              </w:rPr>
            </w:pPr>
            <w:r>
              <w:rPr>
                <w:rFonts w:ascii="宋体" w:eastAsia="等线" w:hAnsi="宋体" w:cs="宋体" w:hint="eastAsia"/>
                <w:szCs w:val="21"/>
              </w:rPr>
              <w:t>极化方式</w:t>
            </w:r>
          </w:p>
        </w:tc>
        <w:tc>
          <w:tcPr>
            <w:tcW w:w="4984" w:type="dxa"/>
          </w:tcPr>
          <w:p>
            <w:pPr>
              <w:spacing w:line="360" w:lineRule="auto"/>
              <w:rPr>
                <w:rFonts w:ascii="宋体" w:eastAsia="等线" w:hAnsi="宋体" w:cs="宋体"/>
                <w:szCs w:val="21"/>
              </w:rPr>
            </w:pPr>
            <w:r>
              <w:rPr>
                <w:rFonts w:ascii="宋体" w:eastAsia="等线" w:hAnsi="宋体" w:cs="宋体" w:hint="eastAsia"/>
                <w:szCs w:val="21"/>
              </w:rPr>
              <w:t>线性水平、垂直极化</w:t>
            </w:r>
          </w:p>
        </w:tc>
      </w:tr>
      <w:tr>
        <w:tblPrEx>
          <w:tblW w:w="8560" w:type="dxa"/>
          <w:tblInd w:w="21" w:type="dxa"/>
          <w:tblLayout w:type="fixed"/>
          <w:tblCellMar>
            <w:top w:w="0" w:type="dxa"/>
            <w:left w:w="0" w:type="dxa"/>
            <w:bottom w:w="0" w:type="dxa"/>
            <w:right w:w="0" w:type="dxa"/>
          </w:tblCellMar>
        </w:tblPrEx>
        <w:trPr>
          <w:trHeight w:val="259"/>
        </w:trPr>
        <w:tc>
          <w:tcPr>
            <w:tcW w:w="3576" w:type="dxa"/>
            <w:gridSpan w:val="2"/>
          </w:tcPr>
          <w:p>
            <w:pPr>
              <w:spacing w:line="360" w:lineRule="auto"/>
              <w:rPr>
                <w:rFonts w:ascii="宋体" w:eastAsia="等线" w:hAnsi="宋体" w:cs="宋体"/>
                <w:szCs w:val="21"/>
              </w:rPr>
            </w:pPr>
            <w:r>
              <w:rPr>
                <w:rFonts w:ascii="宋体" w:eastAsia="等线" w:hAnsi="宋体" w:cs="宋体" w:hint="eastAsia"/>
                <w:szCs w:val="21"/>
              </w:rPr>
              <w:t>天线有效口径</w:t>
            </w:r>
          </w:p>
        </w:tc>
        <w:tc>
          <w:tcPr>
            <w:tcW w:w="4984" w:type="dxa"/>
          </w:tcPr>
          <w:p>
            <w:pPr>
              <w:spacing w:line="360" w:lineRule="auto"/>
              <w:rPr>
                <w:rFonts w:ascii="宋体" w:eastAsia="等线" w:hAnsi="宋体" w:cs="宋体"/>
                <w:szCs w:val="21"/>
              </w:rPr>
            </w:pPr>
            <w:r>
              <w:rPr>
                <w:rFonts w:ascii="宋体" w:eastAsia="等线" w:hAnsi="宋体" w:cs="宋体" w:hint="eastAsia"/>
                <w:szCs w:val="21"/>
              </w:rPr>
              <w:t>1.8m</w:t>
            </w:r>
          </w:p>
        </w:tc>
      </w:tr>
      <w:tr>
        <w:tblPrEx>
          <w:tblW w:w="8560" w:type="dxa"/>
          <w:tblInd w:w="21" w:type="dxa"/>
          <w:tblLayout w:type="fixed"/>
          <w:tblCellMar>
            <w:top w:w="0" w:type="dxa"/>
            <w:left w:w="0" w:type="dxa"/>
            <w:bottom w:w="0" w:type="dxa"/>
            <w:right w:w="0" w:type="dxa"/>
          </w:tblCellMar>
        </w:tblPrEx>
        <w:trPr>
          <w:trHeight w:val="280"/>
        </w:trPr>
        <w:tc>
          <w:tcPr>
            <w:tcW w:w="3576" w:type="dxa"/>
            <w:gridSpan w:val="2"/>
          </w:tcPr>
          <w:p>
            <w:pPr>
              <w:spacing w:line="360" w:lineRule="auto"/>
              <w:rPr>
                <w:rFonts w:ascii="宋体" w:eastAsia="等线" w:hAnsi="宋体" w:cs="宋体"/>
                <w:szCs w:val="21"/>
              </w:rPr>
            </w:pPr>
            <w:r>
              <w:rPr>
                <w:rFonts w:ascii="宋体" w:eastAsia="等线" w:hAnsi="宋体" w:cs="宋体" w:hint="eastAsia"/>
                <w:szCs w:val="21"/>
              </w:rPr>
              <w:t>水平波束宽度（3dB）</w:t>
            </w:r>
          </w:p>
        </w:tc>
        <w:tc>
          <w:tcPr>
            <w:tcW w:w="4984" w:type="dxa"/>
          </w:tcPr>
          <w:p>
            <w:pPr>
              <w:spacing w:line="360" w:lineRule="auto"/>
              <w:rPr>
                <w:rFonts w:ascii="宋体" w:eastAsia="等线" w:hAnsi="宋体" w:cs="宋体"/>
                <w:szCs w:val="21"/>
              </w:rPr>
            </w:pPr>
            <w:r>
              <w:rPr>
                <w:rFonts w:ascii="宋体" w:eastAsia="等线" w:hAnsi="宋体" w:cs="宋体" w:hint="eastAsia"/>
                <w:szCs w:val="21"/>
              </w:rPr>
              <w:t>≤0.4 °</w:t>
            </w:r>
          </w:p>
        </w:tc>
      </w:tr>
      <w:tr>
        <w:tblPrEx>
          <w:tblW w:w="8560" w:type="dxa"/>
          <w:tblInd w:w="21" w:type="dxa"/>
          <w:tblLayout w:type="fixed"/>
          <w:tblCellMar>
            <w:top w:w="0" w:type="dxa"/>
            <w:left w:w="0" w:type="dxa"/>
            <w:bottom w:w="0" w:type="dxa"/>
            <w:right w:w="0" w:type="dxa"/>
          </w:tblCellMar>
        </w:tblPrEx>
        <w:trPr>
          <w:trHeight w:val="237"/>
        </w:trPr>
        <w:tc>
          <w:tcPr>
            <w:tcW w:w="3576" w:type="dxa"/>
            <w:gridSpan w:val="2"/>
          </w:tcPr>
          <w:p>
            <w:pPr>
              <w:spacing w:line="360" w:lineRule="auto"/>
              <w:rPr>
                <w:rFonts w:ascii="宋体" w:eastAsia="等线" w:hAnsi="宋体" w:cs="宋体"/>
                <w:szCs w:val="21"/>
              </w:rPr>
            </w:pPr>
            <w:r>
              <w:rPr>
                <w:rFonts w:ascii="宋体" w:eastAsia="等线" w:hAnsi="宋体" w:cs="宋体" w:hint="eastAsia"/>
                <w:szCs w:val="21"/>
              </w:rPr>
              <w:t>垂直波束宽度（3dB）</w:t>
            </w:r>
          </w:p>
        </w:tc>
        <w:tc>
          <w:tcPr>
            <w:tcW w:w="4984" w:type="dxa"/>
          </w:tcPr>
          <w:p>
            <w:pPr>
              <w:spacing w:line="360" w:lineRule="auto"/>
              <w:rPr>
                <w:rFonts w:ascii="宋体" w:eastAsia="等线" w:hAnsi="宋体" w:cs="宋体"/>
                <w:szCs w:val="21"/>
              </w:rPr>
            </w:pPr>
            <w:r>
              <w:rPr>
                <w:rFonts w:ascii="宋体" w:eastAsia="等线" w:hAnsi="宋体" w:cs="宋体" w:hint="eastAsia"/>
                <w:szCs w:val="21"/>
              </w:rPr>
              <w:t>≤0.4 °</w:t>
            </w:r>
          </w:p>
        </w:tc>
      </w:tr>
      <w:tr>
        <w:tblPrEx>
          <w:tblW w:w="8560" w:type="dxa"/>
          <w:tblInd w:w="21" w:type="dxa"/>
          <w:tblLayout w:type="fixed"/>
          <w:tblCellMar>
            <w:top w:w="0" w:type="dxa"/>
            <w:left w:w="0" w:type="dxa"/>
            <w:bottom w:w="0" w:type="dxa"/>
            <w:right w:w="0" w:type="dxa"/>
          </w:tblCellMar>
        </w:tblPrEx>
        <w:trPr>
          <w:trHeight w:val="239"/>
        </w:trPr>
        <w:tc>
          <w:tcPr>
            <w:tcW w:w="3576" w:type="dxa"/>
            <w:gridSpan w:val="2"/>
          </w:tcPr>
          <w:p>
            <w:pPr>
              <w:spacing w:line="360" w:lineRule="auto"/>
              <w:rPr>
                <w:rFonts w:ascii="宋体" w:eastAsia="等线" w:hAnsi="宋体" w:cs="宋体"/>
                <w:szCs w:val="21"/>
              </w:rPr>
            </w:pPr>
            <w:r>
              <w:rPr>
                <w:rFonts w:ascii="宋体" w:eastAsia="等线" w:hAnsi="宋体" w:cs="宋体" w:hint="eastAsia"/>
                <w:szCs w:val="21"/>
              </w:rPr>
              <w:t>3dB 波束宽度差</w:t>
            </w:r>
          </w:p>
        </w:tc>
        <w:tc>
          <w:tcPr>
            <w:tcW w:w="4984" w:type="dxa"/>
          </w:tcPr>
          <w:p>
            <w:pPr>
              <w:spacing w:line="360" w:lineRule="auto"/>
              <w:rPr>
                <w:rFonts w:ascii="宋体" w:eastAsia="等线" w:hAnsi="宋体" w:cs="宋体"/>
                <w:szCs w:val="21"/>
              </w:rPr>
            </w:pPr>
            <w:r>
              <w:rPr>
                <w:rFonts w:ascii="宋体" w:eastAsia="等线" w:hAnsi="宋体" w:cs="宋体" w:hint="eastAsia"/>
                <w:szCs w:val="21"/>
              </w:rPr>
              <w:t>≤0.05 °</w:t>
            </w:r>
          </w:p>
        </w:tc>
      </w:tr>
      <w:tr>
        <w:tblPrEx>
          <w:tblW w:w="8560" w:type="dxa"/>
          <w:tblInd w:w="21" w:type="dxa"/>
          <w:tblLayout w:type="fixed"/>
          <w:tblCellMar>
            <w:top w:w="0" w:type="dxa"/>
            <w:left w:w="0" w:type="dxa"/>
            <w:bottom w:w="0" w:type="dxa"/>
            <w:right w:w="0" w:type="dxa"/>
          </w:tblCellMar>
        </w:tblPrEx>
        <w:trPr>
          <w:trHeight w:val="237"/>
        </w:trPr>
        <w:tc>
          <w:tcPr>
            <w:tcW w:w="3576" w:type="dxa"/>
            <w:gridSpan w:val="2"/>
          </w:tcPr>
          <w:p>
            <w:pPr>
              <w:spacing w:line="360" w:lineRule="auto"/>
              <w:rPr>
                <w:rFonts w:ascii="宋体" w:eastAsia="等线" w:hAnsi="宋体" w:cs="宋体"/>
                <w:szCs w:val="21"/>
              </w:rPr>
            </w:pPr>
            <w:r>
              <w:rPr>
                <w:rFonts w:ascii="宋体" w:eastAsia="等线" w:hAnsi="宋体" w:cs="宋体" w:hint="eastAsia"/>
                <w:szCs w:val="21"/>
              </w:rPr>
              <w:t>波束（电轴）指向方向差</w:t>
            </w:r>
          </w:p>
        </w:tc>
        <w:tc>
          <w:tcPr>
            <w:tcW w:w="4984" w:type="dxa"/>
          </w:tcPr>
          <w:p>
            <w:pPr>
              <w:spacing w:line="360" w:lineRule="auto"/>
              <w:rPr>
                <w:rFonts w:ascii="宋体" w:eastAsia="等线" w:hAnsi="宋体" w:cs="宋体"/>
                <w:szCs w:val="21"/>
              </w:rPr>
            </w:pPr>
            <w:r>
              <w:rPr>
                <w:rFonts w:ascii="宋体" w:eastAsia="等线" w:hAnsi="宋体" w:cs="宋体" w:hint="eastAsia"/>
                <w:szCs w:val="21"/>
              </w:rPr>
              <w:t>≤0.05 °</w:t>
            </w:r>
          </w:p>
        </w:tc>
      </w:tr>
      <w:tr>
        <w:tblPrEx>
          <w:tblW w:w="8560" w:type="dxa"/>
          <w:tblInd w:w="21" w:type="dxa"/>
          <w:tblLayout w:type="fixed"/>
          <w:tblCellMar>
            <w:top w:w="0" w:type="dxa"/>
            <w:left w:w="0" w:type="dxa"/>
            <w:bottom w:w="0" w:type="dxa"/>
            <w:right w:w="0" w:type="dxa"/>
          </w:tblCellMar>
        </w:tblPrEx>
        <w:trPr>
          <w:trHeight w:val="240"/>
        </w:trPr>
        <w:tc>
          <w:tcPr>
            <w:tcW w:w="1792" w:type="dxa"/>
            <w:vMerge w:val="restart"/>
            <w:tcBorders>
              <w:bottom w:val="nil"/>
            </w:tcBorders>
          </w:tcPr>
          <w:p>
            <w:pPr>
              <w:spacing w:line="360" w:lineRule="auto"/>
              <w:rPr>
                <w:rFonts w:ascii="宋体" w:eastAsia="等线" w:hAnsi="宋体" w:cs="宋体"/>
                <w:szCs w:val="21"/>
              </w:rPr>
            </w:pPr>
            <w:r>
              <w:rPr>
                <w:rFonts w:ascii="宋体" w:eastAsia="等线" w:hAnsi="宋体" w:cs="宋体" w:hint="eastAsia"/>
                <w:szCs w:val="21"/>
              </w:rPr>
              <w:t>增益</w:t>
            </w:r>
          </w:p>
        </w:tc>
        <w:tc>
          <w:tcPr>
            <w:tcW w:w="1784" w:type="dxa"/>
          </w:tcPr>
          <w:p>
            <w:pPr>
              <w:spacing w:line="360" w:lineRule="auto"/>
              <w:rPr>
                <w:rFonts w:ascii="宋体" w:eastAsia="等线" w:hAnsi="宋体" w:cs="宋体"/>
                <w:szCs w:val="21"/>
              </w:rPr>
            </w:pPr>
            <w:r>
              <w:rPr>
                <w:rFonts w:ascii="宋体" w:eastAsia="等线" w:hAnsi="宋体" w:cs="宋体" w:hint="eastAsia"/>
                <w:szCs w:val="21"/>
              </w:rPr>
              <w:t>水平</w:t>
            </w:r>
          </w:p>
        </w:tc>
        <w:tc>
          <w:tcPr>
            <w:tcW w:w="4984" w:type="dxa"/>
          </w:tcPr>
          <w:p>
            <w:pPr>
              <w:spacing w:line="360" w:lineRule="auto"/>
              <w:rPr>
                <w:rFonts w:ascii="宋体" w:eastAsia="等线" w:hAnsi="宋体" w:cs="宋体"/>
                <w:szCs w:val="21"/>
              </w:rPr>
            </w:pPr>
            <w:r>
              <w:rPr>
                <w:rFonts w:ascii="宋体" w:eastAsia="等线" w:hAnsi="宋体" w:cs="宋体" w:hint="eastAsia"/>
                <w:szCs w:val="21"/>
              </w:rPr>
              <w:t>≥52dB</w:t>
            </w:r>
          </w:p>
        </w:tc>
      </w:tr>
      <w:tr>
        <w:tblPrEx>
          <w:tblW w:w="8560" w:type="dxa"/>
          <w:tblInd w:w="21" w:type="dxa"/>
          <w:tblLayout w:type="fixed"/>
          <w:tblCellMar>
            <w:top w:w="0" w:type="dxa"/>
            <w:left w:w="0" w:type="dxa"/>
            <w:bottom w:w="0" w:type="dxa"/>
            <w:right w:w="0" w:type="dxa"/>
          </w:tblCellMar>
        </w:tblPrEx>
        <w:trPr>
          <w:trHeight w:val="247"/>
        </w:trPr>
        <w:tc>
          <w:tcPr>
            <w:tcW w:w="1792" w:type="dxa"/>
            <w:vMerge/>
            <w:tcBorders>
              <w:top w:val="nil"/>
            </w:tcBorders>
          </w:tcPr>
          <w:p>
            <w:pPr>
              <w:spacing w:line="360" w:lineRule="auto"/>
              <w:rPr>
                <w:rFonts w:ascii="宋体" w:eastAsia="等线" w:hAnsi="宋体" w:cs="宋体"/>
                <w:szCs w:val="21"/>
              </w:rPr>
            </w:pPr>
          </w:p>
        </w:tc>
        <w:tc>
          <w:tcPr>
            <w:tcW w:w="1784" w:type="dxa"/>
          </w:tcPr>
          <w:p>
            <w:pPr>
              <w:spacing w:line="360" w:lineRule="auto"/>
              <w:rPr>
                <w:rFonts w:ascii="宋体" w:eastAsia="等线" w:hAnsi="宋体" w:cs="宋体"/>
                <w:szCs w:val="21"/>
              </w:rPr>
            </w:pPr>
            <w:r>
              <w:rPr>
                <w:rFonts w:ascii="宋体" w:eastAsia="等线" w:hAnsi="宋体" w:cs="宋体" w:hint="eastAsia"/>
                <w:szCs w:val="21"/>
              </w:rPr>
              <w:t>垂直</w:t>
            </w:r>
          </w:p>
        </w:tc>
        <w:tc>
          <w:tcPr>
            <w:tcW w:w="4984" w:type="dxa"/>
          </w:tcPr>
          <w:p>
            <w:pPr>
              <w:spacing w:line="360" w:lineRule="auto"/>
              <w:rPr>
                <w:rFonts w:ascii="宋体" w:eastAsia="等线" w:hAnsi="宋体" w:cs="宋体"/>
                <w:szCs w:val="21"/>
              </w:rPr>
            </w:pPr>
            <w:r>
              <w:rPr>
                <w:rFonts w:ascii="宋体" w:eastAsia="等线" w:hAnsi="宋体" w:cs="宋体" w:hint="eastAsia"/>
                <w:szCs w:val="21"/>
              </w:rPr>
              <w:t>≥52dB</w:t>
            </w:r>
          </w:p>
        </w:tc>
      </w:tr>
      <w:tr>
        <w:tblPrEx>
          <w:tblW w:w="8560" w:type="dxa"/>
          <w:tblInd w:w="21" w:type="dxa"/>
          <w:tblLayout w:type="fixed"/>
          <w:tblCellMar>
            <w:top w:w="0" w:type="dxa"/>
            <w:left w:w="0" w:type="dxa"/>
            <w:bottom w:w="0" w:type="dxa"/>
            <w:right w:w="0" w:type="dxa"/>
          </w:tblCellMar>
        </w:tblPrEx>
        <w:trPr>
          <w:trHeight w:val="237"/>
        </w:trPr>
        <w:tc>
          <w:tcPr>
            <w:tcW w:w="3576" w:type="dxa"/>
            <w:gridSpan w:val="2"/>
          </w:tcPr>
          <w:p>
            <w:pPr>
              <w:spacing w:line="360" w:lineRule="auto"/>
              <w:rPr>
                <w:rFonts w:ascii="宋体" w:eastAsia="等线" w:hAnsi="宋体" w:cs="宋体"/>
                <w:szCs w:val="21"/>
              </w:rPr>
            </w:pPr>
            <w:r>
              <w:rPr>
                <w:rFonts w:ascii="宋体" w:eastAsia="等线" w:hAnsi="宋体" w:cs="宋体" w:hint="eastAsia"/>
                <w:szCs w:val="21"/>
              </w:rPr>
              <w:t>天线增益差</w:t>
            </w:r>
          </w:p>
        </w:tc>
        <w:tc>
          <w:tcPr>
            <w:tcW w:w="4984" w:type="dxa"/>
          </w:tcPr>
          <w:p>
            <w:pPr>
              <w:spacing w:line="360" w:lineRule="auto"/>
              <w:rPr>
                <w:rFonts w:ascii="宋体" w:eastAsia="等线" w:hAnsi="宋体" w:cs="宋体"/>
                <w:szCs w:val="21"/>
              </w:rPr>
            </w:pPr>
            <w:r>
              <w:rPr>
                <w:rFonts w:ascii="宋体" w:eastAsia="等线" w:hAnsi="宋体" w:cs="宋体" w:hint="eastAsia"/>
                <w:szCs w:val="21"/>
              </w:rPr>
              <w:t>≤0.3dB</w:t>
            </w:r>
          </w:p>
        </w:tc>
      </w:tr>
      <w:tr>
        <w:tblPrEx>
          <w:tblW w:w="8560" w:type="dxa"/>
          <w:tblInd w:w="21" w:type="dxa"/>
          <w:tblLayout w:type="fixed"/>
          <w:tblCellMar>
            <w:top w:w="0" w:type="dxa"/>
            <w:left w:w="0" w:type="dxa"/>
            <w:bottom w:w="0" w:type="dxa"/>
            <w:right w:w="0" w:type="dxa"/>
          </w:tblCellMar>
        </w:tblPrEx>
        <w:trPr>
          <w:trHeight w:val="237"/>
        </w:trPr>
        <w:tc>
          <w:tcPr>
            <w:tcW w:w="3576" w:type="dxa"/>
            <w:gridSpan w:val="2"/>
            <w:shd w:val="clear" w:color="auto" w:fill="FFFFFF"/>
          </w:tcPr>
          <w:p>
            <w:pPr>
              <w:spacing w:line="360" w:lineRule="auto"/>
              <w:rPr>
                <w:rFonts w:ascii="宋体" w:eastAsia="等线" w:hAnsi="宋体" w:cs="宋体"/>
                <w:szCs w:val="21"/>
              </w:rPr>
            </w:pPr>
            <w:r>
              <w:rPr>
                <w:rFonts w:ascii="宋体" w:eastAsia="等线" w:hAnsi="宋体" w:cs="宋体" w:hint="eastAsia"/>
                <w:szCs w:val="21"/>
              </w:rPr>
              <w:t>第一副瓣电平</w:t>
            </w:r>
          </w:p>
        </w:tc>
        <w:tc>
          <w:tcPr>
            <w:tcW w:w="4984" w:type="dxa"/>
            <w:shd w:val="clear" w:color="auto" w:fill="FFFFFF"/>
          </w:tcPr>
          <w:p>
            <w:pPr>
              <w:spacing w:line="360" w:lineRule="auto"/>
              <w:rPr>
                <w:rFonts w:ascii="宋体" w:eastAsia="等线" w:hAnsi="宋体" w:cs="宋体"/>
                <w:szCs w:val="21"/>
              </w:rPr>
            </w:pPr>
            <w:r>
              <w:rPr>
                <w:rFonts w:ascii="宋体" w:eastAsia="等线" w:hAnsi="宋体" w:cs="宋体" w:hint="eastAsia"/>
                <w:szCs w:val="21"/>
              </w:rPr>
              <w:t>≤-23dB</w:t>
            </w:r>
          </w:p>
        </w:tc>
      </w:tr>
      <w:tr>
        <w:tblPrEx>
          <w:tblW w:w="8560" w:type="dxa"/>
          <w:tblInd w:w="21" w:type="dxa"/>
          <w:tblLayout w:type="fixed"/>
          <w:tblCellMar>
            <w:top w:w="0" w:type="dxa"/>
            <w:left w:w="0" w:type="dxa"/>
            <w:bottom w:w="0" w:type="dxa"/>
            <w:right w:w="0" w:type="dxa"/>
          </w:tblCellMar>
        </w:tblPrEx>
        <w:trPr>
          <w:trHeight w:val="240"/>
        </w:trPr>
        <w:tc>
          <w:tcPr>
            <w:tcW w:w="3576" w:type="dxa"/>
            <w:gridSpan w:val="2"/>
          </w:tcPr>
          <w:p>
            <w:pPr>
              <w:spacing w:line="360" w:lineRule="auto"/>
              <w:rPr>
                <w:rFonts w:ascii="宋体" w:eastAsia="等线" w:hAnsi="宋体" w:cs="宋体"/>
                <w:szCs w:val="21"/>
              </w:rPr>
            </w:pPr>
            <w:r>
              <w:rPr>
                <w:rFonts w:ascii="宋体" w:eastAsia="等线" w:hAnsi="宋体" w:cs="宋体" w:hint="eastAsia"/>
                <w:szCs w:val="21"/>
              </w:rPr>
              <w:t>远端副瓣电平(±10°以外）</w:t>
            </w:r>
          </w:p>
        </w:tc>
        <w:tc>
          <w:tcPr>
            <w:tcW w:w="4984" w:type="dxa"/>
          </w:tcPr>
          <w:p>
            <w:pPr>
              <w:spacing w:line="360" w:lineRule="auto"/>
              <w:rPr>
                <w:rFonts w:ascii="宋体" w:eastAsia="等线" w:hAnsi="宋体" w:cs="宋体"/>
                <w:szCs w:val="21"/>
              </w:rPr>
            </w:pPr>
            <w:r>
              <w:rPr>
                <w:rFonts w:ascii="宋体" w:eastAsia="等线" w:hAnsi="宋体" w:cs="宋体" w:hint="eastAsia"/>
                <w:szCs w:val="21"/>
              </w:rPr>
              <w:t>≤-40dB</w:t>
            </w:r>
          </w:p>
        </w:tc>
      </w:tr>
      <w:tr>
        <w:tblPrEx>
          <w:tblW w:w="8560" w:type="dxa"/>
          <w:tblInd w:w="21" w:type="dxa"/>
          <w:tblLayout w:type="fixed"/>
          <w:tblCellMar>
            <w:top w:w="0" w:type="dxa"/>
            <w:left w:w="0" w:type="dxa"/>
            <w:bottom w:w="0" w:type="dxa"/>
            <w:right w:w="0" w:type="dxa"/>
          </w:tblCellMar>
        </w:tblPrEx>
        <w:trPr>
          <w:trHeight w:val="237"/>
        </w:trPr>
        <w:tc>
          <w:tcPr>
            <w:tcW w:w="3576" w:type="dxa"/>
            <w:gridSpan w:val="2"/>
          </w:tcPr>
          <w:p>
            <w:pPr>
              <w:spacing w:line="360" w:lineRule="auto"/>
              <w:rPr>
                <w:rFonts w:ascii="宋体" w:eastAsia="等线" w:hAnsi="宋体" w:cs="宋体"/>
                <w:szCs w:val="21"/>
              </w:rPr>
            </w:pPr>
            <w:r>
              <w:rPr>
                <w:rFonts w:ascii="宋体" w:eastAsia="等线" w:hAnsi="宋体" w:cs="宋体" w:hint="eastAsia"/>
                <w:szCs w:val="21"/>
              </w:rPr>
              <w:t>交叉极化隔离度</w:t>
            </w:r>
          </w:p>
        </w:tc>
        <w:tc>
          <w:tcPr>
            <w:tcW w:w="4984" w:type="dxa"/>
          </w:tcPr>
          <w:p>
            <w:pPr>
              <w:spacing w:line="360" w:lineRule="auto"/>
              <w:rPr>
                <w:rFonts w:ascii="宋体" w:eastAsia="等线" w:hAnsi="宋体" w:cs="宋体"/>
                <w:szCs w:val="21"/>
              </w:rPr>
            </w:pPr>
            <w:r>
              <w:rPr>
                <w:rFonts w:ascii="宋体" w:eastAsia="等线" w:hAnsi="宋体" w:cs="宋体" w:hint="eastAsia"/>
                <w:szCs w:val="21"/>
              </w:rPr>
              <w:t>≥30dB</w:t>
            </w:r>
          </w:p>
        </w:tc>
      </w:tr>
      <w:tr>
        <w:tblPrEx>
          <w:tblW w:w="8560" w:type="dxa"/>
          <w:tblInd w:w="21" w:type="dxa"/>
          <w:tblLayout w:type="fixed"/>
          <w:tblCellMar>
            <w:top w:w="0" w:type="dxa"/>
            <w:left w:w="0" w:type="dxa"/>
            <w:bottom w:w="0" w:type="dxa"/>
            <w:right w:w="0" w:type="dxa"/>
          </w:tblCellMar>
        </w:tblPrEx>
        <w:trPr>
          <w:trHeight w:val="239"/>
        </w:trPr>
        <w:tc>
          <w:tcPr>
            <w:tcW w:w="3576" w:type="dxa"/>
            <w:gridSpan w:val="2"/>
          </w:tcPr>
          <w:p>
            <w:pPr>
              <w:spacing w:line="360" w:lineRule="auto"/>
              <w:rPr>
                <w:rFonts w:ascii="宋体" w:eastAsia="等线" w:hAnsi="宋体" w:cs="宋体"/>
                <w:szCs w:val="21"/>
              </w:rPr>
            </w:pPr>
            <w:r>
              <w:rPr>
                <w:rFonts w:ascii="宋体" w:eastAsia="等线" w:hAnsi="宋体" w:cs="宋体" w:hint="eastAsia"/>
                <w:szCs w:val="21"/>
              </w:rPr>
              <w:t>驻波比</w:t>
            </w:r>
          </w:p>
        </w:tc>
        <w:tc>
          <w:tcPr>
            <w:tcW w:w="4984" w:type="dxa"/>
          </w:tcPr>
          <w:p>
            <w:pPr>
              <w:spacing w:line="360" w:lineRule="auto"/>
              <w:rPr>
                <w:rFonts w:ascii="宋体" w:eastAsia="等线" w:hAnsi="宋体" w:cs="宋体"/>
                <w:szCs w:val="21"/>
              </w:rPr>
            </w:pPr>
            <w:r>
              <w:rPr>
                <w:rFonts w:ascii="宋体" w:eastAsia="等线" w:hAnsi="宋体" w:cs="宋体" w:hint="eastAsia"/>
                <w:szCs w:val="21"/>
              </w:rPr>
              <w:t>≤1.5</w:t>
            </w:r>
          </w:p>
        </w:tc>
      </w:tr>
      <w:tr>
        <w:tblPrEx>
          <w:tblW w:w="8560" w:type="dxa"/>
          <w:tblInd w:w="21" w:type="dxa"/>
          <w:tblLayout w:type="fixed"/>
          <w:tblCellMar>
            <w:top w:w="0" w:type="dxa"/>
            <w:left w:w="0" w:type="dxa"/>
            <w:bottom w:w="0" w:type="dxa"/>
            <w:right w:w="0" w:type="dxa"/>
          </w:tblCellMar>
        </w:tblPrEx>
        <w:trPr>
          <w:trHeight w:val="242"/>
        </w:trPr>
        <w:tc>
          <w:tcPr>
            <w:tcW w:w="3576" w:type="dxa"/>
            <w:gridSpan w:val="2"/>
          </w:tcPr>
          <w:p>
            <w:pPr>
              <w:spacing w:line="360" w:lineRule="auto"/>
              <w:rPr>
                <w:rFonts w:ascii="宋体" w:eastAsia="等线" w:hAnsi="宋体" w:cs="宋体"/>
                <w:szCs w:val="21"/>
              </w:rPr>
            </w:pPr>
            <w:r>
              <w:rPr>
                <w:rFonts w:ascii="宋体" w:eastAsia="等线" w:hAnsi="宋体" w:cs="宋体" w:hint="eastAsia"/>
                <w:szCs w:val="21"/>
              </w:rPr>
              <w:t>▲天线罩双程损耗</w:t>
            </w:r>
          </w:p>
          <w:p>
            <w:pPr>
              <w:spacing w:line="360" w:lineRule="auto"/>
              <w:rPr>
                <w:rFonts w:ascii="宋体" w:eastAsia="等线" w:hAnsi="宋体" w:cs="宋体"/>
                <w:szCs w:val="21"/>
              </w:rPr>
            </w:pPr>
            <w:r>
              <w:rPr>
                <w:rFonts w:ascii="宋体" w:eastAsia="等线" w:hAnsi="宋体" w:cs="宋体" w:hint="eastAsia"/>
                <w:szCs w:val="21"/>
              </w:rPr>
              <w:t>须提供第三方机构出具的</w:t>
            </w:r>
            <w:r>
              <w:rPr>
                <w:rFonts w:ascii="宋体" w:eastAsia="等线" w:hAnsi="宋体" w:cs="宋体"/>
                <w:szCs w:val="21"/>
              </w:rPr>
              <w:t>证明文件复印件</w:t>
            </w:r>
            <w:r>
              <w:rPr>
                <w:rFonts w:ascii="宋体" w:eastAsia="等线" w:hAnsi="宋体" w:cs="宋体" w:hint="eastAsia"/>
                <w:szCs w:val="21"/>
              </w:rPr>
              <w:t>进行</w:t>
            </w:r>
            <w:r>
              <w:rPr>
                <w:rFonts w:ascii="宋体" w:eastAsia="等线" w:hAnsi="宋体" w:cs="宋体"/>
                <w:szCs w:val="21"/>
              </w:rPr>
              <w:t>佐证</w:t>
            </w:r>
          </w:p>
        </w:tc>
        <w:tc>
          <w:tcPr>
            <w:tcW w:w="4984" w:type="dxa"/>
          </w:tcPr>
          <w:p>
            <w:pPr>
              <w:spacing w:line="360" w:lineRule="auto"/>
              <w:rPr>
                <w:rFonts w:ascii="宋体" w:eastAsia="等线" w:hAnsi="宋体" w:cs="宋体"/>
                <w:szCs w:val="21"/>
              </w:rPr>
            </w:pPr>
            <w:r>
              <w:rPr>
                <w:rFonts w:ascii="宋体" w:eastAsia="等线" w:hAnsi="宋体" w:cs="宋体" w:hint="eastAsia"/>
                <w:szCs w:val="21"/>
              </w:rPr>
              <w:t>≤2dB</w:t>
            </w:r>
          </w:p>
        </w:tc>
      </w:tr>
    </w:tbl>
    <w:p>
      <w:pPr>
        <w:pStyle w:val="Heading7"/>
        <w:spacing w:before="0"/>
        <w:rPr>
          <w:color w:val="auto"/>
          <w:szCs w:val="21"/>
        </w:rPr>
      </w:pPr>
      <w:r>
        <w:rPr>
          <w:rFonts w:hint="eastAsia"/>
          <w:color w:val="auto"/>
          <w:szCs w:val="21"/>
        </w:rPr>
        <w:t>1.15.7馈线分系统</w:t>
      </w:r>
    </w:p>
    <w:p>
      <w:pPr>
        <w:spacing w:line="360" w:lineRule="auto"/>
        <w:ind w:firstLine="420" w:firstLineChars="200"/>
        <w:rPr>
          <w:rFonts w:ascii="宋体" w:hAnsi="宋体" w:cs="宋体"/>
          <w:szCs w:val="21"/>
        </w:rPr>
      </w:pPr>
      <w:r>
        <w:rPr>
          <w:rFonts w:ascii="宋体" w:hAnsi="宋体" w:cs="宋体" w:hint="eastAsia"/>
          <w:szCs w:val="21"/>
        </w:rPr>
        <w:t>馈线分系统主要由波导组成。馈线分系统分为两路，一路为水平支路，另一路为垂直支路，用于传输分配发射和接收信号。具体指标见下表。</w:t>
      </w:r>
    </w:p>
    <w:p>
      <w:pPr>
        <w:pStyle w:val="a2"/>
        <w:spacing w:line="360" w:lineRule="auto"/>
        <w:rPr>
          <w:rFonts w:ascii="宋体" w:hAnsi="宋体"/>
          <w:szCs w:val="21"/>
        </w:rPr>
      </w:pPr>
      <w:r>
        <w:rPr>
          <w:rFonts w:ascii="宋体" w:hAnsi="宋体"/>
          <w:szCs w:val="21"/>
        </w:rPr>
        <w:t>表</w:t>
      </w:r>
      <w:r>
        <w:rPr>
          <w:rFonts w:ascii="宋体" w:hAnsi="宋体" w:hint="eastAsia"/>
          <w:szCs w:val="21"/>
        </w:rPr>
        <w:t>3</w:t>
      </w:r>
      <w:r>
        <w:rPr>
          <w:rFonts w:ascii="宋体" w:hAnsi="宋体"/>
          <w:szCs w:val="21"/>
        </w:rPr>
        <w:t xml:space="preserve"> 馈线技术性能指标表</w:t>
      </w:r>
    </w:p>
    <w:tbl>
      <w:tblPr>
        <w:tblStyle w:val="TableNormal0"/>
        <w:tblW w:w="8599"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3550"/>
        <w:gridCol w:w="5049"/>
      </w:tblGrid>
      <w:tr>
        <w:tblPrEx>
          <w:tblW w:w="8599"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239"/>
        </w:trPr>
        <w:tc>
          <w:tcPr>
            <w:tcW w:w="3550" w:type="dxa"/>
          </w:tcPr>
          <w:p>
            <w:pPr>
              <w:spacing w:line="360" w:lineRule="auto"/>
              <w:rPr>
                <w:rFonts w:ascii="宋体" w:eastAsia="等线" w:hAnsi="宋体" w:cs="宋体"/>
                <w:szCs w:val="21"/>
              </w:rPr>
            </w:pPr>
            <w:r>
              <w:rPr>
                <w:rFonts w:ascii="宋体" w:eastAsia="等线" w:hAnsi="宋体" w:cs="宋体" w:hint="eastAsia"/>
                <w:szCs w:val="21"/>
              </w:rPr>
              <w:t>项目</w:t>
            </w:r>
          </w:p>
        </w:tc>
        <w:tc>
          <w:tcPr>
            <w:tcW w:w="5049" w:type="dxa"/>
          </w:tcPr>
          <w:p>
            <w:pPr>
              <w:spacing w:line="360" w:lineRule="auto"/>
              <w:rPr>
                <w:rFonts w:ascii="宋体" w:eastAsia="等线" w:hAnsi="宋体" w:cs="宋体"/>
                <w:szCs w:val="21"/>
              </w:rPr>
            </w:pPr>
            <w:r>
              <w:rPr>
                <w:rFonts w:ascii="宋体" w:eastAsia="等线" w:hAnsi="宋体" w:cs="宋体" w:hint="eastAsia"/>
                <w:szCs w:val="21"/>
              </w:rPr>
              <w:t>性能指标</w:t>
            </w:r>
          </w:p>
        </w:tc>
      </w:tr>
      <w:tr>
        <w:tblPrEx>
          <w:tblW w:w="8599" w:type="dxa"/>
          <w:tblInd w:w="2" w:type="dxa"/>
          <w:tblLayout w:type="fixed"/>
          <w:tblCellMar>
            <w:top w:w="0" w:type="dxa"/>
            <w:left w:w="0" w:type="dxa"/>
            <w:bottom w:w="0" w:type="dxa"/>
            <w:right w:w="0" w:type="dxa"/>
          </w:tblCellMar>
        </w:tblPrEx>
        <w:trPr>
          <w:trHeight w:val="242"/>
        </w:trPr>
        <w:tc>
          <w:tcPr>
            <w:tcW w:w="3550" w:type="dxa"/>
          </w:tcPr>
          <w:p>
            <w:pPr>
              <w:spacing w:line="360" w:lineRule="auto"/>
              <w:rPr>
                <w:rFonts w:ascii="宋体" w:eastAsia="等线" w:hAnsi="宋体" w:cs="宋体"/>
                <w:szCs w:val="21"/>
              </w:rPr>
            </w:pPr>
            <w:r>
              <w:rPr>
                <w:rFonts w:ascii="宋体" w:eastAsia="等线" w:hAnsi="宋体" w:cs="宋体" w:hint="eastAsia"/>
                <w:szCs w:val="21"/>
              </w:rPr>
              <w:t>水平/垂直支路系统损耗</w:t>
            </w:r>
          </w:p>
        </w:tc>
        <w:tc>
          <w:tcPr>
            <w:tcW w:w="5049" w:type="dxa"/>
          </w:tcPr>
          <w:p>
            <w:pPr>
              <w:spacing w:line="360" w:lineRule="auto"/>
              <w:rPr>
                <w:rFonts w:ascii="宋体" w:eastAsia="等线" w:hAnsi="宋体" w:cs="宋体"/>
                <w:szCs w:val="21"/>
              </w:rPr>
            </w:pPr>
            <w:r>
              <w:rPr>
                <w:rFonts w:ascii="宋体" w:eastAsia="等线" w:hAnsi="宋体" w:cs="宋体" w:hint="eastAsia"/>
                <w:szCs w:val="21"/>
              </w:rPr>
              <w:t>≤3dB</w:t>
            </w:r>
          </w:p>
        </w:tc>
      </w:tr>
      <w:tr>
        <w:tblPrEx>
          <w:tblW w:w="8599" w:type="dxa"/>
          <w:tblInd w:w="2" w:type="dxa"/>
          <w:tblLayout w:type="fixed"/>
          <w:tblCellMar>
            <w:top w:w="0" w:type="dxa"/>
            <w:left w:w="0" w:type="dxa"/>
            <w:bottom w:w="0" w:type="dxa"/>
            <w:right w:w="0" w:type="dxa"/>
          </w:tblCellMar>
        </w:tblPrEx>
        <w:trPr>
          <w:trHeight w:val="239"/>
        </w:trPr>
        <w:tc>
          <w:tcPr>
            <w:tcW w:w="3550" w:type="dxa"/>
          </w:tcPr>
          <w:p>
            <w:pPr>
              <w:spacing w:line="360" w:lineRule="auto"/>
              <w:rPr>
                <w:rFonts w:ascii="宋体" w:eastAsia="等线" w:hAnsi="宋体" w:cs="宋体"/>
                <w:szCs w:val="21"/>
              </w:rPr>
            </w:pPr>
            <w:r>
              <w:rPr>
                <w:rFonts w:ascii="宋体" w:eastAsia="等线" w:hAnsi="宋体" w:cs="宋体" w:hint="eastAsia"/>
                <w:szCs w:val="21"/>
              </w:rPr>
              <w:t>双通道馈线损耗差</w:t>
            </w:r>
          </w:p>
        </w:tc>
        <w:tc>
          <w:tcPr>
            <w:tcW w:w="5049" w:type="dxa"/>
          </w:tcPr>
          <w:p>
            <w:pPr>
              <w:spacing w:line="360" w:lineRule="auto"/>
              <w:rPr>
                <w:rFonts w:ascii="宋体" w:eastAsia="等线" w:hAnsi="宋体" w:cs="宋体"/>
                <w:szCs w:val="21"/>
              </w:rPr>
            </w:pPr>
            <w:r>
              <w:rPr>
                <w:rFonts w:ascii="宋体" w:eastAsia="等线" w:hAnsi="宋体" w:cs="宋体" w:hint="eastAsia"/>
                <w:szCs w:val="21"/>
              </w:rPr>
              <w:t>≤0.5dB</w:t>
            </w:r>
          </w:p>
        </w:tc>
      </w:tr>
      <w:tr>
        <w:tblPrEx>
          <w:tblW w:w="8599" w:type="dxa"/>
          <w:tblInd w:w="2" w:type="dxa"/>
          <w:tblLayout w:type="fixed"/>
          <w:tblCellMar>
            <w:top w:w="0" w:type="dxa"/>
            <w:left w:w="0" w:type="dxa"/>
            <w:bottom w:w="0" w:type="dxa"/>
            <w:right w:w="0" w:type="dxa"/>
          </w:tblCellMar>
        </w:tblPrEx>
        <w:trPr>
          <w:trHeight w:val="242"/>
        </w:trPr>
        <w:tc>
          <w:tcPr>
            <w:tcW w:w="3550" w:type="dxa"/>
          </w:tcPr>
          <w:p>
            <w:pPr>
              <w:spacing w:line="360" w:lineRule="auto"/>
              <w:rPr>
                <w:rFonts w:ascii="宋体" w:eastAsia="等线" w:hAnsi="宋体" w:cs="宋体"/>
                <w:szCs w:val="21"/>
              </w:rPr>
            </w:pPr>
            <w:r>
              <w:rPr>
                <w:rFonts w:ascii="宋体" w:eastAsia="等线" w:hAnsi="宋体" w:cs="宋体" w:hint="eastAsia"/>
                <w:szCs w:val="21"/>
              </w:rPr>
              <w:t>驻波比</w:t>
            </w:r>
          </w:p>
        </w:tc>
        <w:tc>
          <w:tcPr>
            <w:tcW w:w="5049" w:type="dxa"/>
          </w:tcPr>
          <w:p>
            <w:pPr>
              <w:spacing w:line="360" w:lineRule="auto"/>
              <w:rPr>
                <w:rFonts w:ascii="宋体" w:eastAsia="等线" w:hAnsi="宋体" w:cs="宋体"/>
                <w:szCs w:val="21"/>
              </w:rPr>
            </w:pPr>
            <w:r>
              <w:rPr>
                <w:rFonts w:ascii="宋体" w:eastAsia="等线" w:hAnsi="宋体" w:cs="宋体" w:hint="eastAsia"/>
                <w:szCs w:val="21"/>
              </w:rPr>
              <w:t>≤1.5</w:t>
            </w:r>
          </w:p>
        </w:tc>
      </w:tr>
    </w:tbl>
    <w:p>
      <w:pPr>
        <w:pStyle w:val="Heading7"/>
        <w:spacing w:before="0"/>
        <w:rPr>
          <w:color w:val="auto"/>
          <w:szCs w:val="21"/>
        </w:rPr>
      </w:pPr>
      <w:r>
        <w:rPr>
          <w:rFonts w:hint="eastAsia"/>
          <w:color w:val="auto"/>
          <w:szCs w:val="21"/>
        </w:rPr>
        <w:t>1.15.8伺服转台分系统</w:t>
      </w:r>
    </w:p>
    <w:p>
      <w:pPr>
        <w:spacing w:line="360" w:lineRule="auto"/>
        <w:ind w:firstLine="420" w:firstLineChars="200"/>
        <w:rPr>
          <w:rFonts w:ascii="宋体" w:hAnsi="宋体" w:cs="宋体"/>
          <w:szCs w:val="21"/>
        </w:rPr>
      </w:pPr>
      <w:r>
        <w:rPr>
          <w:rFonts w:ascii="宋体" w:hAnsi="宋体" w:cs="宋体" w:hint="eastAsia"/>
          <w:szCs w:val="21"/>
        </w:rPr>
        <w:t>伺服转台分系统选用数字式伺服系统，以高精度伺服电机驱动，实现俯仰-2~182°、方位0~360°立体扫描，具有相应的电气、机械限位功能，具有电源开关和维护开关。电源开关和维护开关位于伺服转台分系统的接口面板，其中电源开关采用防水开关实现雷达整机（包括远程电源控制器）的上电和断电，维护开关采用按压或拨动式的应急开关，在云雷达维护维修或紧急情况下控制云雷达运行。伺服转台分系统应支持平面位置显示（PPI）、距离高度显示（RHI）、时间高度显示（THI）、方位扇扫（RPI）、体积扫描（VOL）、任意指向等多种扫描方式，各种扫描方式均由软件控制完成。接收数据处理控制分系统指令，完成对伺服转台的各种控制，并向数据处理控制分系统反馈伺服转台的工作状态和故障信息。</w:t>
      </w:r>
    </w:p>
    <w:p>
      <w:pPr>
        <w:spacing w:line="360" w:lineRule="auto"/>
        <w:ind w:firstLine="420" w:firstLineChars="200"/>
        <w:rPr>
          <w:rFonts w:ascii="宋体" w:hAnsi="宋体" w:cs="宋体"/>
          <w:szCs w:val="21"/>
        </w:rPr>
      </w:pPr>
      <w:r>
        <w:rPr>
          <w:rFonts w:ascii="宋体" w:hAnsi="宋体" w:cs="宋体" w:hint="eastAsia"/>
          <w:szCs w:val="21"/>
        </w:rPr>
        <w:t>云雷达观测时，根据观测目标制定合适的扫描模式，以实现最优观测。例如在晴空时，云雷达以THI观测为主，间隔一定时间进行VOL扫描，降水时采用VOL扫描，当发生强降水时进行特定指向RHI扫描，测雾时采用PPI或RPI扫描。</w:t>
      </w:r>
    </w:p>
    <w:p>
      <w:pPr>
        <w:spacing w:line="360" w:lineRule="auto"/>
        <w:ind w:firstLine="420" w:firstLineChars="200"/>
        <w:rPr>
          <w:rFonts w:ascii="宋体" w:hAnsi="宋体" w:cs="宋体"/>
          <w:szCs w:val="21"/>
        </w:rPr>
      </w:pPr>
      <w:r>
        <w:rPr>
          <w:rFonts w:ascii="宋体" w:hAnsi="宋体" w:cs="宋体" w:hint="eastAsia"/>
          <w:szCs w:val="21"/>
        </w:rPr>
        <w:t>扫描型云雷达的远程电源控制器安装在伺服转台分系统内部，接收数据处理控制分系统指令，实现云雷达主机的远程上电和断电。具体指标见下表。</w:t>
      </w:r>
    </w:p>
    <w:p>
      <w:pPr>
        <w:pStyle w:val="a2"/>
        <w:spacing w:line="360" w:lineRule="auto"/>
        <w:rPr>
          <w:rFonts w:ascii="宋体" w:hAnsi="宋体"/>
          <w:szCs w:val="21"/>
        </w:rPr>
      </w:pPr>
    </w:p>
    <w:p>
      <w:pPr>
        <w:pStyle w:val="a2"/>
        <w:spacing w:line="360" w:lineRule="auto"/>
        <w:rPr>
          <w:rFonts w:ascii="宋体" w:hAnsi="宋体"/>
          <w:szCs w:val="21"/>
        </w:rPr>
      </w:pPr>
      <w:r>
        <w:rPr>
          <w:rFonts w:ascii="宋体" w:hAnsi="宋体" w:hint="eastAsia"/>
          <w:szCs w:val="21"/>
        </w:rPr>
        <w:t>表4 伺服转台系统技术性能指标表</w:t>
      </w:r>
    </w:p>
    <w:tbl>
      <w:tblPr>
        <w:tblStyle w:val="TableNormal0"/>
        <w:tblW w:w="8582" w:type="dxa"/>
        <w:tblInd w:w="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1701"/>
        <w:gridCol w:w="707"/>
        <w:gridCol w:w="6174"/>
      </w:tblGrid>
      <w:tr>
        <w:tblPrEx>
          <w:tblW w:w="8582" w:type="dxa"/>
          <w:tblInd w:w="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242"/>
        </w:trPr>
        <w:tc>
          <w:tcPr>
            <w:tcW w:w="2408" w:type="dxa"/>
            <w:gridSpan w:val="2"/>
          </w:tcPr>
          <w:p>
            <w:pPr>
              <w:spacing w:line="360" w:lineRule="auto"/>
              <w:rPr>
                <w:rFonts w:ascii="宋体" w:eastAsia="等线" w:hAnsi="宋体" w:cs="宋体"/>
                <w:szCs w:val="21"/>
              </w:rPr>
            </w:pPr>
            <w:r>
              <w:rPr>
                <w:rFonts w:ascii="宋体" w:eastAsia="等线" w:hAnsi="宋体" w:cs="宋体" w:hint="eastAsia"/>
                <w:szCs w:val="21"/>
              </w:rPr>
              <w:t>项目</w:t>
            </w:r>
          </w:p>
        </w:tc>
        <w:tc>
          <w:tcPr>
            <w:tcW w:w="6174" w:type="dxa"/>
          </w:tcPr>
          <w:p>
            <w:pPr>
              <w:spacing w:line="360" w:lineRule="auto"/>
              <w:rPr>
                <w:rFonts w:ascii="宋体" w:eastAsia="等线" w:hAnsi="宋体" w:cs="宋体"/>
                <w:szCs w:val="21"/>
              </w:rPr>
            </w:pPr>
            <w:r>
              <w:rPr>
                <w:rFonts w:ascii="宋体" w:eastAsia="等线" w:hAnsi="宋体" w:cs="宋体" w:hint="eastAsia"/>
                <w:szCs w:val="21"/>
              </w:rPr>
              <w:t>性能指标</w:t>
            </w:r>
          </w:p>
        </w:tc>
      </w:tr>
      <w:tr>
        <w:tblPrEx>
          <w:tblW w:w="8582" w:type="dxa"/>
          <w:tblInd w:w="9" w:type="dxa"/>
          <w:tblLayout w:type="fixed"/>
          <w:tblCellMar>
            <w:top w:w="0" w:type="dxa"/>
            <w:left w:w="0" w:type="dxa"/>
            <w:bottom w:w="0" w:type="dxa"/>
            <w:right w:w="0" w:type="dxa"/>
          </w:tblCellMar>
        </w:tblPrEx>
        <w:trPr>
          <w:trHeight w:val="239"/>
        </w:trPr>
        <w:tc>
          <w:tcPr>
            <w:tcW w:w="2408" w:type="dxa"/>
            <w:gridSpan w:val="2"/>
          </w:tcPr>
          <w:p>
            <w:pPr>
              <w:spacing w:line="360" w:lineRule="auto"/>
              <w:rPr>
                <w:rFonts w:ascii="宋体" w:eastAsia="等线" w:hAnsi="宋体" w:cs="宋体"/>
                <w:szCs w:val="21"/>
              </w:rPr>
            </w:pPr>
            <w:r>
              <w:rPr>
                <w:rFonts w:ascii="宋体" w:eastAsia="等线" w:hAnsi="宋体" w:cs="宋体" w:hint="eastAsia"/>
                <w:szCs w:val="21"/>
              </w:rPr>
              <w:t>天线扫描方式</w:t>
            </w:r>
          </w:p>
        </w:tc>
        <w:tc>
          <w:tcPr>
            <w:tcW w:w="6174" w:type="dxa"/>
          </w:tcPr>
          <w:p>
            <w:pPr>
              <w:spacing w:line="360" w:lineRule="auto"/>
              <w:rPr>
                <w:rFonts w:ascii="宋体" w:eastAsia="等线" w:hAnsi="宋体" w:cs="宋体"/>
                <w:szCs w:val="21"/>
              </w:rPr>
            </w:pPr>
            <w:r>
              <w:rPr>
                <w:rFonts w:ascii="宋体" w:eastAsia="等线" w:hAnsi="宋体" w:cs="宋体" w:hint="eastAsia"/>
                <w:szCs w:val="21"/>
              </w:rPr>
              <w:t>PPI、RPI、RHI、THI、VOL、任意指向</w:t>
            </w:r>
          </w:p>
        </w:tc>
      </w:tr>
      <w:tr>
        <w:tblPrEx>
          <w:tblW w:w="8582" w:type="dxa"/>
          <w:tblInd w:w="9" w:type="dxa"/>
          <w:tblLayout w:type="fixed"/>
          <w:tblCellMar>
            <w:top w:w="0" w:type="dxa"/>
            <w:left w:w="0" w:type="dxa"/>
            <w:bottom w:w="0" w:type="dxa"/>
            <w:right w:w="0" w:type="dxa"/>
          </w:tblCellMar>
        </w:tblPrEx>
        <w:trPr>
          <w:trHeight w:val="237"/>
        </w:trPr>
        <w:tc>
          <w:tcPr>
            <w:tcW w:w="1701" w:type="dxa"/>
            <w:vMerge w:val="restart"/>
            <w:tcBorders>
              <w:bottom w:val="nil"/>
            </w:tcBorders>
          </w:tcPr>
          <w:p>
            <w:pPr>
              <w:spacing w:line="360" w:lineRule="auto"/>
              <w:rPr>
                <w:rFonts w:ascii="宋体" w:eastAsia="等线" w:hAnsi="宋体" w:cs="宋体"/>
                <w:szCs w:val="21"/>
              </w:rPr>
            </w:pPr>
            <w:r>
              <w:rPr>
                <w:rFonts w:ascii="宋体" w:eastAsia="等线" w:hAnsi="宋体" w:cs="宋体" w:hint="eastAsia"/>
                <w:szCs w:val="21"/>
              </w:rPr>
              <w:t>天线扫描范围</w:t>
            </w:r>
          </w:p>
        </w:tc>
        <w:tc>
          <w:tcPr>
            <w:tcW w:w="707" w:type="dxa"/>
          </w:tcPr>
          <w:p>
            <w:pPr>
              <w:spacing w:line="360" w:lineRule="auto"/>
              <w:rPr>
                <w:rFonts w:ascii="宋体" w:eastAsia="等线" w:hAnsi="宋体" w:cs="宋体"/>
                <w:szCs w:val="21"/>
              </w:rPr>
            </w:pPr>
            <w:r>
              <w:rPr>
                <w:rFonts w:ascii="宋体" w:eastAsia="等线" w:hAnsi="宋体" w:cs="宋体" w:hint="eastAsia"/>
                <w:szCs w:val="21"/>
              </w:rPr>
              <w:t>方位</w:t>
            </w:r>
          </w:p>
        </w:tc>
        <w:tc>
          <w:tcPr>
            <w:tcW w:w="6174" w:type="dxa"/>
          </w:tcPr>
          <w:p>
            <w:pPr>
              <w:spacing w:line="360" w:lineRule="auto"/>
              <w:rPr>
                <w:rFonts w:ascii="宋体" w:eastAsia="等线" w:hAnsi="宋体" w:cs="宋体"/>
                <w:szCs w:val="21"/>
              </w:rPr>
            </w:pPr>
            <w:r>
              <w:rPr>
                <w:rFonts w:ascii="宋体" w:eastAsia="等线" w:hAnsi="宋体" w:cs="宋体" w:hint="eastAsia"/>
                <w:szCs w:val="21"/>
              </w:rPr>
              <w:t>0～360°连续扫描</w:t>
            </w:r>
          </w:p>
        </w:tc>
      </w:tr>
      <w:tr>
        <w:tblPrEx>
          <w:tblW w:w="8582" w:type="dxa"/>
          <w:tblInd w:w="9" w:type="dxa"/>
          <w:tblLayout w:type="fixed"/>
          <w:tblCellMar>
            <w:top w:w="0" w:type="dxa"/>
            <w:left w:w="0" w:type="dxa"/>
            <w:bottom w:w="0" w:type="dxa"/>
            <w:right w:w="0" w:type="dxa"/>
          </w:tblCellMar>
        </w:tblPrEx>
        <w:trPr>
          <w:trHeight w:val="240"/>
        </w:trPr>
        <w:tc>
          <w:tcPr>
            <w:tcW w:w="1701" w:type="dxa"/>
            <w:vMerge/>
            <w:tcBorders>
              <w:top w:val="nil"/>
            </w:tcBorders>
          </w:tcPr>
          <w:p>
            <w:pPr>
              <w:spacing w:line="360" w:lineRule="auto"/>
              <w:rPr>
                <w:rFonts w:ascii="宋体" w:eastAsia="等线" w:hAnsi="宋体" w:cs="宋体"/>
                <w:szCs w:val="21"/>
              </w:rPr>
            </w:pPr>
          </w:p>
        </w:tc>
        <w:tc>
          <w:tcPr>
            <w:tcW w:w="707" w:type="dxa"/>
          </w:tcPr>
          <w:p>
            <w:pPr>
              <w:spacing w:line="360" w:lineRule="auto"/>
              <w:rPr>
                <w:rFonts w:ascii="宋体" w:eastAsia="等线" w:hAnsi="宋体" w:cs="宋体"/>
                <w:szCs w:val="21"/>
              </w:rPr>
            </w:pPr>
            <w:r>
              <w:rPr>
                <w:rFonts w:ascii="宋体" w:eastAsia="等线" w:hAnsi="宋体" w:cs="宋体" w:hint="eastAsia"/>
                <w:szCs w:val="21"/>
              </w:rPr>
              <w:t>俯仰</w:t>
            </w:r>
          </w:p>
        </w:tc>
        <w:tc>
          <w:tcPr>
            <w:tcW w:w="6174" w:type="dxa"/>
          </w:tcPr>
          <w:p>
            <w:pPr>
              <w:spacing w:line="360" w:lineRule="auto"/>
              <w:rPr>
                <w:rFonts w:ascii="宋体" w:eastAsia="等线" w:hAnsi="宋体" w:cs="宋体"/>
                <w:szCs w:val="21"/>
              </w:rPr>
            </w:pPr>
            <w:r>
              <w:rPr>
                <w:rFonts w:ascii="宋体" w:eastAsia="等线" w:hAnsi="宋体" w:cs="宋体" w:hint="eastAsia"/>
                <w:szCs w:val="21"/>
              </w:rPr>
              <w:t>-2～182 °往返扫描</w:t>
            </w:r>
          </w:p>
        </w:tc>
      </w:tr>
      <w:tr>
        <w:tblPrEx>
          <w:tblW w:w="8582" w:type="dxa"/>
          <w:tblInd w:w="9" w:type="dxa"/>
          <w:tblLayout w:type="fixed"/>
          <w:tblCellMar>
            <w:top w:w="0" w:type="dxa"/>
            <w:left w:w="0" w:type="dxa"/>
            <w:bottom w:w="0" w:type="dxa"/>
            <w:right w:w="0" w:type="dxa"/>
          </w:tblCellMar>
        </w:tblPrEx>
        <w:trPr>
          <w:trHeight w:val="319"/>
        </w:trPr>
        <w:tc>
          <w:tcPr>
            <w:tcW w:w="1701" w:type="dxa"/>
            <w:vMerge w:val="restart"/>
            <w:tcBorders>
              <w:bottom w:val="nil"/>
            </w:tcBorders>
          </w:tcPr>
          <w:p>
            <w:pPr>
              <w:spacing w:line="360" w:lineRule="auto"/>
              <w:rPr>
                <w:rFonts w:ascii="宋体" w:eastAsia="等线" w:hAnsi="宋体" w:cs="宋体"/>
                <w:szCs w:val="21"/>
              </w:rPr>
            </w:pPr>
            <w:r>
              <w:rPr>
                <w:rFonts w:ascii="宋体" w:eastAsia="等线" w:hAnsi="宋体" w:cs="宋体" w:hint="eastAsia"/>
                <w:szCs w:val="21"/>
              </w:rPr>
              <w:t>天线扫描速度</w:t>
            </w:r>
          </w:p>
        </w:tc>
        <w:tc>
          <w:tcPr>
            <w:tcW w:w="707" w:type="dxa"/>
          </w:tcPr>
          <w:p>
            <w:pPr>
              <w:spacing w:line="360" w:lineRule="auto"/>
              <w:rPr>
                <w:rFonts w:ascii="宋体" w:eastAsia="等线" w:hAnsi="宋体" w:cs="宋体"/>
                <w:szCs w:val="21"/>
              </w:rPr>
            </w:pPr>
            <w:r>
              <w:rPr>
                <w:rFonts w:ascii="宋体" w:eastAsia="等线" w:hAnsi="宋体" w:cs="宋体" w:hint="eastAsia"/>
                <w:szCs w:val="21"/>
              </w:rPr>
              <w:t>方位</w:t>
            </w:r>
          </w:p>
        </w:tc>
        <w:tc>
          <w:tcPr>
            <w:tcW w:w="6174" w:type="dxa"/>
          </w:tcPr>
          <w:p>
            <w:pPr>
              <w:spacing w:line="360" w:lineRule="auto"/>
              <w:rPr>
                <w:rFonts w:ascii="宋体" w:eastAsia="等线" w:hAnsi="宋体" w:cs="宋体"/>
                <w:szCs w:val="21"/>
              </w:rPr>
            </w:pPr>
            <w:r>
              <w:rPr>
                <w:rFonts w:ascii="宋体" w:eastAsia="等线" w:hAnsi="宋体" w:cs="宋体" w:hint="eastAsia"/>
                <w:szCs w:val="21"/>
              </w:rPr>
              <w:t>0～24°/s，误差不大于 5%</w:t>
            </w:r>
          </w:p>
        </w:tc>
      </w:tr>
      <w:tr>
        <w:tblPrEx>
          <w:tblW w:w="8582" w:type="dxa"/>
          <w:tblInd w:w="9" w:type="dxa"/>
          <w:tblLayout w:type="fixed"/>
          <w:tblCellMar>
            <w:top w:w="0" w:type="dxa"/>
            <w:left w:w="0" w:type="dxa"/>
            <w:bottom w:w="0" w:type="dxa"/>
            <w:right w:w="0" w:type="dxa"/>
          </w:tblCellMar>
        </w:tblPrEx>
        <w:trPr>
          <w:trHeight w:val="319"/>
        </w:trPr>
        <w:tc>
          <w:tcPr>
            <w:tcW w:w="1701" w:type="dxa"/>
            <w:vMerge/>
            <w:tcBorders>
              <w:top w:val="nil"/>
            </w:tcBorders>
          </w:tcPr>
          <w:p>
            <w:pPr>
              <w:spacing w:line="360" w:lineRule="auto"/>
              <w:rPr>
                <w:rFonts w:ascii="宋体" w:eastAsia="等线" w:hAnsi="宋体" w:cs="宋体"/>
                <w:szCs w:val="21"/>
              </w:rPr>
            </w:pPr>
          </w:p>
        </w:tc>
        <w:tc>
          <w:tcPr>
            <w:tcW w:w="707" w:type="dxa"/>
          </w:tcPr>
          <w:p>
            <w:pPr>
              <w:spacing w:line="360" w:lineRule="auto"/>
              <w:rPr>
                <w:rFonts w:ascii="宋体" w:eastAsia="等线" w:hAnsi="宋体" w:cs="宋体"/>
                <w:szCs w:val="21"/>
              </w:rPr>
            </w:pPr>
            <w:r>
              <w:rPr>
                <w:rFonts w:ascii="宋体" w:eastAsia="等线" w:hAnsi="宋体" w:cs="宋体" w:hint="eastAsia"/>
                <w:szCs w:val="21"/>
              </w:rPr>
              <w:t>俯仰</w:t>
            </w:r>
          </w:p>
        </w:tc>
        <w:tc>
          <w:tcPr>
            <w:tcW w:w="6174" w:type="dxa"/>
          </w:tcPr>
          <w:p>
            <w:pPr>
              <w:spacing w:line="360" w:lineRule="auto"/>
              <w:rPr>
                <w:rFonts w:ascii="宋体" w:eastAsia="等线" w:hAnsi="宋体" w:cs="宋体"/>
                <w:szCs w:val="21"/>
              </w:rPr>
            </w:pPr>
            <w:r>
              <w:rPr>
                <w:rFonts w:ascii="宋体" w:eastAsia="等线" w:hAnsi="宋体" w:cs="宋体" w:hint="eastAsia"/>
                <w:szCs w:val="21"/>
              </w:rPr>
              <w:t>0～12°/s，误差不大于 5%</w:t>
            </w:r>
          </w:p>
        </w:tc>
      </w:tr>
      <w:tr>
        <w:tblPrEx>
          <w:tblW w:w="8582" w:type="dxa"/>
          <w:tblInd w:w="9" w:type="dxa"/>
          <w:tblLayout w:type="fixed"/>
          <w:tblCellMar>
            <w:top w:w="0" w:type="dxa"/>
            <w:left w:w="0" w:type="dxa"/>
            <w:bottom w:w="0" w:type="dxa"/>
            <w:right w:w="0" w:type="dxa"/>
          </w:tblCellMar>
        </w:tblPrEx>
        <w:trPr>
          <w:trHeight w:val="239"/>
        </w:trPr>
        <w:tc>
          <w:tcPr>
            <w:tcW w:w="2408" w:type="dxa"/>
            <w:gridSpan w:val="2"/>
          </w:tcPr>
          <w:p>
            <w:pPr>
              <w:spacing w:line="360" w:lineRule="auto"/>
              <w:rPr>
                <w:rFonts w:ascii="宋体" w:eastAsia="等线" w:hAnsi="宋体" w:cs="宋体"/>
                <w:szCs w:val="21"/>
              </w:rPr>
            </w:pPr>
            <w:r>
              <w:rPr>
                <w:rFonts w:ascii="宋体" w:eastAsia="等线" w:hAnsi="宋体" w:cs="宋体" w:hint="eastAsia"/>
                <w:szCs w:val="21"/>
              </w:rPr>
              <w:t>天线控制方式</w:t>
            </w:r>
          </w:p>
        </w:tc>
        <w:tc>
          <w:tcPr>
            <w:tcW w:w="6174" w:type="dxa"/>
          </w:tcPr>
          <w:p>
            <w:pPr>
              <w:spacing w:line="360" w:lineRule="auto"/>
              <w:rPr>
                <w:rFonts w:ascii="宋体" w:eastAsia="等线" w:hAnsi="宋体" w:cs="宋体"/>
                <w:szCs w:val="21"/>
              </w:rPr>
            </w:pPr>
            <w:r>
              <w:rPr>
                <w:rFonts w:ascii="宋体" w:eastAsia="等线" w:hAnsi="宋体" w:cs="宋体" w:hint="eastAsia"/>
                <w:szCs w:val="21"/>
              </w:rPr>
              <w:t>预置全自动、人工干预自动/手动控制</w:t>
            </w:r>
          </w:p>
        </w:tc>
      </w:tr>
      <w:tr>
        <w:tblPrEx>
          <w:tblW w:w="8582" w:type="dxa"/>
          <w:tblInd w:w="9" w:type="dxa"/>
          <w:tblLayout w:type="fixed"/>
          <w:tblCellMar>
            <w:top w:w="0" w:type="dxa"/>
            <w:left w:w="0" w:type="dxa"/>
            <w:bottom w:w="0" w:type="dxa"/>
            <w:right w:w="0" w:type="dxa"/>
          </w:tblCellMar>
        </w:tblPrEx>
        <w:trPr>
          <w:trHeight w:val="309"/>
        </w:trPr>
        <w:tc>
          <w:tcPr>
            <w:tcW w:w="1701" w:type="dxa"/>
            <w:vMerge w:val="restart"/>
            <w:tcBorders>
              <w:bottom w:val="nil"/>
            </w:tcBorders>
          </w:tcPr>
          <w:p>
            <w:pPr>
              <w:spacing w:line="360" w:lineRule="auto"/>
              <w:rPr>
                <w:rFonts w:ascii="宋体" w:eastAsia="等线" w:hAnsi="宋体" w:cs="宋体"/>
                <w:szCs w:val="21"/>
              </w:rPr>
            </w:pPr>
            <w:r>
              <w:rPr>
                <w:rFonts w:ascii="宋体" w:eastAsia="等线" w:hAnsi="宋体" w:cs="宋体" w:hint="eastAsia"/>
                <w:szCs w:val="21"/>
              </w:rPr>
              <w:t>天线定位精度</w:t>
            </w:r>
          </w:p>
        </w:tc>
        <w:tc>
          <w:tcPr>
            <w:tcW w:w="707" w:type="dxa"/>
          </w:tcPr>
          <w:p>
            <w:pPr>
              <w:spacing w:line="360" w:lineRule="auto"/>
              <w:rPr>
                <w:rFonts w:ascii="宋体" w:eastAsia="等线" w:hAnsi="宋体" w:cs="宋体"/>
                <w:szCs w:val="21"/>
              </w:rPr>
            </w:pPr>
            <w:r>
              <w:rPr>
                <w:rFonts w:ascii="宋体" w:eastAsia="等线" w:hAnsi="宋体" w:cs="宋体" w:hint="eastAsia"/>
                <w:szCs w:val="21"/>
              </w:rPr>
              <w:t>方位</w:t>
            </w:r>
          </w:p>
        </w:tc>
        <w:tc>
          <w:tcPr>
            <w:tcW w:w="6174" w:type="dxa"/>
          </w:tcPr>
          <w:p>
            <w:pPr>
              <w:spacing w:line="360" w:lineRule="auto"/>
              <w:rPr>
                <w:rFonts w:ascii="宋体" w:eastAsia="等线" w:hAnsi="宋体" w:cs="宋体"/>
                <w:szCs w:val="21"/>
              </w:rPr>
            </w:pPr>
            <w:r>
              <w:rPr>
                <w:rFonts w:ascii="宋体" w:eastAsia="等线" w:hAnsi="宋体" w:cs="宋体" w:hint="eastAsia"/>
                <w:szCs w:val="21"/>
              </w:rPr>
              <w:t>≤0.1°</w:t>
            </w:r>
          </w:p>
        </w:tc>
      </w:tr>
      <w:tr>
        <w:tblPrEx>
          <w:tblW w:w="8582" w:type="dxa"/>
          <w:tblInd w:w="9" w:type="dxa"/>
          <w:tblLayout w:type="fixed"/>
          <w:tblCellMar>
            <w:top w:w="0" w:type="dxa"/>
            <w:left w:w="0" w:type="dxa"/>
            <w:bottom w:w="0" w:type="dxa"/>
            <w:right w:w="0" w:type="dxa"/>
          </w:tblCellMar>
        </w:tblPrEx>
        <w:trPr>
          <w:trHeight w:val="261"/>
        </w:trPr>
        <w:tc>
          <w:tcPr>
            <w:tcW w:w="1701" w:type="dxa"/>
            <w:vMerge/>
            <w:tcBorders>
              <w:top w:val="nil"/>
            </w:tcBorders>
          </w:tcPr>
          <w:p>
            <w:pPr>
              <w:spacing w:line="360" w:lineRule="auto"/>
              <w:rPr>
                <w:rFonts w:ascii="宋体" w:eastAsia="等线" w:hAnsi="宋体" w:cs="宋体"/>
                <w:szCs w:val="21"/>
              </w:rPr>
            </w:pPr>
          </w:p>
        </w:tc>
        <w:tc>
          <w:tcPr>
            <w:tcW w:w="707" w:type="dxa"/>
          </w:tcPr>
          <w:p>
            <w:pPr>
              <w:spacing w:line="360" w:lineRule="auto"/>
              <w:rPr>
                <w:rFonts w:ascii="宋体" w:eastAsia="等线" w:hAnsi="宋体" w:cs="宋体"/>
                <w:szCs w:val="21"/>
              </w:rPr>
            </w:pPr>
            <w:r>
              <w:rPr>
                <w:rFonts w:ascii="宋体" w:eastAsia="等线" w:hAnsi="宋体" w:cs="宋体" w:hint="eastAsia"/>
                <w:szCs w:val="21"/>
              </w:rPr>
              <w:t>俯仰</w:t>
            </w:r>
          </w:p>
        </w:tc>
        <w:tc>
          <w:tcPr>
            <w:tcW w:w="6174" w:type="dxa"/>
          </w:tcPr>
          <w:p>
            <w:pPr>
              <w:spacing w:line="360" w:lineRule="auto"/>
              <w:rPr>
                <w:rFonts w:ascii="宋体" w:eastAsia="等线" w:hAnsi="宋体" w:cs="宋体"/>
                <w:szCs w:val="21"/>
              </w:rPr>
            </w:pPr>
            <w:r>
              <w:rPr>
                <w:rFonts w:ascii="宋体" w:eastAsia="等线" w:hAnsi="宋体" w:cs="宋体" w:hint="eastAsia"/>
                <w:szCs w:val="21"/>
              </w:rPr>
              <w:t>≤0.1°</w:t>
            </w:r>
          </w:p>
        </w:tc>
      </w:tr>
      <w:tr>
        <w:tblPrEx>
          <w:tblW w:w="8582" w:type="dxa"/>
          <w:tblInd w:w="9" w:type="dxa"/>
          <w:tblLayout w:type="fixed"/>
          <w:tblCellMar>
            <w:top w:w="0" w:type="dxa"/>
            <w:left w:w="0" w:type="dxa"/>
            <w:bottom w:w="0" w:type="dxa"/>
            <w:right w:w="0" w:type="dxa"/>
          </w:tblCellMar>
        </w:tblPrEx>
        <w:trPr>
          <w:trHeight w:val="292"/>
        </w:trPr>
        <w:tc>
          <w:tcPr>
            <w:tcW w:w="1701" w:type="dxa"/>
            <w:vMerge w:val="restart"/>
            <w:tcBorders>
              <w:bottom w:val="nil"/>
            </w:tcBorders>
          </w:tcPr>
          <w:p>
            <w:pPr>
              <w:spacing w:line="360" w:lineRule="auto"/>
              <w:rPr>
                <w:rFonts w:ascii="宋体" w:eastAsia="等线" w:hAnsi="宋体" w:cs="宋体"/>
                <w:szCs w:val="21"/>
              </w:rPr>
            </w:pPr>
            <w:r>
              <w:rPr>
                <w:rFonts w:ascii="宋体" w:eastAsia="等线" w:hAnsi="宋体" w:cs="宋体" w:hint="eastAsia"/>
                <w:szCs w:val="21"/>
              </w:rPr>
              <w:t>天线控制精度</w:t>
            </w:r>
          </w:p>
        </w:tc>
        <w:tc>
          <w:tcPr>
            <w:tcW w:w="707" w:type="dxa"/>
          </w:tcPr>
          <w:p>
            <w:pPr>
              <w:spacing w:line="360" w:lineRule="auto"/>
              <w:rPr>
                <w:rFonts w:ascii="宋体" w:eastAsia="等线" w:hAnsi="宋体" w:cs="宋体"/>
                <w:szCs w:val="21"/>
              </w:rPr>
            </w:pPr>
            <w:r>
              <w:rPr>
                <w:rFonts w:ascii="宋体" w:eastAsia="等线" w:hAnsi="宋体" w:cs="宋体" w:hint="eastAsia"/>
                <w:szCs w:val="21"/>
              </w:rPr>
              <w:t>方位</w:t>
            </w:r>
          </w:p>
        </w:tc>
        <w:tc>
          <w:tcPr>
            <w:tcW w:w="6174" w:type="dxa"/>
          </w:tcPr>
          <w:p>
            <w:pPr>
              <w:spacing w:line="360" w:lineRule="auto"/>
              <w:rPr>
                <w:rFonts w:ascii="宋体" w:eastAsia="等线" w:hAnsi="宋体" w:cs="宋体"/>
                <w:szCs w:val="21"/>
              </w:rPr>
            </w:pPr>
            <w:r>
              <w:rPr>
                <w:rFonts w:ascii="宋体" w:eastAsia="等线" w:hAnsi="宋体" w:cs="宋体" w:hint="eastAsia"/>
                <w:szCs w:val="21"/>
              </w:rPr>
              <w:t>≤0.1°</w:t>
            </w:r>
          </w:p>
        </w:tc>
      </w:tr>
      <w:tr>
        <w:tblPrEx>
          <w:tblW w:w="8582" w:type="dxa"/>
          <w:tblInd w:w="9" w:type="dxa"/>
          <w:tblLayout w:type="fixed"/>
          <w:tblCellMar>
            <w:top w:w="0" w:type="dxa"/>
            <w:left w:w="0" w:type="dxa"/>
            <w:bottom w:w="0" w:type="dxa"/>
            <w:right w:w="0" w:type="dxa"/>
          </w:tblCellMar>
        </w:tblPrEx>
        <w:trPr>
          <w:trHeight w:val="297"/>
        </w:trPr>
        <w:tc>
          <w:tcPr>
            <w:tcW w:w="1701" w:type="dxa"/>
            <w:vMerge/>
            <w:tcBorders>
              <w:top w:val="nil"/>
            </w:tcBorders>
          </w:tcPr>
          <w:p>
            <w:pPr>
              <w:spacing w:line="360" w:lineRule="auto"/>
              <w:rPr>
                <w:rFonts w:ascii="宋体" w:eastAsia="等线" w:hAnsi="宋体" w:cs="宋体"/>
                <w:szCs w:val="21"/>
              </w:rPr>
            </w:pPr>
          </w:p>
        </w:tc>
        <w:tc>
          <w:tcPr>
            <w:tcW w:w="707" w:type="dxa"/>
          </w:tcPr>
          <w:p>
            <w:pPr>
              <w:spacing w:line="360" w:lineRule="auto"/>
              <w:rPr>
                <w:rFonts w:ascii="宋体" w:eastAsia="等线" w:hAnsi="宋体" w:cs="宋体"/>
                <w:szCs w:val="21"/>
              </w:rPr>
            </w:pPr>
            <w:r>
              <w:rPr>
                <w:rFonts w:ascii="宋体" w:eastAsia="等线" w:hAnsi="宋体" w:cs="宋体" w:hint="eastAsia"/>
                <w:szCs w:val="21"/>
              </w:rPr>
              <w:t>俯仰</w:t>
            </w:r>
          </w:p>
        </w:tc>
        <w:tc>
          <w:tcPr>
            <w:tcW w:w="6174" w:type="dxa"/>
          </w:tcPr>
          <w:p>
            <w:pPr>
              <w:spacing w:line="360" w:lineRule="auto"/>
              <w:rPr>
                <w:rFonts w:ascii="宋体" w:eastAsia="等线" w:hAnsi="宋体" w:cs="宋体"/>
                <w:szCs w:val="21"/>
              </w:rPr>
            </w:pPr>
            <w:r>
              <w:rPr>
                <w:rFonts w:ascii="宋体" w:eastAsia="等线" w:hAnsi="宋体" w:cs="宋体" w:hint="eastAsia"/>
                <w:szCs w:val="21"/>
              </w:rPr>
              <w:t>≤0.1°</w:t>
            </w:r>
          </w:p>
        </w:tc>
      </w:tr>
      <w:tr>
        <w:tblPrEx>
          <w:tblW w:w="8582" w:type="dxa"/>
          <w:tblInd w:w="9" w:type="dxa"/>
          <w:tblLayout w:type="fixed"/>
          <w:tblCellMar>
            <w:top w:w="0" w:type="dxa"/>
            <w:left w:w="0" w:type="dxa"/>
            <w:bottom w:w="0" w:type="dxa"/>
            <w:right w:w="0" w:type="dxa"/>
          </w:tblCellMar>
        </w:tblPrEx>
        <w:trPr>
          <w:trHeight w:val="237"/>
        </w:trPr>
        <w:tc>
          <w:tcPr>
            <w:tcW w:w="2408" w:type="dxa"/>
            <w:gridSpan w:val="2"/>
          </w:tcPr>
          <w:p>
            <w:pPr>
              <w:spacing w:line="360" w:lineRule="auto"/>
              <w:rPr>
                <w:rFonts w:ascii="宋体" w:eastAsia="等线" w:hAnsi="宋体" w:cs="宋体"/>
                <w:szCs w:val="21"/>
              </w:rPr>
            </w:pPr>
            <w:r>
              <w:rPr>
                <w:rFonts w:ascii="宋体" w:eastAsia="等线" w:hAnsi="宋体" w:cs="宋体" w:hint="eastAsia"/>
                <w:szCs w:val="21"/>
              </w:rPr>
              <w:t>角度编码器字长</w:t>
            </w:r>
          </w:p>
        </w:tc>
        <w:tc>
          <w:tcPr>
            <w:tcW w:w="6174" w:type="dxa"/>
          </w:tcPr>
          <w:p>
            <w:pPr>
              <w:spacing w:line="360" w:lineRule="auto"/>
              <w:rPr>
                <w:rFonts w:ascii="宋体" w:eastAsia="等线" w:hAnsi="宋体" w:cs="宋体"/>
                <w:szCs w:val="21"/>
              </w:rPr>
            </w:pPr>
            <w:r>
              <w:rPr>
                <w:rFonts w:ascii="宋体" w:eastAsia="等线" w:hAnsi="宋体" w:cs="宋体" w:hint="eastAsia"/>
                <w:szCs w:val="21"/>
              </w:rPr>
              <w:t>≥14 位</w:t>
            </w:r>
          </w:p>
        </w:tc>
      </w:tr>
      <w:tr>
        <w:tblPrEx>
          <w:tblW w:w="8582" w:type="dxa"/>
          <w:tblInd w:w="9" w:type="dxa"/>
          <w:tblLayout w:type="fixed"/>
          <w:tblCellMar>
            <w:top w:w="0" w:type="dxa"/>
            <w:left w:w="0" w:type="dxa"/>
            <w:bottom w:w="0" w:type="dxa"/>
            <w:right w:w="0" w:type="dxa"/>
          </w:tblCellMar>
        </w:tblPrEx>
        <w:trPr>
          <w:trHeight w:val="942"/>
        </w:trPr>
        <w:tc>
          <w:tcPr>
            <w:tcW w:w="2408" w:type="dxa"/>
            <w:gridSpan w:val="2"/>
          </w:tcPr>
          <w:p>
            <w:pPr>
              <w:spacing w:line="360" w:lineRule="auto"/>
              <w:rPr>
                <w:rFonts w:ascii="宋体" w:eastAsia="等线" w:hAnsi="宋体" w:cs="宋体"/>
                <w:szCs w:val="21"/>
              </w:rPr>
            </w:pPr>
          </w:p>
          <w:p>
            <w:pPr>
              <w:spacing w:line="360" w:lineRule="auto"/>
              <w:rPr>
                <w:rFonts w:ascii="宋体" w:eastAsia="等线" w:hAnsi="宋体" w:cs="宋体"/>
                <w:szCs w:val="21"/>
              </w:rPr>
            </w:pPr>
            <w:r>
              <w:rPr>
                <w:rFonts w:ascii="宋体" w:eastAsia="等线" w:hAnsi="宋体" w:cs="宋体" w:hint="eastAsia"/>
                <w:szCs w:val="21"/>
              </w:rPr>
              <w:t>安全与保护</w:t>
            </w:r>
          </w:p>
        </w:tc>
        <w:tc>
          <w:tcPr>
            <w:tcW w:w="6174" w:type="dxa"/>
          </w:tcPr>
          <w:p>
            <w:pPr>
              <w:spacing w:line="360" w:lineRule="auto"/>
              <w:rPr>
                <w:rFonts w:ascii="宋体" w:eastAsia="等线" w:hAnsi="宋体" w:cs="宋体"/>
                <w:szCs w:val="21"/>
              </w:rPr>
            </w:pPr>
            <w:r>
              <w:rPr>
                <w:rFonts w:ascii="宋体" w:eastAsia="等线" w:hAnsi="宋体" w:cs="宋体" w:hint="eastAsia"/>
                <w:szCs w:val="21"/>
              </w:rPr>
              <w:t>天线在方位、俯仰机构上应有电气、机械安全设施，具有电源开关和维护开关， 以保护天线在工作、维护及运输过程中的安全；方位、俯仰控制应有保护电路； 天线在俯仰角最低处应有机械安全装置，保证天线下俯不低于最低限位；具有 俯仰电源、方位电源故障监测以及伺服状态监测等。</w:t>
            </w:r>
          </w:p>
        </w:tc>
      </w:tr>
    </w:tbl>
    <w:p>
      <w:pPr>
        <w:pStyle w:val="a2"/>
        <w:spacing w:line="360" w:lineRule="auto"/>
        <w:ind w:firstLine="0"/>
        <w:jc w:val="both"/>
        <w:rPr>
          <w:rFonts w:ascii="宋体" w:hAnsi="宋体" w:cs="宋体"/>
          <w:szCs w:val="21"/>
        </w:rPr>
      </w:pPr>
    </w:p>
    <w:p>
      <w:pPr>
        <w:pStyle w:val="Heading7"/>
        <w:spacing w:before="0"/>
        <w:rPr>
          <w:color w:val="auto"/>
          <w:szCs w:val="21"/>
        </w:rPr>
      </w:pPr>
      <w:r>
        <w:rPr>
          <w:rFonts w:hint="eastAsia"/>
          <w:color w:val="auto"/>
          <w:szCs w:val="21"/>
        </w:rPr>
        <w:t>1.15.9收发分系统</w:t>
      </w:r>
    </w:p>
    <w:p>
      <w:pPr>
        <w:spacing w:line="360" w:lineRule="auto"/>
        <w:ind w:firstLine="420" w:firstLineChars="200"/>
        <w:rPr>
          <w:rFonts w:ascii="宋体" w:hAnsi="宋体" w:cs="宋体"/>
          <w:szCs w:val="21"/>
        </w:rPr>
      </w:pPr>
      <w:r>
        <w:rPr>
          <w:rFonts w:ascii="宋体" w:hAnsi="宋体" w:cs="宋体" w:hint="eastAsia"/>
          <w:szCs w:val="21"/>
        </w:rPr>
        <w:t>收发分系统由发射机、接收机、定标模块及恒温系统等组成。发射机将来自频率源的射频激励信号功率放大，输出大功率微波信号，通过馈线分系统由天线分系统向空间辐射。接收数据处理控制分系统指令，完成对发射机的各种控制，并向数据处理控制分系统反馈发射机的工作状态和故障信息。</w:t>
      </w:r>
    </w:p>
    <w:p>
      <w:pPr>
        <w:spacing w:line="360" w:lineRule="auto"/>
        <w:ind w:firstLine="420" w:firstLineChars="200"/>
        <w:rPr>
          <w:rFonts w:ascii="宋体" w:hAnsi="宋体" w:cs="宋体"/>
          <w:szCs w:val="21"/>
        </w:rPr>
      </w:pPr>
      <w:r>
        <w:rPr>
          <w:rFonts w:ascii="宋体" w:hAnsi="宋体" w:cs="宋体" w:hint="eastAsia"/>
          <w:szCs w:val="21"/>
        </w:rPr>
        <w:t>接收机主要由接收前端和数字中频信号处理器等组成。主要完成回波信号的放大、滤波和下变频，并输出模拟中频信号至数字中频信号处理器；数字中频信号处理包括触发信号产生、中频激励信号产生、A/D转换、数字下变频、脉冲压缩等，最后形成数字I/Q信号传送至数据处理控制分系统。频率源为云雷达各分机提供各种频率信号和激励信号，并以高稳定度、低相位噪声的晶振作为频率基准，保证频率源的所有输出信号具有高稳定度、低相位噪声、高谐波和杂散抑制等特性。接收数据处理控制分系统指令，完成对接收机的各种控制，并向数据处理控制分系统反馈接收机的工作状态和故障信息。</w:t>
      </w:r>
    </w:p>
    <w:p>
      <w:pPr>
        <w:spacing w:line="360" w:lineRule="auto"/>
        <w:ind w:firstLine="420" w:firstLineChars="200"/>
        <w:rPr>
          <w:rFonts w:ascii="宋体" w:hAnsi="宋体" w:cs="宋体"/>
          <w:szCs w:val="21"/>
        </w:rPr>
      </w:pPr>
      <w:r>
        <w:rPr>
          <w:rFonts w:ascii="宋体" w:hAnsi="宋体" w:cs="宋体" w:hint="eastAsia"/>
          <w:szCs w:val="21"/>
        </w:rPr>
        <w:t>收发分系统利用机内高精度定标模块，实现主要指标的标定，主要包括发射机脉冲峰值功率、接收机线性动态范围、接收灵敏度、回波强度、径向速度、速度谱宽、相位噪声、地物杂波抑制、水平和垂直通道幅相一致性等。为确保收发分系统运行稳定与使用寿命，对收发分系统采用整体恒温设计，避免收发分系统在极限温度环境下工作。具体指标见下表。</w:t>
      </w:r>
    </w:p>
    <w:p>
      <w:pPr>
        <w:spacing w:line="360" w:lineRule="auto"/>
        <w:ind w:firstLine="420" w:firstLineChars="200"/>
        <w:rPr>
          <w:rFonts w:ascii="宋体" w:hAnsi="宋体" w:cs="宋体"/>
          <w:szCs w:val="21"/>
        </w:rPr>
      </w:pPr>
    </w:p>
    <w:p>
      <w:pPr>
        <w:spacing w:line="360" w:lineRule="auto"/>
        <w:jc w:val="center"/>
        <w:rPr>
          <w:rFonts w:ascii="宋体" w:hAnsi="宋体" w:cs="宋体"/>
          <w:szCs w:val="21"/>
        </w:rPr>
      </w:pPr>
      <w:r>
        <w:rPr>
          <w:rFonts w:ascii="宋体" w:hAnsi="宋体" w:cs="宋体" w:hint="eastAsia"/>
          <w:szCs w:val="21"/>
        </w:rPr>
        <w:t>表6 发射机技术性能指标表</w:t>
      </w:r>
    </w:p>
    <w:tbl>
      <w:tblPr>
        <w:tblStyle w:val="TableNormal0"/>
        <w:tblW w:w="8560" w:type="dxa"/>
        <w:tblInd w:w="2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4072"/>
        <w:gridCol w:w="4488"/>
      </w:tblGrid>
      <w:tr>
        <w:tblPrEx>
          <w:tblW w:w="8560" w:type="dxa"/>
          <w:tblInd w:w="2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244"/>
        </w:trPr>
        <w:tc>
          <w:tcPr>
            <w:tcW w:w="4072" w:type="dxa"/>
          </w:tcPr>
          <w:p>
            <w:pPr>
              <w:spacing w:line="360" w:lineRule="auto"/>
              <w:rPr>
                <w:rFonts w:ascii="宋体" w:eastAsia="等线" w:hAnsi="宋体" w:cs="宋体"/>
                <w:szCs w:val="21"/>
              </w:rPr>
            </w:pPr>
            <w:r>
              <w:rPr>
                <w:rFonts w:ascii="宋体" w:eastAsia="等线" w:hAnsi="宋体" w:cs="宋体" w:hint="eastAsia"/>
                <w:szCs w:val="21"/>
              </w:rPr>
              <w:t>项目</w:t>
            </w:r>
          </w:p>
        </w:tc>
        <w:tc>
          <w:tcPr>
            <w:tcW w:w="4488" w:type="dxa"/>
          </w:tcPr>
          <w:p>
            <w:pPr>
              <w:spacing w:line="360" w:lineRule="auto"/>
              <w:rPr>
                <w:rFonts w:ascii="宋体" w:eastAsia="等线" w:hAnsi="宋体" w:cs="宋体"/>
                <w:szCs w:val="21"/>
              </w:rPr>
            </w:pPr>
            <w:r>
              <w:rPr>
                <w:rFonts w:ascii="宋体" w:eastAsia="等线" w:hAnsi="宋体" w:cs="宋体" w:hint="eastAsia"/>
                <w:szCs w:val="21"/>
              </w:rPr>
              <w:t>性能指标</w:t>
            </w:r>
          </w:p>
        </w:tc>
      </w:tr>
      <w:tr>
        <w:tblPrEx>
          <w:tblW w:w="8560" w:type="dxa"/>
          <w:tblInd w:w="21" w:type="dxa"/>
          <w:tblLayout w:type="fixed"/>
          <w:tblCellMar>
            <w:top w:w="0" w:type="dxa"/>
            <w:left w:w="0" w:type="dxa"/>
            <w:bottom w:w="0" w:type="dxa"/>
            <w:right w:w="0" w:type="dxa"/>
          </w:tblCellMar>
        </w:tblPrEx>
        <w:trPr>
          <w:trHeight w:val="237"/>
        </w:trPr>
        <w:tc>
          <w:tcPr>
            <w:tcW w:w="4072" w:type="dxa"/>
          </w:tcPr>
          <w:p>
            <w:pPr>
              <w:spacing w:line="360" w:lineRule="auto"/>
              <w:rPr>
                <w:rFonts w:ascii="宋体" w:eastAsia="等线" w:hAnsi="宋体" w:cs="宋体"/>
                <w:szCs w:val="21"/>
              </w:rPr>
            </w:pPr>
            <w:r>
              <w:rPr>
                <w:rFonts w:ascii="宋体" w:eastAsia="等线" w:hAnsi="宋体" w:cs="宋体" w:hint="eastAsia"/>
                <w:szCs w:val="21"/>
              </w:rPr>
              <w:t>发射机形式</w:t>
            </w:r>
          </w:p>
        </w:tc>
        <w:tc>
          <w:tcPr>
            <w:tcW w:w="4488" w:type="dxa"/>
          </w:tcPr>
          <w:p>
            <w:pPr>
              <w:spacing w:line="360" w:lineRule="auto"/>
              <w:rPr>
                <w:rFonts w:ascii="宋体" w:eastAsia="等线" w:hAnsi="宋体" w:cs="宋体"/>
                <w:szCs w:val="21"/>
              </w:rPr>
            </w:pPr>
            <w:r>
              <w:rPr>
                <w:rFonts w:ascii="宋体" w:eastAsia="等线" w:hAnsi="宋体" w:cs="宋体" w:hint="eastAsia"/>
                <w:szCs w:val="21"/>
              </w:rPr>
              <w:t>全固态功率合成</w:t>
            </w:r>
          </w:p>
        </w:tc>
      </w:tr>
      <w:tr>
        <w:tblPrEx>
          <w:tblW w:w="8560" w:type="dxa"/>
          <w:tblInd w:w="21" w:type="dxa"/>
          <w:tblLayout w:type="fixed"/>
          <w:tblCellMar>
            <w:top w:w="0" w:type="dxa"/>
            <w:left w:w="0" w:type="dxa"/>
            <w:bottom w:w="0" w:type="dxa"/>
            <w:right w:w="0" w:type="dxa"/>
          </w:tblCellMar>
        </w:tblPrEx>
        <w:trPr>
          <w:trHeight w:val="239"/>
        </w:trPr>
        <w:tc>
          <w:tcPr>
            <w:tcW w:w="4072" w:type="dxa"/>
          </w:tcPr>
          <w:p>
            <w:pPr>
              <w:spacing w:line="360" w:lineRule="auto"/>
              <w:rPr>
                <w:rFonts w:ascii="宋体" w:eastAsia="等线" w:hAnsi="宋体" w:cs="宋体"/>
                <w:szCs w:val="21"/>
              </w:rPr>
            </w:pPr>
            <w:r>
              <w:rPr>
                <w:rFonts w:ascii="宋体" w:eastAsia="等线" w:hAnsi="宋体" w:cs="宋体" w:hint="eastAsia"/>
                <w:szCs w:val="21"/>
              </w:rPr>
              <w:t>工作频率</w:t>
            </w:r>
          </w:p>
        </w:tc>
        <w:tc>
          <w:tcPr>
            <w:tcW w:w="4488" w:type="dxa"/>
          </w:tcPr>
          <w:p>
            <w:pPr>
              <w:spacing w:line="360" w:lineRule="auto"/>
              <w:rPr>
                <w:rFonts w:ascii="宋体" w:eastAsia="等线" w:hAnsi="宋体" w:cs="宋体"/>
                <w:szCs w:val="21"/>
              </w:rPr>
            </w:pPr>
            <w:r>
              <w:rPr>
                <w:rFonts w:ascii="宋体" w:eastAsia="等线" w:hAnsi="宋体" w:cs="宋体" w:hint="eastAsia"/>
                <w:szCs w:val="21"/>
              </w:rPr>
              <w:t>34.5GHz～35.5GHz</w:t>
            </w:r>
          </w:p>
        </w:tc>
      </w:tr>
      <w:tr>
        <w:tblPrEx>
          <w:tblW w:w="8560" w:type="dxa"/>
          <w:tblInd w:w="21" w:type="dxa"/>
          <w:tblLayout w:type="fixed"/>
          <w:tblCellMar>
            <w:top w:w="0" w:type="dxa"/>
            <w:left w:w="0" w:type="dxa"/>
            <w:bottom w:w="0" w:type="dxa"/>
            <w:right w:w="0" w:type="dxa"/>
          </w:tblCellMar>
        </w:tblPrEx>
        <w:trPr>
          <w:trHeight w:val="239"/>
        </w:trPr>
        <w:tc>
          <w:tcPr>
            <w:tcW w:w="4072" w:type="dxa"/>
          </w:tcPr>
          <w:p>
            <w:pPr>
              <w:spacing w:line="360" w:lineRule="auto"/>
              <w:rPr>
                <w:rFonts w:ascii="宋体" w:eastAsia="等线" w:hAnsi="宋体" w:cs="宋体"/>
                <w:szCs w:val="21"/>
              </w:rPr>
            </w:pPr>
            <w:r>
              <w:rPr>
                <w:rFonts w:ascii="宋体" w:eastAsia="等线" w:hAnsi="宋体" w:cs="宋体" w:hint="eastAsia"/>
                <w:szCs w:val="21"/>
              </w:rPr>
              <w:t>脉冲峰值功率</w:t>
            </w:r>
          </w:p>
        </w:tc>
        <w:tc>
          <w:tcPr>
            <w:tcW w:w="4488" w:type="dxa"/>
          </w:tcPr>
          <w:p>
            <w:pPr>
              <w:spacing w:line="360" w:lineRule="auto"/>
              <w:rPr>
                <w:rFonts w:ascii="宋体" w:eastAsia="等线" w:hAnsi="宋体" w:cs="宋体"/>
                <w:szCs w:val="21"/>
              </w:rPr>
            </w:pPr>
            <w:r>
              <w:rPr>
                <w:rFonts w:ascii="宋体" w:eastAsia="等线" w:hAnsi="宋体" w:cs="宋体" w:hint="eastAsia"/>
                <w:szCs w:val="21"/>
              </w:rPr>
              <w:t>≥100W</w:t>
            </w:r>
          </w:p>
        </w:tc>
      </w:tr>
      <w:tr>
        <w:tblPrEx>
          <w:tblW w:w="8560" w:type="dxa"/>
          <w:tblInd w:w="21" w:type="dxa"/>
          <w:tblLayout w:type="fixed"/>
          <w:tblCellMar>
            <w:top w:w="0" w:type="dxa"/>
            <w:left w:w="0" w:type="dxa"/>
            <w:bottom w:w="0" w:type="dxa"/>
            <w:right w:w="0" w:type="dxa"/>
          </w:tblCellMar>
        </w:tblPrEx>
        <w:trPr>
          <w:trHeight w:val="239"/>
        </w:trPr>
        <w:tc>
          <w:tcPr>
            <w:tcW w:w="4072" w:type="dxa"/>
          </w:tcPr>
          <w:p>
            <w:pPr>
              <w:spacing w:line="360" w:lineRule="auto"/>
              <w:rPr>
                <w:rFonts w:ascii="宋体" w:eastAsia="等线" w:hAnsi="宋体" w:cs="宋体"/>
                <w:szCs w:val="21"/>
              </w:rPr>
            </w:pPr>
            <w:r>
              <w:rPr>
                <w:rFonts w:ascii="宋体" w:eastAsia="等线" w:hAnsi="宋体" w:cs="宋体" w:hint="eastAsia"/>
                <w:szCs w:val="21"/>
              </w:rPr>
              <w:t>脉冲重复频率</w:t>
            </w:r>
          </w:p>
        </w:tc>
        <w:tc>
          <w:tcPr>
            <w:tcW w:w="4488" w:type="dxa"/>
          </w:tcPr>
          <w:p>
            <w:pPr>
              <w:spacing w:line="360" w:lineRule="auto"/>
              <w:rPr>
                <w:rFonts w:ascii="宋体" w:eastAsia="等线" w:hAnsi="宋体" w:cs="宋体"/>
                <w:szCs w:val="21"/>
              </w:rPr>
            </w:pPr>
            <w:r>
              <w:rPr>
                <w:rFonts w:ascii="宋体" w:eastAsia="等线" w:hAnsi="宋体" w:cs="宋体" w:hint="eastAsia"/>
                <w:szCs w:val="21"/>
              </w:rPr>
              <w:t>1000Hz～10000Hz</w:t>
            </w:r>
          </w:p>
        </w:tc>
      </w:tr>
      <w:tr>
        <w:tblPrEx>
          <w:tblW w:w="8560" w:type="dxa"/>
          <w:tblInd w:w="21" w:type="dxa"/>
          <w:tblLayout w:type="fixed"/>
          <w:tblCellMar>
            <w:top w:w="0" w:type="dxa"/>
            <w:left w:w="0" w:type="dxa"/>
            <w:bottom w:w="0" w:type="dxa"/>
            <w:right w:w="0" w:type="dxa"/>
          </w:tblCellMar>
        </w:tblPrEx>
        <w:trPr>
          <w:trHeight w:val="237"/>
        </w:trPr>
        <w:tc>
          <w:tcPr>
            <w:tcW w:w="4072" w:type="dxa"/>
          </w:tcPr>
          <w:p>
            <w:pPr>
              <w:spacing w:line="360" w:lineRule="auto"/>
              <w:rPr>
                <w:rFonts w:ascii="宋体" w:eastAsia="等线" w:hAnsi="宋体" w:cs="宋体"/>
                <w:szCs w:val="21"/>
              </w:rPr>
            </w:pPr>
            <w:r>
              <w:rPr>
                <w:rFonts w:ascii="宋体" w:eastAsia="等线" w:hAnsi="宋体" w:cs="宋体" w:hint="eastAsia"/>
                <w:szCs w:val="21"/>
              </w:rPr>
              <w:t>机内功率检测波动</w:t>
            </w:r>
          </w:p>
        </w:tc>
        <w:tc>
          <w:tcPr>
            <w:tcW w:w="4488" w:type="dxa"/>
          </w:tcPr>
          <w:p>
            <w:pPr>
              <w:spacing w:line="360" w:lineRule="auto"/>
              <w:rPr>
                <w:rFonts w:ascii="宋体" w:eastAsia="等线" w:hAnsi="宋体" w:cs="宋体"/>
                <w:szCs w:val="21"/>
              </w:rPr>
            </w:pPr>
            <w:r>
              <w:rPr>
                <w:rFonts w:ascii="宋体" w:eastAsia="等线" w:hAnsi="宋体" w:cs="宋体" w:hint="eastAsia"/>
                <w:szCs w:val="21"/>
              </w:rPr>
              <w:t>≤0.2dB</w:t>
            </w:r>
          </w:p>
        </w:tc>
      </w:tr>
      <w:tr>
        <w:tblPrEx>
          <w:tblW w:w="8560" w:type="dxa"/>
          <w:tblInd w:w="21" w:type="dxa"/>
          <w:tblLayout w:type="fixed"/>
          <w:tblCellMar>
            <w:top w:w="0" w:type="dxa"/>
            <w:left w:w="0" w:type="dxa"/>
            <w:bottom w:w="0" w:type="dxa"/>
            <w:right w:w="0" w:type="dxa"/>
          </w:tblCellMar>
        </w:tblPrEx>
        <w:trPr>
          <w:trHeight w:val="239"/>
        </w:trPr>
        <w:tc>
          <w:tcPr>
            <w:tcW w:w="4072" w:type="dxa"/>
          </w:tcPr>
          <w:p>
            <w:pPr>
              <w:spacing w:line="360" w:lineRule="auto"/>
              <w:rPr>
                <w:rFonts w:ascii="宋体" w:eastAsia="等线" w:hAnsi="宋体" w:cs="宋体"/>
                <w:szCs w:val="21"/>
              </w:rPr>
            </w:pPr>
            <w:r>
              <w:rPr>
                <w:rFonts w:ascii="宋体" w:eastAsia="等线" w:hAnsi="宋体" w:cs="宋体" w:hint="eastAsia"/>
                <w:szCs w:val="21"/>
              </w:rPr>
              <w:t>脉冲宽度</w:t>
            </w:r>
          </w:p>
        </w:tc>
        <w:tc>
          <w:tcPr>
            <w:tcW w:w="4488" w:type="dxa"/>
          </w:tcPr>
          <w:p>
            <w:pPr>
              <w:spacing w:line="360" w:lineRule="auto"/>
              <w:rPr>
                <w:rFonts w:ascii="宋体" w:eastAsia="等线" w:hAnsi="宋体" w:cs="宋体"/>
                <w:szCs w:val="21"/>
              </w:rPr>
            </w:pPr>
            <w:r>
              <w:rPr>
                <w:rFonts w:ascii="宋体" w:eastAsia="等线" w:hAnsi="宋体" w:cs="宋体" w:hint="eastAsia"/>
                <w:szCs w:val="21"/>
              </w:rPr>
              <w:t>0.2 μs～40μs（可调），0.2 μs 必选</w:t>
            </w:r>
          </w:p>
        </w:tc>
      </w:tr>
      <w:tr>
        <w:tblPrEx>
          <w:tblW w:w="8560" w:type="dxa"/>
          <w:tblInd w:w="21" w:type="dxa"/>
          <w:tblLayout w:type="fixed"/>
          <w:tblCellMar>
            <w:top w:w="0" w:type="dxa"/>
            <w:left w:w="0" w:type="dxa"/>
            <w:bottom w:w="0" w:type="dxa"/>
            <w:right w:w="0" w:type="dxa"/>
          </w:tblCellMar>
        </w:tblPrEx>
        <w:trPr>
          <w:trHeight w:val="237"/>
        </w:trPr>
        <w:tc>
          <w:tcPr>
            <w:tcW w:w="4072" w:type="dxa"/>
          </w:tcPr>
          <w:p>
            <w:pPr>
              <w:spacing w:line="360" w:lineRule="auto"/>
              <w:rPr>
                <w:rFonts w:ascii="宋体" w:eastAsia="等线" w:hAnsi="宋体" w:cs="宋体"/>
                <w:szCs w:val="21"/>
              </w:rPr>
            </w:pPr>
            <w:r>
              <w:rPr>
                <w:rFonts w:ascii="宋体" w:eastAsia="等线" w:hAnsi="宋体" w:cs="宋体" w:hint="eastAsia"/>
                <w:szCs w:val="21"/>
              </w:rPr>
              <w:t>谐波和杂散抑制</w:t>
            </w:r>
          </w:p>
        </w:tc>
        <w:tc>
          <w:tcPr>
            <w:tcW w:w="4488" w:type="dxa"/>
          </w:tcPr>
          <w:p>
            <w:pPr>
              <w:spacing w:line="360" w:lineRule="auto"/>
              <w:rPr>
                <w:rFonts w:ascii="宋体" w:eastAsia="等线" w:hAnsi="宋体" w:cs="宋体"/>
                <w:szCs w:val="21"/>
              </w:rPr>
            </w:pPr>
            <w:r>
              <w:rPr>
                <w:rFonts w:ascii="宋体" w:eastAsia="等线" w:hAnsi="宋体" w:cs="宋体" w:hint="eastAsia"/>
                <w:szCs w:val="21"/>
              </w:rPr>
              <w:t>≥40dB</w:t>
            </w:r>
          </w:p>
        </w:tc>
      </w:tr>
      <w:tr>
        <w:tblPrEx>
          <w:tblW w:w="8560" w:type="dxa"/>
          <w:tblInd w:w="21" w:type="dxa"/>
          <w:tblLayout w:type="fixed"/>
          <w:tblCellMar>
            <w:top w:w="0" w:type="dxa"/>
            <w:left w:w="0" w:type="dxa"/>
            <w:bottom w:w="0" w:type="dxa"/>
            <w:right w:w="0" w:type="dxa"/>
          </w:tblCellMar>
        </w:tblPrEx>
        <w:trPr>
          <w:trHeight w:val="244"/>
        </w:trPr>
        <w:tc>
          <w:tcPr>
            <w:tcW w:w="4072" w:type="dxa"/>
          </w:tcPr>
          <w:p>
            <w:pPr>
              <w:spacing w:line="360" w:lineRule="auto"/>
              <w:rPr>
                <w:rFonts w:ascii="宋体" w:eastAsia="等线" w:hAnsi="宋体" w:cs="宋体"/>
                <w:szCs w:val="21"/>
              </w:rPr>
            </w:pPr>
            <w:r>
              <w:rPr>
                <w:rFonts w:ascii="宋体" w:eastAsia="等线" w:hAnsi="宋体" w:cs="宋体" w:hint="eastAsia"/>
                <w:szCs w:val="21"/>
              </w:rPr>
              <w:t>极限改善因子</w:t>
            </w:r>
          </w:p>
        </w:tc>
        <w:tc>
          <w:tcPr>
            <w:tcW w:w="4488" w:type="dxa"/>
          </w:tcPr>
          <w:p>
            <w:pPr>
              <w:spacing w:line="360" w:lineRule="auto"/>
              <w:rPr>
                <w:rFonts w:ascii="宋体" w:eastAsia="等线" w:hAnsi="宋体" w:cs="宋体"/>
                <w:szCs w:val="21"/>
              </w:rPr>
            </w:pPr>
            <w:r>
              <w:rPr>
                <w:rFonts w:ascii="宋体" w:eastAsia="等线" w:hAnsi="宋体" w:cs="宋体" w:hint="eastAsia"/>
                <w:szCs w:val="21"/>
              </w:rPr>
              <w:t>≥40dB</w:t>
            </w:r>
          </w:p>
        </w:tc>
      </w:tr>
    </w:tbl>
    <w:p>
      <w:pPr>
        <w:spacing w:line="360" w:lineRule="auto"/>
        <w:jc w:val="center"/>
        <w:rPr>
          <w:rFonts w:ascii="宋体" w:hAnsi="宋体" w:cs="宋体"/>
          <w:szCs w:val="21"/>
        </w:rPr>
      </w:pPr>
      <w:r>
        <w:rPr>
          <w:rFonts w:ascii="宋体" w:hAnsi="宋体" w:cs="宋体" w:hint="eastAsia"/>
          <w:szCs w:val="21"/>
        </w:rPr>
        <w:t>表7 接收机技术性能指标表</w:t>
      </w:r>
    </w:p>
    <w:tbl>
      <w:tblPr>
        <w:tblStyle w:val="TableNormal0"/>
        <w:tblW w:w="8591" w:type="dxa"/>
        <w:tblInd w:w="-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3900"/>
        <w:gridCol w:w="12"/>
        <w:gridCol w:w="4679"/>
      </w:tblGrid>
      <w:tr>
        <w:tblPrEx>
          <w:tblW w:w="8591" w:type="dxa"/>
          <w:tblInd w:w="-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241"/>
        </w:trPr>
        <w:tc>
          <w:tcPr>
            <w:tcW w:w="3900" w:type="dxa"/>
          </w:tcPr>
          <w:p>
            <w:pPr>
              <w:spacing w:line="360" w:lineRule="auto"/>
              <w:rPr>
                <w:rFonts w:ascii="宋体" w:eastAsia="等线" w:hAnsi="宋体" w:cs="宋体"/>
                <w:szCs w:val="21"/>
              </w:rPr>
            </w:pPr>
            <w:r>
              <w:rPr>
                <w:rFonts w:ascii="宋体" w:eastAsia="等线" w:hAnsi="宋体" w:cs="宋体" w:hint="eastAsia"/>
                <w:szCs w:val="21"/>
              </w:rPr>
              <w:t>项目</w:t>
            </w:r>
          </w:p>
        </w:tc>
        <w:tc>
          <w:tcPr>
            <w:tcW w:w="4691" w:type="dxa"/>
            <w:gridSpan w:val="2"/>
          </w:tcPr>
          <w:p>
            <w:pPr>
              <w:spacing w:line="360" w:lineRule="auto"/>
              <w:rPr>
                <w:rFonts w:ascii="宋体" w:eastAsia="等线" w:hAnsi="宋体" w:cs="宋体"/>
                <w:szCs w:val="21"/>
              </w:rPr>
            </w:pPr>
            <w:r>
              <w:rPr>
                <w:rFonts w:ascii="宋体" w:eastAsia="等线" w:hAnsi="宋体" w:cs="宋体" w:hint="eastAsia"/>
                <w:szCs w:val="21"/>
              </w:rPr>
              <w:t>性能指标</w:t>
            </w:r>
          </w:p>
        </w:tc>
      </w:tr>
      <w:tr>
        <w:tblPrEx>
          <w:tblW w:w="8591" w:type="dxa"/>
          <w:tblInd w:w="-8" w:type="dxa"/>
          <w:tblLayout w:type="fixed"/>
          <w:tblCellMar>
            <w:top w:w="0" w:type="dxa"/>
            <w:left w:w="0" w:type="dxa"/>
            <w:bottom w:w="0" w:type="dxa"/>
            <w:right w:w="0" w:type="dxa"/>
          </w:tblCellMar>
        </w:tblPrEx>
        <w:trPr>
          <w:trHeight w:val="237"/>
        </w:trPr>
        <w:tc>
          <w:tcPr>
            <w:tcW w:w="3900" w:type="dxa"/>
          </w:tcPr>
          <w:p>
            <w:pPr>
              <w:spacing w:line="360" w:lineRule="auto"/>
              <w:rPr>
                <w:rFonts w:ascii="宋体" w:eastAsia="等线" w:hAnsi="宋体" w:cs="宋体"/>
                <w:szCs w:val="21"/>
              </w:rPr>
            </w:pPr>
            <w:r>
              <w:rPr>
                <w:rFonts w:ascii="宋体" w:eastAsia="等线" w:hAnsi="宋体" w:cs="宋体" w:hint="eastAsia"/>
                <w:szCs w:val="21"/>
              </w:rPr>
              <w:t>工作频率</w:t>
            </w:r>
          </w:p>
        </w:tc>
        <w:tc>
          <w:tcPr>
            <w:tcW w:w="4691" w:type="dxa"/>
            <w:gridSpan w:val="2"/>
          </w:tcPr>
          <w:p>
            <w:pPr>
              <w:spacing w:line="360" w:lineRule="auto"/>
              <w:rPr>
                <w:rFonts w:ascii="宋体" w:eastAsia="等线" w:hAnsi="宋体" w:cs="宋体"/>
                <w:szCs w:val="21"/>
              </w:rPr>
            </w:pPr>
            <w:r>
              <w:rPr>
                <w:rFonts w:ascii="宋体" w:eastAsia="等线" w:hAnsi="宋体" w:cs="宋体" w:hint="eastAsia"/>
                <w:szCs w:val="21"/>
              </w:rPr>
              <w:t>34.5GHz～35.5GHz</w:t>
            </w:r>
          </w:p>
        </w:tc>
      </w:tr>
      <w:tr>
        <w:tblPrEx>
          <w:tblW w:w="8591" w:type="dxa"/>
          <w:tblInd w:w="-8" w:type="dxa"/>
          <w:tblLayout w:type="fixed"/>
          <w:tblCellMar>
            <w:top w:w="0" w:type="dxa"/>
            <w:left w:w="0" w:type="dxa"/>
            <w:bottom w:w="0" w:type="dxa"/>
            <w:right w:w="0" w:type="dxa"/>
          </w:tblCellMar>
        </w:tblPrEx>
        <w:trPr>
          <w:trHeight w:val="239"/>
        </w:trPr>
        <w:tc>
          <w:tcPr>
            <w:tcW w:w="3900" w:type="dxa"/>
          </w:tcPr>
          <w:p>
            <w:pPr>
              <w:spacing w:line="360" w:lineRule="auto"/>
              <w:rPr>
                <w:rFonts w:ascii="宋体" w:eastAsia="等线" w:hAnsi="宋体" w:cs="宋体"/>
                <w:szCs w:val="21"/>
              </w:rPr>
            </w:pPr>
            <w:r>
              <w:rPr>
                <w:rFonts w:ascii="宋体" w:eastAsia="等线" w:hAnsi="宋体" w:cs="宋体" w:hint="eastAsia"/>
                <w:szCs w:val="21"/>
              </w:rPr>
              <w:t>噪声系数（不含环形器和限幅器）</w:t>
            </w:r>
          </w:p>
        </w:tc>
        <w:tc>
          <w:tcPr>
            <w:tcW w:w="4691" w:type="dxa"/>
            <w:gridSpan w:val="2"/>
          </w:tcPr>
          <w:p>
            <w:pPr>
              <w:spacing w:line="360" w:lineRule="auto"/>
              <w:rPr>
                <w:rFonts w:ascii="宋体" w:eastAsia="等线" w:hAnsi="宋体" w:cs="宋体"/>
                <w:szCs w:val="21"/>
              </w:rPr>
            </w:pPr>
            <w:r>
              <w:rPr>
                <w:rFonts w:ascii="宋体" w:eastAsia="等线" w:hAnsi="宋体" w:cs="宋体" w:hint="eastAsia"/>
                <w:szCs w:val="21"/>
              </w:rPr>
              <w:t>≤5dB</w:t>
            </w:r>
          </w:p>
        </w:tc>
      </w:tr>
      <w:tr>
        <w:tblPrEx>
          <w:tblW w:w="8591" w:type="dxa"/>
          <w:tblInd w:w="-8" w:type="dxa"/>
          <w:tblLayout w:type="fixed"/>
          <w:tblCellMar>
            <w:top w:w="0" w:type="dxa"/>
            <w:left w:w="0" w:type="dxa"/>
            <w:bottom w:w="0" w:type="dxa"/>
            <w:right w:w="0" w:type="dxa"/>
          </w:tblCellMar>
        </w:tblPrEx>
        <w:trPr>
          <w:trHeight w:val="236"/>
        </w:trPr>
        <w:tc>
          <w:tcPr>
            <w:tcW w:w="3900" w:type="dxa"/>
          </w:tcPr>
          <w:p>
            <w:pPr>
              <w:spacing w:line="360" w:lineRule="auto"/>
              <w:rPr>
                <w:rFonts w:ascii="宋体" w:eastAsia="等线" w:hAnsi="宋体" w:cs="宋体"/>
                <w:szCs w:val="21"/>
              </w:rPr>
            </w:pPr>
            <w:r>
              <w:rPr>
                <w:rFonts w:ascii="宋体" w:eastAsia="等线" w:hAnsi="宋体" w:cs="宋体" w:hint="eastAsia"/>
                <w:szCs w:val="21"/>
              </w:rPr>
              <w:t>线性动态范围</w:t>
            </w:r>
          </w:p>
        </w:tc>
        <w:tc>
          <w:tcPr>
            <w:tcW w:w="4691" w:type="dxa"/>
            <w:gridSpan w:val="2"/>
          </w:tcPr>
          <w:p>
            <w:pPr>
              <w:spacing w:line="360" w:lineRule="auto"/>
              <w:rPr>
                <w:rFonts w:ascii="宋体" w:eastAsia="等线" w:hAnsi="宋体" w:cs="宋体"/>
                <w:szCs w:val="21"/>
              </w:rPr>
            </w:pPr>
            <w:r>
              <w:rPr>
                <w:rFonts w:ascii="宋体" w:eastAsia="等线" w:hAnsi="宋体" w:cs="宋体" w:hint="eastAsia"/>
                <w:szCs w:val="21"/>
              </w:rPr>
              <w:t>≥80dB（带宽 1MHz）</w:t>
            </w:r>
          </w:p>
        </w:tc>
      </w:tr>
      <w:tr>
        <w:tblPrEx>
          <w:tblW w:w="8591" w:type="dxa"/>
          <w:tblInd w:w="-8" w:type="dxa"/>
          <w:tblLayout w:type="fixed"/>
          <w:tblCellMar>
            <w:top w:w="0" w:type="dxa"/>
            <w:left w:w="0" w:type="dxa"/>
            <w:bottom w:w="0" w:type="dxa"/>
            <w:right w:w="0" w:type="dxa"/>
          </w:tblCellMar>
        </w:tblPrEx>
        <w:trPr>
          <w:trHeight w:val="239"/>
        </w:trPr>
        <w:tc>
          <w:tcPr>
            <w:tcW w:w="3900" w:type="dxa"/>
          </w:tcPr>
          <w:p>
            <w:pPr>
              <w:spacing w:line="360" w:lineRule="auto"/>
              <w:rPr>
                <w:rFonts w:ascii="宋体" w:eastAsia="等线" w:hAnsi="宋体" w:cs="宋体"/>
                <w:szCs w:val="21"/>
              </w:rPr>
            </w:pPr>
            <w:r>
              <w:rPr>
                <w:rFonts w:ascii="宋体" w:eastAsia="等线" w:hAnsi="宋体" w:cs="宋体" w:hint="eastAsia"/>
                <w:szCs w:val="21"/>
              </w:rPr>
              <w:t>最小可测功率（灵敏度）</w:t>
            </w:r>
          </w:p>
        </w:tc>
        <w:tc>
          <w:tcPr>
            <w:tcW w:w="4691" w:type="dxa"/>
            <w:gridSpan w:val="2"/>
          </w:tcPr>
          <w:p>
            <w:pPr>
              <w:spacing w:line="360" w:lineRule="auto"/>
              <w:rPr>
                <w:rFonts w:ascii="宋体" w:eastAsia="等线" w:hAnsi="宋体" w:cs="宋体"/>
                <w:szCs w:val="21"/>
              </w:rPr>
            </w:pPr>
            <w:r>
              <w:rPr>
                <w:rFonts w:ascii="宋体" w:eastAsia="等线" w:hAnsi="宋体" w:cs="宋体" w:hint="eastAsia"/>
                <w:szCs w:val="21"/>
              </w:rPr>
              <w:t>≤-100dBm（带宽 5MHz）</w:t>
            </w:r>
          </w:p>
        </w:tc>
      </w:tr>
      <w:tr>
        <w:tblPrEx>
          <w:tblW w:w="8591" w:type="dxa"/>
          <w:tblInd w:w="-8" w:type="dxa"/>
          <w:tblLayout w:type="fixed"/>
          <w:tblCellMar>
            <w:top w:w="0" w:type="dxa"/>
            <w:left w:w="0" w:type="dxa"/>
            <w:bottom w:w="0" w:type="dxa"/>
            <w:right w:w="0" w:type="dxa"/>
          </w:tblCellMar>
        </w:tblPrEx>
        <w:trPr>
          <w:trHeight w:val="237"/>
        </w:trPr>
        <w:tc>
          <w:tcPr>
            <w:tcW w:w="3900" w:type="dxa"/>
          </w:tcPr>
          <w:p>
            <w:pPr>
              <w:spacing w:line="360" w:lineRule="auto"/>
              <w:rPr>
                <w:rFonts w:ascii="宋体" w:eastAsia="等线" w:hAnsi="宋体" w:cs="宋体"/>
                <w:szCs w:val="21"/>
              </w:rPr>
            </w:pPr>
            <w:r>
              <w:rPr>
                <w:rFonts w:ascii="宋体" w:eastAsia="等线" w:hAnsi="宋体" w:cs="宋体" w:hint="eastAsia"/>
                <w:szCs w:val="21"/>
              </w:rPr>
              <w:t>镜频抑制度</w:t>
            </w:r>
          </w:p>
        </w:tc>
        <w:tc>
          <w:tcPr>
            <w:tcW w:w="4691" w:type="dxa"/>
            <w:gridSpan w:val="2"/>
          </w:tcPr>
          <w:p>
            <w:pPr>
              <w:spacing w:line="360" w:lineRule="auto"/>
              <w:rPr>
                <w:rFonts w:ascii="宋体" w:eastAsia="等线" w:hAnsi="宋体" w:cs="宋体"/>
                <w:szCs w:val="21"/>
              </w:rPr>
            </w:pPr>
            <w:r>
              <w:rPr>
                <w:rFonts w:ascii="宋体" w:eastAsia="等线" w:hAnsi="宋体" w:cs="宋体" w:hint="eastAsia"/>
                <w:szCs w:val="21"/>
              </w:rPr>
              <w:t>≥60dB</w:t>
            </w:r>
          </w:p>
        </w:tc>
      </w:tr>
      <w:tr>
        <w:tblPrEx>
          <w:tblW w:w="8591" w:type="dxa"/>
          <w:tblInd w:w="-8" w:type="dxa"/>
          <w:tblLayout w:type="fixed"/>
          <w:tblCellMar>
            <w:top w:w="0" w:type="dxa"/>
            <w:left w:w="0" w:type="dxa"/>
            <w:bottom w:w="0" w:type="dxa"/>
            <w:right w:w="0" w:type="dxa"/>
          </w:tblCellMar>
        </w:tblPrEx>
        <w:trPr>
          <w:trHeight w:val="244"/>
        </w:trPr>
        <w:tc>
          <w:tcPr>
            <w:tcW w:w="3900" w:type="dxa"/>
          </w:tcPr>
          <w:p>
            <w:pPr>
              <w:spacing w:line="360" w:lineRule="auto"/>
              <w:rPr>
                <w:rFonts w:ascii="宋体" w:eastAsia="等线" w:hAnsi="宋体" w:cs="宋体"/>
                <w:szCs w:val="21"/>
              </w:rPr>
            </w:pPr>
            <w:r>
              <w:rPr>
                <w:rFonts w:ascii="宋体" w:eastAsia="等线" w:hAnsi="宋体" w:cs="宋体" w:hint="eastAsia"/>
                <w:szCs w:val="21"/>
              </w:rPr>
              <w:t>中频输出杂散</w:t>
            </w:r>
          </w:p>
        </w:tc>
        <w:tc>
          <w:tcPr>
            <w:tcW w:w="4691" w:type="dxa"/>
            <w:gridSpan w:val="2"/>
          </w:tcPr>
          <w:p>
            <w:pPr>
              <w:spacing w:line="360" w:lineRule="auto"/>
              <w:rPr>
                <w:rFonts w:ascii="宋体" w:eastAsia="等线" w:hAnsi="宋体" w:cs="宋体"/>
                <w:szCs w:val="21"/>
              </w:rPr>
            </w:pPr>
            <w:r>
              <w:rPr>
                <w:rFonts w:ascii="宋体" w:eastAsia="等线" w:hAnsi="宋体" w:cs="宋体" w:hint="eastAsia"/>
                <w:szCs w:val="21"/>
              </w:rPr>
              <w:t>≤-60dBc</w:t>
            </w:r>
          </w:p>
        </w:tc>
      </w:tr>
      <w:tr>
        <w:tblPrEx>
          <w:tblW w:w="8591" w:type="dxa"/>
          <w:tblInd w:w="-8" w:type="dxa"/>
          <w:tblLayout w:type="fixed"/>
          <w:tblCellMar>
            <w:top w:w="0" w:type="dxa"/>
            <w:left w:w="0" w:type="dxa"/>
            <w:bottom w:w="0" w:type="dxa"/>
            <w:right w:w="0" w:type="dxa"/>
          </w:tblCellMar>
        </w:tblPrEx>
        <w:trPr>
          <w:trHeight w:val="239"/>
        </w:trPr>
        <w:tc>
          <w:tcPr>
            <w:tcW w:w="3912" w:type="dxa"/>
            <w:gridSpan w:val="2"/>
          </w:tcPr>
          <w:p>
            <w:pPr>
              <w:spacing w:line="360" w:lineRule="auto"/>
              <w:rPr>
                <w:rFonts w:ascii="宋体" w:eastAsia="等线" w:hAnsi="宋体" w:cs="宋体"/>
                <w:szCs w:val="21"/>
              </w:rPr>
            </w:pPr>
            <w:r>
              <w:rPr>
                <w:rFonts w:ascii="宋体" w:eastAsia="等线" w:hAnsi="宋体" w:cs="宋体" w:hint="eastAsia"/>
                <w:szCs w:val="21"/>
              </w:rPr>
              <w:t>谐波和杂散抑制</w:t>
            </w:r>
          </w:p>
        </w:tc>
        <w:tc>
          <w:tcPr>
            <w:tcW w:w="4679" w:type="dxa"/>
          </w:tcPr>
          <w:p>
            <w:pPr>
              <w:spacing w:line="360" w:lineRule="auto"/>
              <w:rPr>
                <w:rFonts w:ascii="宋体" w:eastAsia="等线" w:hAnsi="宋体" w:cs="宋体"/>
                <w:szCs w:val="21"/>
              </w:rPr>
            </w:pPr>
            <w:r>
              <w:rPr>
                <w:rFonts w:ascii="宋体" w:eastAsia="等线" w:hAnsi="宋体" w:cs="宋体" w:hint="eastAsia"/>
                <w:szCs w:val="21"/>
              </w:rPr>
              <w:t>≥60dB</w:t>
            </w:r>
          </w:p>
        </w:tc>
      </w:tr>
      <w:tr>
        <w:tblPrEx>
          <w:tblW w:w="8591" w:type="dxa"/>
          <w:tblInd w:w="-8" w:type="dxa"/>
          <w:tblLayout w:type="fixed"/>
          <w:tblCellMar>
            <w:top w:w="0" w:type="dxa"/>
            <w:left w:w="0" w:type="dxa"/>
            <w:bottom w:w="0" w:type="dxa"/>
            <w:right w:w="0" w:type="dxa"/>
          </w:tblCellMar>
        </w:tblPrEx>
        <w:trPr>
          <w:trHeight w:val="242"/>
        </w:trPr>
        <w:tc>
          <w:tcPr>
            <w:tcW w:w="3912" w:type="dxa"/>
            <w:gridSpan w:val="2"/>
          </w:tcPr>
          <w:p>
            <w:pPr>
              <w:spacing w:line="360" w:lineRule="auto"/>
              <w:rPr>
                <w:rFonts w:ascii="宋体" w:eastAsia="等线" w:hAnsi="宋体" w:cs="宋体"/>
                <w:szCs w:val="21"/>
              </w:rPr>
            </w:pPr>
            <w:r>
              <w:rPr>
                <w:rFonts w:ascii="宋体" w:eastAsia="等线" w:hAnsi="宋体" w:cs="宋体" w:hint="eastAsia"/>
                <w:szCs w:val="21"/>
              </w:rPr>
              <w:t>数字中频 A/D 位数</w:t>
            </w:r>
          </w:p>
        </w:tc>
        <w:tc>
          <w:tcPr>
            <w:tcW w:w="4679" w:type="dxa"/>
          </w:tcPr>
          <w:p>
            <w:pPr>
              <w:spacing w:line="360" w:lineRule="auto"/>
              <w:rPr>
                <w:rFonts w:ascii="宋体" w:eastAsia="等线" w:hAnsi="宋体" w:cs="宋体"/>
                <w:szCs w:val="21"/>
              </w:rPr>
            </w:pPr>
            <w:r>
              <w:rPr>
                <w:rFonts w:ascii="宋体" w:eastAsia="等线" w:hAnsi="宋体" w:cs="宋体" w:hint="eastAsia"/>
                <w:szCs w:val="21"/>
              </w:rPr>
              <w:t>≥16 位</w:t>
            </w:r>
          </w:p>
        </w:tc>
      </w:tr>
    </w:tbl>
    <w:p>
      <w:pPr>
        <w:spacing w:line="360" w:lineRule="auto"/>
        <w:jc w:val="center"/>
        <w:rPr>
          <w:rFonts w:ascii="宋体" w:hAnsi="宋体" w:cs="宋体"/>
          <w:szCs w:val="21"/>
        </w:rPr>
      </w:pPr>
      <w:r>
        <w:rPr>
          <w:rFonts w:ascii="宋体" w:hAnsi="宋体" w:cs="宋体" w:hint="eastAsia"/>
          <w:szCs w:val="21"/>
        </w:rPr>
        <w:t>表8 恒温系统技术性能指标表</w:t>
      </w:r>
    </w:p>
    <w:tbl>
      <w:tblPr>
        <w:tblStyle w:val="TableNormal0"/>
        <w:tblW w:w="8610" w:type="dxa"/>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3981"/>
        <w:gridCol w:w="4629"/>
      </w:tblGrid>
      <w:tr>
        <w:tblPrEx>
          <w:tblW w:w="8610" w:type="dxa"/>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240"/>
        </w:trPr>
        <w:tc>
          <w:tcPr>
            <w:tcW w:w="3981" w:type="dxa"/>
          </w:tcPr>
          <w:p>
            <w:pPr>
              <w:spacing w:line="360" w:lineRule="auto"/>
              <w:rPr>
                <w:rFonts w:ascii="宋体" w:eastAsia="等线" w:hAnsi="宋体" w:cs="宋体"/>
                <w:szCs w:val="21"/>
              </w:rPr>
            </w:pPr>
            <w:r>
              <w:rPr>
                <w:rFonts w:ascii="宋体" w:eastAsia="等线" w:hAnsi="宋体" w:cs="宋体" w:hint="eastAsia"/>
                <w:szCs w:val="21"/>
              </w:rPr>
              <w:t>环境温度</w:t>
            </w:r>
          </w:p>
        </w:tc>
        <w:tc>
          <w:tcPr>
            <w:tcW w:w="4629" w:type="dxa"/>
          </w:tcPr>
          <w:p>
            <w:pPr>
              <w:spacing w:line="360" w:lineRule="auto"/>
              <w:rPr>
                <w:rFonts w:ascii="宋体" w:eastAsia="等线" w:hAnsi="宋体" w:cs="宋体"/>
                <w:szCs w:val="21"/>
              </w:rPr>
            </w:pPr>
            <w:r>
              <w:rPr>
                <w:rFonts w:ascii="宋体" w:eastAsia="等线" w:hAnsi="宋体" w:cs="宋体" w:hint="eastAsia"/>
                <w:szCs w:val="21"/>
              </w:rPr>
              <w:t>收发分系统机箱内部温度</w:t>
            </w:r>
          </w:p>
        </w:tc>
      </w:tr>
      <w:tr>
        <w:tblPrEx>
          <w:tblW w:w="8610" w:type="dxa"/>
          <w:tblInd w:w="7" w:type="dxa"/>
          <w:tblLayout w:type="fixed"/>
          <w:tblCellMar>
            <w:top w:w="0" w:type="dxa"/>
            <w:left w:w="0" w:type="dxa"/>
            <w:bottom w:w="0" w:type="dxa"/>
            <w:right w:w="0" w:type="dxa"/>
          </w:tblCellMar>
        </w:tblPrEx>
        <w:trPr>
          <w:trHeight w:val="238"/>
        </w:trPr>
        <w:tc>
          <w:tcPr>
            <w:tcW w:w="3981" w:type="dxa"/>
          </w:tcPr>
          <w:p>
            <w:pPr>
              <w:spacing w:line="360" w:lineRule="auto"/>
              <w:rPr>
                <w:rFonts w:ascii="宋体" w:eastAsia="等线" w:hAnsi="宋体" w:cs="宋体"/>
                <w:szCs w:val="21"/>
              </w:rPr>
            </w:pPr>
            <w:r>
              <w:rPr>
                <w:rFonts w:ascii="宋体" w:eastAsia="等线" w:hAnsi="宋体" w:cs="宋体" w:hint="eastAsia"/>
                <w:szCs w:val="21"/>
              </w:rPr>
              <w:t>&lt;0℃</w:t>
            </w:r>
          </w:p>
        </w:tc>
        <w:tc>
          <w:tcPr>
            <w:tcW w:w="4629" w:type="dxa"/>
          </w:tcPr>
          <w:p>
            <w:pPr>
              <w:spacing w:line="360" w:lineRule="auto"/>
              <w:rPr>
                <w:rFonts w:ascii="宋体" w:eastAsia="等线" w:hAnsi="宋体" w:cs="宋体"/>
                <w:szCs w:val="21"/>
              </w:rPr>
            </w:pPr>
            <w:r>
              <w:rPr>
                <w:rFonts w:ascii="宋体" w:eastAsia="等线" w:hAnsi="宋体" w:cs="宋体" w:hint="eastAsia"/>
                <w:szCs w:val="21"/>
              </w:rPr>
              <w:t>≥0℃</w:t>
            </w:r>
          </w:p>
        </w:tc>
      </w:tr>
      <w:tr>
        <w:tblPrEx>
          <w:tblW w:w="8610" w:type="dxa"/>
          <w:tblInd w:w="7" w:type="dxa"/>
          <w:tblLayout w:type="fixed"/>
          <w:tblCellMar>
            <w:top w:w="0" w:type="dxa"/>
            <w:left w:w="0" w:type="dxa"/>
            <w:bottom w:w="0" w:type="dxa"/>
            <w:right w:w="0" w:type="dxa"/>
          </w:tblCellMar>
        </w:tblPrEx>
        <w:trPr>
          <w:trHeight w:val="241"/>
        </w:trPr>
        <w:tc>
          <w:tcPr>
            <w:tcW w:w="3981" w:type="dxa"/>
          </w:tcPr>
          <w:p>
            <w:pPr>
              <w:spacing w:line="360" w:lineRule="auto"/>
              <w:rPr>
                <w:rFonts w:ascii="宋体" w:eastAsia="等线" w:hAnsi="宋体" w:cs="宋体"/>
                <w:szCs w:val="21"/>
              </w:rPr>
            </w:pPr>
            <w:r>
              <w:rPr>
                <w:rFonts w:ascii="宋体" w:eastAsia="等线" w:hAnsi="宋体" w:cs="宋体" w:hint="eastAsia"/>
                <w:szCs w:val="21"/>
              </w:rPr>
              <w:t>≥0℃</w:t>
            </w:r>
          </w:p>
        </w:tc>
        <w:tc>
          <w:tcPr>
            <w:tcW w:w="4629" w:type="dxa"/>
          </w:tcPr>
          <w:p>
            <w:pPr>
              <w:spacing w:line="360" w:lineRule="auto"/>
              <w:rPr>
                <w:rFonts w:ascii="宋体" w:eastAsia="等线" w:hAnsi="宋体" w:cs="宋体"/>
                <w:szCs w:val="21"/>
              </w:rPr>
            </w:pPr>
            <w:r>
              <w:rPr>
                <w:rFonts w:ascii="宋体" w:eastAsia="等线" w:hAnsi="宋体" w:cs="宋体" w:hint="eastAsia"/>
                <w:szCs w:val="21"/>
              </w:rPr>
              <w:t>30±5℃</w:t>
            </w:r>
          </w:p>
        </w:tc>
      </w:tr>
    </w:tbl>
    <w:p>
      <w:pPr>
        <w:pStyle w:val="Heading7"/>
        <w:spacing w:before="0"/>
        <w:rPr>
          <w:color w:val="auto"/>
          <w:szCs w:val="21"/>
        </w:rPr>
      </w:pPr>
      <w:r>
        <w:rPr>
          <w:rFonts w:hint="eastAsia"/>
          <w:color w:val="auto"/>
          <w:szCs w:val="21"/>
        </w:rPr>
        <w:t>1.15.10供电分系统</w:t>
      </w:r>
    </w:p>
    <w:p>
      <w:pPr>
        <w:spacing w:line="360" w:lineRule="auto"/>
        <w:ind w:firstLine="420" w:firstLineChars="200"/>
        <w:rPr>
          <w:rFonts w:ascii="宋体" w:hAnsi="宋体" w:cs="宋体"/>
          <w:szCs w:val="21"/>
        </w:rPr>
      </w:pPr>
      <w:r>
        <w:rPr>
          <w:rFonts w:ascii="宋体" w:hAnsi="宋体" w:cs="宋体"/>
          <w:szCs w:val="21"/>
        </w:rPr>
        <w:t>供电分系统主要由收发分系统低纹波电源、恒温系统电源以及配套连接器等组成。供电分系统采用交流电输入，为收发分系统提供多路高质量直流电源，同时为收发分系统的恒温系统提供直流电源。</w:t>
      </w:r>
      <w:r>
        <w:rPr>
          <w:rFonts w:ascii="宋体" w:hAnsi="宋体" w:cs="宋体" w:hint="eastAsia"/>
          <w:szCs w:val="21"/>
        </w:rPr>
        <w:t>具体指标见下表。</w:t>
      </w:r>
    </w:p>
    <w:p>
      <w:pPr>
        <w:pStyle w:val="Heading8"/>
        <w:rPr>
          <w:color w:val="auto"/>
          <w:szCs w:val="21"/>
        </w:rPr>
      </w:pPr>
      <w:r>
        <w:rPr>
          <w:rFonts w:hint="eastAsia"/>
          <w:color w:val="auto"/>
          <w:szCs w:val="21"/>
        </w:rPr>
        <w:t>1.15.11数据处理控制分系统</w:t>
      </w:r>
    </w:p>
    <w:p>
      <w:pPr>
        <w:spacing w:line="360" w:lineRule="auto"/>
        <w:ind w:firstLine="420" w:firstLineChars="200"/>
        <w:rPr>
          <w:rFonts w:ascii="宋体" w:hAnsi="宋体" w:cs="宋体"/>
          <w:szCs w:val="21"/>
        </w:rPr>
      </w:pPr>
      <w:r>
        <w:rPr>
          <w:rFonts w:ascii="宋体" w:hAnsi="宋体" w:cs="宋体" w:hint="eastAsia"/>
          <w:szCs w:val="21"/>
        </w:rPr>
        <w:t>数据处理控制分系统主要由云雷达控制终端和数据处理终端组成。数据处理控制分系统与云雷达主机之间通过光纤连接，实现云雷达的远程控制、运行状态监控、关键参数在线监测分析、数据统一处理与输出，同时具有业务过程管理、数据查询与显示等功能，从而达到自动化保障云雷达运行维护和远程无人值守目的。</w:t>
      </w:r>
    </w:p>
    <w:p>
      <w:pPr>
        <w:pStyle w:val="Heading8"/>
        <w:rPr>
          <w:color w:val="auto"/>
          <w:szCs w:val="21"/>
        </w:rPr>
      </w:pPr>
      <w:r>
        <w:rPr>
          <w:rFonts w:hint="eastAsia"/>
          <w:color w:val="auto"/>
          <w:szCs w:val="21"/>
        </w:rPr>
        <w:t>1.15.11.1数据处理</w:t>
      </w:r>
    </w:p>
    <w:p>
      <w:pPr>
        <w:spacing w:line="360" w:lineRule="auto"/>
        <w:ind w:firstLine="420" w:firstLineChars="200"/>
        <w:rPr>
          <w:rFonts w:ascii="宋体" w:hAnsi="宋体" w:cs="宋体"/>
          <w:szCs w:val="21"/>
        </w:rPr>
      </w:pPr>
      <w:r>
        <w:rPr>
          <w:rFonts w:ascii="宋体" w:hAnsi="宋体" w:cs="宋体" w:hint="eastAsia"/>
          <w:szCs w:val="21"/>
        </w:rPr>
        <w:t>根据云雷达偏振体制进行数据处理和质量控制，生成基数据产品和物理量产品。</w:t>
      </w:r>
    </w:p>
    <w:p>
      <w:pPr>
        <w:pStyle w:val="Heading8"/>
        <w:rPr>
          <w:color w:val="auto"/>
          <w:szCs w:val="21"/>
        </w:rPr>
      </w:pPr>
      <w:r>
        <w:rPr>
          <w:rFonts w:hint="eastAsia"/>
          <w:color w:val="auto"/>
          <w:szCs w:val="21"/>
        </w:rPr>
        <w:t>1.15.11.2状态监测</w:t>
      </w:r>
    </w:p>
    <w:p>
      <w:pPr>
        <w:spacing w:line="360" w:lineRule="auto"/>
        <w:ind w:firstLine="420" w:firstLineChars="200"/>
        <w:rPr>
          <w:rFonts w:ascii="宋体" w:hAnsi="宋体" w:cs="宋体"/>
          <w:szCs w:val="21"/>
        </w:rPr>
      </w:pPr>
      <w:r>
        <w:rPr>
          <w:rFonts w:ascii="宋体" w:hAnsi="宋体" w:cs="宋体" w:hint="eastAsia"/>
          <w:szCs w:val="21"/>
        </w:rPr>
        <w:t>在线监测云雷达运行状态和关键参数，包括云雷达的静态参数、运行模式参数、运行环境参数、在线定时标定参数、在线实时标定参数、在线实时状态与预警参数等。</w:t>
      </w:r>
    </w:p>
    <w:p>
      <w:pPr>
        <w:pStyle w:val="a2"/>
        <w:spacing w:line="360" w:lineRule="auto"/>
        <w:rPr>
          <w:rFonts w:ascii="宋体" w:hAnsi="宋体"/>
          <w:szCs w:val="21"/>
        </w:rPr>
      </w:pPr>
    </w:p>
    <w:p>
      <w:pPr>
        <w:spacing w:line="360" w:lineRule="auto"/>
        <w:jc w:val="center"/>
        <w:rPr>
          <w:rFonts w:ascii="宋体" w:hAnsi="宋体" w:cs="宋体"/>
          <w:szCs w:val="21"/>
        </w:rPr>
      </w:pPr>
      <w:r>
        <w:rPr>
          <w:rFonts w:ascii="宋体" w:hAnsi="宋体" w:cs="宋体" w:hint="eastAsia"/>
          <w:szCs w:val="21"/>
        </w:rPr>
        <w:t>表9 在线监测参数列表</w:t>
      </w:r>
    </w:p>
    <w:tbl>
      <w:tblPr>
        <w:tblStyle w:val="TableNormal"/>
        <w:tblW w:w="85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12"/>
        <w:gridCol w:w="3686"/>
        <w:gridCol w:w="4013"/>
      </w:tblGrid>
      <w:tr>
        <w:tblPrEx>
          <w:tblW w:w="85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r>
              <w:rPr>
                <w:rFonts w:ascii="宋体" w:hAnsi="宋体" w:cs="宋体" w:hint="eastAsia"/>
                <w:szCs w:val="21"/>
              </w:rPr>
              <w:t>序 号</w:t>
            </w:r>
          </w:p>
        </w:tc>
        <w:tc>
          <w:tcPr>
            <w:tcW w:w="3686" w:type="dxa"/>
          </w:tcPr>
          <w:p>
            <w:pPr>
              <w:spacing w:line="360" w:lineRule="auto"/>
              <w:rPr>
                <w:rFonts w:ascii="宋体" w:hAnsi="宋体" w:cs="宋体"/>
                <w:szCs w:val="21"/>
              </w:rPr>
            </w:pPr>
            <w:r>
              <w:rPr>
                <w:rFonts w:ascii="宋体" w:hAnsi="宋体" w:cs="宋体" w:hint="eastAsia"/>
                <w:szCs w:val="21"/>
              </w:rPr>
              <w:t>监测参数</w:t>
            </w:r>
          </w:p>
        </w:tc>
        <w:tc>
          <w:tcPr>
            <w:tcW w:w="4013" w:type="dxa"/>
          </w:tcPr>
          <w:p>
            <w:pPr>
              <w:spacing w:line="360" w:lineRule="auto"/>
              <w:rPr>
                <w:rFonts w:ascii="宋体" w:hAnsi="宋体" w:cs="宋体"/>
                <w:szCs w:val="21"/>
              </w:rPr>
            </w:pPr>
            <w:r>
              <w:rPr>
                <w:rFonts w:ascii="宋体" w:hAnsi="宋体" w:cs="宋体" w:hint="eastAsia"/>
                <w:szCs w:val="21"/>
              </w:rPr>
              <w:t>备注</w:t>
            </w:r>
          </w:p>
        </w:tc>
      </w:tr>
      <w:tr>
        <w:tblPrEx>
          <w:tblW w:w="8511" w:type="dxa"/>
          <w:jc w:val="center"/>
          <w:tblLayout w:type="fixed"/>
          <w:tblCellMar>
            <w:top w:w="0" w:type="dxa"/>
            <w:left w:w="108" w:type="dxa"/>
            <w:bottom w:w="0" w:type="dxa"/>
            <w:right w:w="108" w:type="dxa"/>
          </w:tblCellMar>
        </w:tblPrEx>
        <w:trPr>
          <w:trHeight w:val="284"/>
          <w:jc w:val="center"/>
        </w:trPr>
        <w:tc>
          <w:tcPr>
            <w:tcW w:w="8511" w:type="dxa"/>
            <w:gridSpan w:val="3"/>
          </w:tcPr>
          <w:p>
            <w:pPr>
              <w:spacing w:line="360" w:lineRule="auto"/>
              <w:rPr>
                <w:rFonts w:ascii="宋体" w:hAnsi="宋体" w:cs="宋体"/>
                <w:szCs w:val="21"/>
              </w:rPr>
            </w:pPr>
            <w:r>
              <w:rPr>
                <w:rFonts w:ascii="宋体" w:hAnsi="宋体" w:cs="宋体" w:hint="eastAsia"/>
                <w:szCs w:val="21"/>
              </w:rPr>
              <w:t>云雷达静态参数</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雷达站号</w:t>
            </w:r>
          </w:p>
        </w:tc>
        <w:tc>
          <w:tcPr>
            <w:tcW w:w="4013" w:type="dxa"/>
          </w:tcPr>
          <w:p>
            <w:pPr>
              <w:spacing w:line="360" w:lineRule="auto"/>
              <w:rPr>
                <w:rFonts w:ascii="宋体" w:hAnsi="宋体" w:cs="宋体"/>
                <w:szCs w:val="21"/>
              </w:rPr>
            </w:pP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站点名称</w:t>
            </w:r>
          </w:p>
        </w:tc>
        <w:tc>
          <w:tcPr>
            <w:tcW w:w="4013" w:type="dxa"/>
          </w:tcPr>
          <w:p>
            <w:pPr>
              <w:spacing w:line="360" w:lineRule="auto"/>
              <w:rPr>
                <w:rFonts w:ascii="宋体" w:hAnsi="宋体" w:cs="宋体"/>
                <w:szCs w:val="21"/>
              </w:rPr>
            </w:pPr>
          </w:p>
        </w:tc>
      </w:tr>
      <w:tr>
        <w:tblPrEx>
          <w:tblW w:w="8511" w:type="dxa"/>
          <w:jc w:val="center"/>
          <w:tblLayout w:type="fixed"/>
          <w:tblCellMar>
            <w:top w:w="0" w:type="dxa"/>
            <w:left w:w="108" w:type="dxa"/>
            <w:bottom w:w="0" w:type="dxa"/>
            <w:right w:w="108" w:type="dxa"/>
          </w:tblCellMar>
        </w:tblPrEx>
        <w:trPr>
          <w:trHeight w:val="90"/>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纬度</w:t>
            </w:r>
          </w:p>
        </w:tc>
        <w:tc>
          <w:tcPr>
            <w:tcW w:w="4013" w:type="dxa"/>
          </w:tcPr>
          <w:p>
            <w:pPr>
              <w:spacing w:line="360" w:lineRule="auto"/>
              <w:rPr>
                <w:rFonts w:ascii="宋体" w:hAnsi="宋体" w:cs="宋体"/>
                <w:szCs w:val="21"/>
              </w:rPr>
            </w:pPr>
            <w:r>
              <w:rPr>
                <w:rFonts w:ascii="宋体" w:hAnsi="宋体" w:cs="宋体" w:hint="eastAsia"/>
                <w:szCs w:val="21"/>
              </w:rPr>
              <w:t>单位：度</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经度</w:t>
            </w:r>
          </w:p>
        </w:tc>
        <w:tc>
          <w:tcPr>
            <w:tcW w:w="4013" w:type="dxa"/>
          </w:tcPr>
          <w:p>
            <w:pPr>
              <w:spacing w:line="360" w:lineRule="auto"/>
              <w:rPr>
                <w:rFonts w:ascii="宋体" w:hAnsi="宋体" w:cs="宋体"/>
                <w:szCs w:val="21"/>
              </w:rPr>
            </w:pPr>
            <w:r>
              <w:rPr>
                <w:rFonts w:ascii="宋体" w:hAnsi="宋体" w:cs="宋体" w:hint="eastAsia"/>
                <w:szCs w:val="21"/>
              </w:rPr>
              <w:t>单位：度</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海拔高度</w:t>
            </w:r>
          </w:p>
        </w:tc>
        <w:tc>
          <w:tcPr>
            <w:tcW w:w="4013" w:type="dxa"/>
          </w:tcPr>
          <w:p>
            <w:pPr>
              <w:spacing w:line="360" w:lineRule="auto"/>
              <w:rPr>
                <w:rFonts w:ascii="宋体" w:hAnsi="宋体" w:cs="宋体"/>
                <w:szCs w:val="21"/>
              </w:rPr>
            </w:pPr>
            <w:r>
              <w:rPr>
                <w:rFonts w:ascii="宋体" w:hAnsi="宋体" w:cs="宋体" w:hint="eastAsia"/>
                <w:szCs w:val="21"/>
              </w:rPr>
              <w:t>单位：米</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雷达类型</w:t>
            </w:r>
          </w:p>
        </w:tc>
        <w:tc>
          <w:tcPr>
            <w:tcW w:w="4013" w:type="dxa"/>
          </w:tcPr>
          <w:p>
            <w:pPr>
              <w:spacing w:line="360" w:lineRule="auto"/>
              <w:rPr>
                <w:rFonts w:ascii="宋体" w:hAnsi="宋体" w:cs="宋体"/>
                <w:szCs w:val="21"/>
              </w:rPr>
            </w:pPr>
            <w:r>
              <w:rPr>
                <w:rFonts w:ascii="宋体" w:hAnsi="宋体" w:cs="宋体" w:hint="eastAsia"/>
                <w:szCs w:val="21"/>
              </w:rPr>
              <w:t>扫描型云雷达或垂直型云雷达</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工作频率</w:t>
            </w:r>
          </w:p>
        </w:tc>
        <w:tc>
          <w:tcPr>
            <w:tcW w:w="4013" w:type="dxa"/>
          </w:tcPr>
          <w:p>
            <w:pPr>
              <w:spacing w:line="360" w:lineRule="auto"/>
              <w:rPr>
                <w:rFonts w:ascii="宋体" w:hAnsi="宋体" w:cs="宋体"/>
                <w:szCs w:val="21"/>
              </w:rPr>
            </w:pPr>
            <w:r>
              <w:rPr>
                <w:rFonts w:ascii="宋体" w:hAnsi="宋体" w:cs="宋体" w:hint="eastAsia"/>
                <w:szCs w:val="21"/>
              </w:rPr>
              <w:t>单位：MHz</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水平通道天线增益</w:t>
            </w:r>
          </w:p>
        </w:tc>
        <w:tc>
          <w:tcPr>
            <w:tcW w:w="4013" w:type="dxa"/>
          </w:tcPr>
          <w:p>
            <w:pPr>
              <w:spacing w:line="360" w:lineRule="auto"/>
              <w:rPr>
                <w:rFonts w:ascii="宋体" w:hAnsi="宋体" w:cs="宋体"/>
                <w:szCs w:val="21"/>
              </w:rPr>
            </w:pPr>
            <w:r>
              <w:rPr>
                <w:rFonts w:ascii="宋体" w:hAnsi="宋体" w:cs="宋体" w:hint="eastAsia"/>
                <w:szCs w:val="21"/>
              </w:rPr>
              <w:t>单位：dB</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垂直通道天线增益</w:t>
            </w:r>
          </w:p>
        </w:tc>
        <w:tc>
          <w:tcPr>
            <w:tcW w:w="4013" w:type="dxa"/>
          </w:tcPr>
          <w:p>
            <w:pPr>
              <w:spacing w:line="360" w:lineRule="auto"/>
              <w:rPr>
                <w:rFonts w:ascii="宋体" w:hAnsi="宋体" w:cs="宋体"/>
                <w:szCs w:val="21"/>
              </w:rPr>
            </w:pPr>
            <w:r>
              <w:rPr>
                <w:rFonts w:ascii="宋体" w:hAnsi="宋体" w:cs="宋体" w:hint="eastAsia"/>
                <w:szCs w:val="21"/>
              </w:rPr>
              <w:t>单位：dB</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水平极化方位波束宽度</w:t>
            </w:r>
          </w:p>
        </w:tc>
        <w:tc>
          <w:tcPr>
            <w:tcW w:w="4013" w:type="dxa"/>
          </w:tcPr>
          <w:p>
            <w:pPr>
              <w:spacing w:line="360" w:lineRule="auto"/>
              <w:rPr>
                <w:rFonts w:ascii="宋体" w:hAnsi="宋体" w:cs="宋体"/>
                <w:szCs w:val="21"/>
              </w:rPr>
            </w:pPr>
            <w:r>
              <w:rPr>
                <w:rFonts w:ascii="宋体" w:hAnsi="宋体" w:cs="宋体" w:hint="eastAsia"/>
                <w:szCs w:val="21"/>
              </w:rPr>
              <w:t>单位：度</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水平极化俯仰波束宽度</w:t>
            </w:r>
          </w:p>
        </w:tc>
        <w:tc>
          <w:tcPr>
            <w:tcW w:w="4013" w:type="dxa"/>
          </w:tcPr>
          <w:p>
            <w:pPr>
              <w:spacing w:line="360" w:lineRule="auto"/>
              <w:rPr>
                <w:rFonts w:ascii="宋体" w:hAnsi="宋体" w:cs="宋体"/>
                <w:szCs w:val="21"/>
              </w:rPr>
            </w:pPr>
            <w:r>
              <w:rPr>
                <w:rFonts w:ascii="宋体" w:hAnsi="宋体" w:cs="宋体" w:hint="eastAsia"/>
                <w:szCs w:val="21"/>
              </w:rPr>
              <w:t>单位：度</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垂直极化方位波束宽度</w:t>
            </w:r>
          </w:p>
        </w:tc>
        <w:tc>
          <w:tcPr>
            <w:tcW w:w="4013" w:type="dxa"/>
          </w:tcPr>
          <w:p>
            <w:pPr>
              <w:spacing w:line="360" w:lineRule="auto"/>
              <w:rPr>
                <w:rFonts w:ascii="宋体" w:hAnsi="宋体" w:cs="宋体"/>
                <w:szCs w:val="21"/>
              </w:rPr>
            </w:pPr>
            <w:r>
              <w:rPr>
                <w:rFonts w:ascii="宋体" w:hAnsi="宋体" w:cs="宋体" w:hint="eastAsia"/>
                <w:szCs w:val="21"/>
              </w:rPr>
              <w:t>单位：度</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垂直极化俯仰波束宽度</w:t>
            </w:r>
          </w:p>
        </w:tc>
        <w:tc>
          <w:tcPr>
            <w:tcW w:w="4013" w:type="dxa"/>
          </w:tcPr>
          <w:p>
            <w:pPr>
              <w:spacing w:line="360" w:lineRule="auto"/>
              <w:rPr>
                <w:rFonts w:ascii="宋体" w:hAnsi="宋体" w:cs="宋体"/>
                <w:szCs w:val="21"/>
              </w:rPr>
            </w:pPr>
            <w:r>
              <w:rPr>
                <w:rFonts w:ascii="宋体" w:hAnsi="宋体" w:cs="宋体" w:hint="eastAsia"/>
                <w:szCs w:val="21"/>
              </w:rPr>
              <w:t>单位：度</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水平发射支路总损耗</w:t>
            </w:r>
          </w:p>
        </w:tc>
        <w:tc>
          <w:tcPr>
            <w:tcW w:w="4013" w:type="dxa"/>
          </w:tcPr>
          <w:p>
            <w:pPr>
              <w:spacing w:line="360" w:lineRule="auto"/>
              <w:rPr>
                <w:rFonts w:ascii="宋体" w:hAnsi="宋体" w:cs="宋体"/>
                <w:szCs w:val="21"/>
              </w:rPr>
            </w:pPr>
            <w:r>
              <w:rPr>
                <w:rFonts w:ascii="宋体" w:hAnsi="宋体" w:cs="宋体" w:hint="eastAsia"/>
                <w:szCs w:val="21"/>
              </w:rPr>
              <w:t>单位：dB</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垂直发射支路总损耗</w:t>
            </w:r>
          </w:p>
        </w:tc>
        <w:tc>
          <w:tcPr>
            <w:tcW w:w="4013" w:type="dxa"/>
          </w:tcPr>
          <w:p>
            <w:pPr>
              <w:spacing w:line="360" w:lineRule="auto"/>
              <w:rPr>
                <w:rFonts w:ascii="宋体" w:hAnsi="宋体" w:cs="宋体"/>
                <w:szCs w:val="21"/>
              </w:rPr>
            </w:pPr>
            <w:r>
              <w:rPr>
                <w:rFonts w:ascii="宋体" w:hAnsi="宋体" w:cs="宋体" w:hint="eastAsia"/>
                <w:szCs w:val="21"/>
              </w:rPr>
              <w:t>单位：dB</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水平接收支路总损耗</w:t>
            </w:r>
          </w:p>
        </w:tc>
        <w:tc>
          <w:tcPr>
            <w:tcW w:w="4013" w:type="dxa"/>
          </w:tcPr>
          <w:p>
            <w:pPr>
              <w:spacing w:line="360" w:lineRule="auto"/>
              <w:rPr>
                <w:rFonts w:ascii="宋体" w:hAnsi="宋体" w:cs="宋体"/>
                <w:szCs w:val="21"/>
              </w:rPr>
            </w:pPr>
            <w:r>
              <w:rPr>
                <w:rFonts w:ascii="宋体" w:hAnsi="宋体" w:cs="宋体" w:hint="eastAsia"/>
                <w:szCs w:val="21"/>
              </w:rPr>
              <w:t>单位：dB</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垂直接收支路总损耗</w:t>
            </w:r>
          </w:p>
        </w:tc>
        <w:tc>
          <w:tcPr>
            <w:tcW w:w="4013" w:type="dxa"/>
          </w:tcPr>
          <w:p>
            <w:pPr>
              <w:spacing w:line="360" w:lineRule="auto"/>
              <w:rPr>
                <w:rFonts w:ascii="宋体" w:hAnsi="宋体" w:cs="宋体"/>
                <w:szCs w:val="21"/>
              </w:rPr>
            </w:pPr>
            <w:r>
              <w:rPr>
                <w:rFonts w:ascii="宋体" w:hAnsi="宋体" w:cs="宋体" w:hint="eastAsia"/>
                <w:szCs w:val="21"/>
              </w:rPr>
              <w:t>单位：dB</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其他损耗</w:t>
            </w:r>
          </w:p>
        </w:tc>
        <w:tc>
          <w:tcPr>
            <w:tcW w:w="4013" w:type="dxa"/>
          </w:tcPr>
          <w:p>
            <w:pPr>
              <w:spacing w:line="360" w:lineRule="auto"/>
              <w:rPr>
                <w:rFonts w:ascii="宋体" w:hAnsi="宋体" w:cs="宋体"/>
                <w:szCs w:val="21"/>
              </w:rPr>
            </w:pPr>
            <w:r>
              <w:rPr>
                <w:rFonts w:ascii="宋体" w:hAnsi="宋体" w:cs="宋体" w:hint="eastAsia"/>
                <w:szCs w:val="21"/>
              </w:rPr>
              <w:t>单位：dB</w:t>
            </w:r>
          </w:p>
        </w:tc>
      </w:tr>
      <w:tr>
        <w:tblPrEx>
          <w:tblW w:w="8511" w:type="dxa"/>
          <w:jc w:val="center"/>
          <w:tblLayout w:type="fixed"/>
          <w:tblCellMar>
            <w:top w:w="0" w:type="dxa"/>
            <w:left w:w="108" w:type="dxa"/>
            <w:bottom w:w="0" w:type="dxa"/>
            <w:right w:w="108" w:type="dxa"/>
          </w:tblCellMar>
        </w:tblPrEx>
        <w:trPr>
          <w:trHeight w:val="284"/>
          <w:jc w:val="center"/>
        </w:trPr>
        <w:tc>
          <w:tcPr>
            <w:tcW w:w="8511" w:type="dxa"/>
            <w:gridSpan w:val="3"/>
          </w:tcPr>
          <w:p>
            <w:pPr>
              <w:spacing w:line="360" w:lineRule="auto"/>
              <w:rPr>
                <w:rFonts w:ascii="宋体" w:hAnsi="宋体" w:cs="宋体"/>
                <w:szCs w:val="21"/>
              </w:rPr>
            </w:pPr>
            <w:r>
              <w:rPr>
                <w:rFonts w:ascii="宋体" w:hAnsi="宋体" w:cs="宋体" w:hint="eastAsia"/>
                <w:szCs w:val="21"/>
              </w:rPr>
              <w:t>云雷达运行模式参数</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时间</w:t>
            </w:r>
          </w:p>
        </w:tc>
        <w:tc>
          <w:tcPr>
            <w:tcW w:w="4013" w:type="dxa"/>
          </w:tcPr>
          <w:p>
            <w:pPr>
              <w:spacing w:line="360" w:lineRule="auto"/>
              <w:rPr>
                <w:rFonts w:ascii="宋体" w:hAnsi="宋体" w:cs="宋体"/>
                <w:szCs w:val="21"/>
              </w:rPr>
            </w:pPr>
            <w:r>
              <w:rPr>
                <w:rFonts w:ascii="宋体" w:hAnsi="宋体" w:cs="宋体" w:hint="eastAsia"/>
                <w:szCs w:val="21"/>
              </w:rPr>
              <w:t>单位：秒</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扫描模式</w:t>
            </w:r>
          </w:p>
        </w:tc>
        <w:tc>
          <w:tcPr>
            <w:tcW w:w="4013" w:type="dxa"/>
            <w:noWrap/>
          </w:tcPr>
          <w:p>
            <w:pPr>
              <w:spacing w:line="360" w:lineRule="auto"/>
              <w:rPr>
                <w:rFonts w:ascii="宋体" w:hAnsi="宋体" w:cs="宋体"/>
                <w:szCs w:val="21"/>
              </w:rPr>
            </w:pPr>
            <w:r>
              <w:rPr>
                <w:rFonts w:ascii="宋体" w:hAnsi="宋体" w:cs="宋体" w:hint="eastAsia"/>
                <w:szCs w:val="21"/>
              </w:rPr>
              <w:t>扫描模式名称</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系统状态</w:t>
            </w:r>
          </w:p>
        </w:tc>
        <w:tc>
          <w:tcPr>
            <w:tcW w:w="4013" w:type="dxa"/>
            <w:noWrap/>
          </w:tcPr>
          <w:p>
            <w:pPr>
              <w:spacing w:line="360" w:lineRule="auto"/>
              <w:rPr>
                <w:rFonts w:ascii="宋体" w:hAnsi="宋体" w:cs="宋体"/>
                <w:szCs w:val="21"/>
              </w:rPr>
            </w:pPr>
            <w:r>
              <w:rPr>
                <w:rFonts w:ascii="宋体" w:hAnsi="宋体" w:cs="宋体" w:hint="eastAsia"/>
                <w:szCs w:val="21"/>
              </w:rPr>
              <w:t>正常、可用、需维护、故障、关机</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当前扫描收发模式</w:t>
            </w:r>
          </w:p>
        </w:tc>
        <w:tc>
          <w:tcPr>
            <w:tcW w:w="4013" w:type="dxa"/>
            <w:noWrap/>
          </w:tcPr>
          <w:p>
            <w:pPr>
              <w:spacing w:line="360" w:lineRule="auto"/>
              <w:rPr>
                <w:rFonts w:ascii="宋体" w:hAnsi="宋体" w:cs="宋体"/>
                <w:szCs w:val="21"/>
              </w:rPr>
            </w:pPr>
            <w:r>
              <w:rPr>
                <w:rFonts w:ascii="宋体" w:hAnsi="宋体" w:cs="宋体" w:hint="eastAsia"/>
                <w:szCs w:val="21"/>
              </w:rPr>
              <w:t>单发单收、单发双收、双发双收</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当前扫描PRF</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单位：Hz</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当前扫描发射机脉宽</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单位：us</w:t>
            </w:r>
          </w:p>
        </w:tc>
      </w:tr>
      <w:tr>
        <w:tblPrEx>
          <w:tblW w:w="8511" w:type="dxa"/>
          <w:jc w:val="center"/>
          <w:tblLayout w:type="fixed"/>
          <w:tblCellMar>
            <w:top w:w="0" w:type="dxa"/>
            <w:left w:w="108" w:type="dxa"/>
            <w:bottom w:w="0" w:type="dxa"/>
            <w:right w:w="108" w:type="dxa"/>
          </w:tblCellMar>
        </w:tblPrEx>
        <w:trPr>
          <w:trHeight w:val="284"/>
          <w:jc w:val="center"/>
        </w:trPr>
        <w:tc>
          <w:tcPr>
            <w:tcW w:w="8511" w:type="dxa"/>
            <w:gridSpan w:val="3"/>
          </w:tcPr>
          <w:p>
            <w:pPr>
              <w:spacing w:line="360" w:lineRule="auto"/>
              <w:rPr>
                <w:rFonts w:ascii="宋体" w:hAnsi="宋体" w:cs="宋体"/>
                <w:szCs w:val="21"/>
              </w:rPr>
            </w:pPr>
            <w:r>
              <w:rPr>
                <w:rFonts w:ascii="宋体" w:hAnsi="宋体" w:cs="宋体" w:hint="eastAsia"/>
                <w:szCs w:val="21"/>
              </w:rPr>
              <w:t>云雷达运行环境参数</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收发箱温度</w:t>
            </w:r>
          </w:p>
        </w:tc>
        <w:tc>
          <w:tcPr>
            <w:tcW w:w="4013" w:type="dxa"/>
            <w:noWrap/>
          </w:tcPr>
          <w:p>
            <w:pPr>
              <w:spacing w:line="360" w:lineRule="auto"/>
              <w:rPr>
                <w:rFonts w:ascii="宋体" w:hAnsi="宋体" w:cs="宋体"/>
                <w:szCs w:val="21"/>
              </w:rPr>
            </w:pPr>
            <w:r>
              <w:rPr>
                <w:rFonts w:ascii="宋体" w:hAnsi="宋体" w:cs="宋体" w:hint="eastAsia"/>
                <w:szCs w:val="21"/>
              </w:rPr>
              <w:t>单位：℃</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发射机温度</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水平通道接收机温度</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垂直通道接收机温度</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w:t>
            </w:r>
          </w:p>
        </w:tc>
      </w:tr>
      <w:tr>
        <w:tblPrEx>
          <w:tblW w:w="8511" w:type="dxa"/>
          <w:jc w:val="center"/>
          <w:tblLayout w:type="fixed"/>
          <w:tblCellMar>
            <w:top w:w="0" w:type="dxa"/>
            <w:left w:w="108" w:type="dxa"/>
            <w:bottom w:w="0" w:type="dxa"/>
            <w:right w:w="108" w:type="dxa"/>
          </w:tblCellMar>
        </w:tblPrEx>
        <w:trPr>
          <w:trHeight w:val="284"/>
          <w:jc w:val="center"/>
        </w:trPr>
        <w:tc>
          <w:tcPr>
            <w:tcW w:w="8511" w:type="dxa"/>
            <w:gridSpan w:val="3"/>
          </w:tcPr>
          <w:p>
            <w:pPr>
              <w:spacing w:line="360" w:lineRule="auto"/>
              <w:rPr>
                <w:rFonts w:ascii="宋体" w:hAnsi="宋体" w:cs="宋体"/>
                <w:szCs w:val="21"/>
              </w:rPr>
            </w:pPr>
            <w:r>
              <w:rPr>
                <w:rFonts w:ascii="宋体" w:hAnsi="宋体" w:cs="宋体" w:hint="eastAsia"/>
                <w:szCs w:val="21"/>
              </w:rPr>
              <w:t>云雷达在线定时标定参数</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TD标定期望值</w:t>
            </w:r>
          </w:p>
        </w:tc>
        <w:tc>
          <w:tcPr>
            <w:tcW w:w="4013" w:type="dxa"/>
            <w:noWrap/>
          </w:tcPr>
          <w:p>
            <w:pPr>
              <w:spacing w:line="360" w:lineRule="auto"/>
              <w:rPr>
                <w:rFonts w:ascii="宋体" w:hAnsi="宋体" w:cs="宋体"/>
                <w:szCs w:val="21"/>
              </w:rPr>
            </w:pPr>
            <w:r>
              <w:rPr>
                <w:rFonts w:ascii="宋体" w:hAnsi="宋体" w:cs="宋体" w:hint="eastAsia"/>
                <w:szCs w:val="21"/>
              </w:rPr>
              <w:t>单位：dB 发射机延迟信号测试</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TD标定测量值</w:t>
            </w:r>
          </w:p>
        </w:tc>
        <w:tc>
          <w:tcPr>
            <w:tcW w:w="4013" w:type="dxa"/>
            <w:noWrap/>
          </w:tcPr>
          <w:p>
            <w:pPr>
              <w:spacing w:line="360" w:lineRule="auto"/>
              <w:rPr>
                <w:rFonts w:ascii="宋体" w:hAnsi="宋体" w:cs="宋体"/>
                <w:szCs w:val="21"/>
              </w:rPr>
            </w:pPr>
            <w:r>
              <w:rPr>
                <w:rFonts w:ascii="宋体" w:hAnsi="宋体" w:cs="宋体" w:hint="eastAsia"/>
                <w:szCs w:val="21"/>
              </w:rPr>
              <w:t>单位：dB 发射机延迟信号测试</w:t>
            </w:r>
          </w:p>
        </w:tc>
      </w:tr>
      <w:tr>
        <w:tblPrEx>
          <w:tblW w:w="8511" w:type="dxa"/>
          <w:jc w:val="center"/>
          <w:tblLayout w:type="fixed"/>
          <w:tblCellMar>
            <w:top w:w="0" w:type="dxa"/>
            <w:left w:w="108" w:type="dxa"/>
            <w:bottom w:w="0" w:type="dxa"/>
            <w:right w:w="108" w:type="dxa"/>
          </w:tblCellMar>
        </w:tblPrEx>
        <w:trPr>
          <w:trHeight w:val="279"/>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水平通道相位噪声</w:t>
            </w:r>
          </w:p>
        </w:tc>
        <w:tc>
          <w:tcPr>
            <w:tcW w:w="4013" w:type="dxa"/>
            <w:noWrap/>
          </w:tcPr>
          <w:p>
            <w:pPr>
              <w:spacing w:line="360" w:lineRule="auto"/>
              <w:rPr>
                <w:rFonts w:ascii="宋体" w:hAnsi="宋体" w:cs="宋体"/>
                <w:szCs w:val="21"/>
              </w:rPr>
            </w:pPr>
            <w:r>
              <w:rPr>
                <w:rFonts w:ascii="宋体" w:hAnsi="宋体" w:cs="宋体" w:hint="eastAsia"/>
                <w:szCs w:val="21"/>
              </w:rPr>
              <w:t>单位：度 杂波抑制测试</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垂直通道相位噪声</w:t>
            </w:r>
          </w:p>
        </w:tc>
        <w:tc>
          <w:tcPr>
            <w:tcW w:w="4013" w:type="dxa"/>
            <w:noWrap/>
          </w:tcPr>
          <w:p>
            <w:pPr>
              <w:spacing w:line="360" w:lineRule="auto"/>
              <w:rPr>
                <w:rFonts w:ascii="宋体" w:hAnsi="宋体" w:cs="宋体"/>
                <w:szCs w:val="21"/>
              </w:rPr>
            </w:pPr>
            <w:r>
              <w:rPr>
                <w:rFonts w:ascii="宋体" w:hAnsi="宋体" w:cs="宋体" w:hint="eastAsia"/>
                <w:szCs w:val="21"/>
              </w:rPr>
              <w:t>双偏振预留，单位：度 杂波抑制测试</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水平通道滤波前功率</w:t>
            </w:r>
          </w:p>
        </w:tc>
        <w:tc>
          <w:tcPr>
            <w:tcW w:w="4013" w:type="dxa"/>
            <w:noWrap/>
          </w:tcPr>
          <w:p>
            <w:pPr>
              <w:spacing w:line="360" w:lineRule="auto"/>
              <w:rPr>
                <w:rFonts w:ascii="宋体" w:hAnsi="宋体" w:cs="宋体"/>
                <w:szCs w:val="21"/>
              </w:rPr>
            </w:pPr>
            <w:r>
              <w:rPr>
                <w:rFonts w:ascii="宋体" w:hAnsi="宋体" w:cs="宋体" w:hint="eastAsia"/>
                <w:szCs w:val="21"/>
              </w:rPr>
              <w:t>单位：dB  杂波抑制测试</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水平通道滤波后功率</w:t>
            </w:r>
          </w:p>
        </w:tc>
        <w:tc>
          <w:tcPr>
            <w:tcW w:w="4013" w:type="dxa"/>
            <w:noWrap/>
          </w:tcPr>
          <w:p>
            <w:pPr>
              <w:spacing w:line="360" w:lineRule="auto"/>
              <w:rPr>
                <w:rFonts w:ascii="宋体" w:hAnsi="宋体" w:cs="宋体"/>
                <w:szCs w:val="21"/>
              </w:rPr>
            </w:pPr>
            <w:r>
              <w:rPr>
                <w:rFonts w:ascii="宋体" w:hAnsi="宋体" w:cs="宋体" w:hint="eastAsia"/>
                <w:szCs w:val="21"/>
              </w:rPr>
              <w:t>单位：dB  杂波抑制测试</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垂直通道滤波前功率</w:t>
            </w:r>
          </w:p>
        </w:tc>
        <w:tc>
          <w:tcPr>
            <w:tcW w:w="4013" w:type="dxa"/>
            <w:noWrap/>
          </w:tcPr>
          <w:p>
            <w:pPr>
              <w:spacing w:line="360" w:lineRule="auto"/>
              <w:rPr>
                <w:rFonts w:ascii="宋体" w:hAnsi="宋体" w:cs="宋体"/>
                <w:szCs w:val="21"/>
              </w:rPr>
            </w:pPr>
            <w:r>
              <w:rPr>
                <w:rFonts w:ascii="宋体" w:hAnsi="宋体" w:cs="宋体" w:hint="eastAsia"/>
                <w:szCs w:val="21"/>
              </w:rPr>
              <w:t>双偏振预留，单位：dB 杂波抑制测试</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tcPr>
          <w:p>
            <w:pPr>
              <w:spacing w:line="360" w:lineRule="auto"/>
              <w:rPr>
                <w:rFonts w:ascii="宋体" w:hAnsi="宋体" w:cs="宋体"/>
                <w:szCs w:val="21"/>
              </w:rPr>
            </w:pPr>
            <w:r>
              <w:rPr>
                <w:rFonts w:ascii="宋体" w:hAnsi="宋体" w:cs="宋体" w:hint="eastAsia"/>
                <w:szCs w:val="21"/>
              </w:rPr>
              <w:t>垂直通道滤波后功率</w:t>
            </w:r>
          </w:p>
        </w:tc>
        <w:tc>
          <w:tcPr>
            <w:tcW w:w="4013" w:type="dxa"/>
            <w:noWrap/>
          </w:tcPr>
          <w:p>
            <w:pPr>
              <w:spacing w:line="360" w:lineRule="auto"/>
              <w:rPr>
                <w:rFonts w:ascii="宋体" w:hAnsi="宋体" w:cs="宋体"/>
                <w:szCs w:val="21"/>
              </w:rPr>
            </w:pPr>
            <w:r>
              <w:rPr>
                <w:rFonts w:ascii="宋体" w:hAnsi="宋体" w:cs="宋体" w:hint="eastAsia"/>
                <w:szCs w:val="21"/>
              </w:rPr>
              <w:t>双偏振预留，单位：dB 杂波抑制测试</w:t>
            </w:r>
          </w:p>
        </w:tc>
      </w:tr>
      <w:tr>
        <w:tblPrEx>
          <w:tblW w:w="8511" w:type="dxa"/>
          <w:jc w:val="center"/>
          <w:tblLayout w:type="fixed"/>
          <w:tblCellMar>
            <w:top w:w="0" w:type="dxa"/>
            <w:left w:w="108" w:type="dxa"/>
            <w:bottom w:w="0" w:type="dxa"/>
            <w:right w:w="108" w:type="dxa"/>
          </w:tblCellMar>
        </w:tblPrEx>
        <w:trPr>
          <w:trHeight w:val="284"/>
          <w:jc w:val="center"/>
        </w:trPr>
        <w:tc>
          <w:tcPr>
            <w:tcW w:w="8511" w:type="dxa"/>
            <w:gridSpan w:val="3"/>
          </w:tcPr>
          <w:p>
            <w:pPr>
              <w:spacing w:line="360" w:lineRule="auto"/>
              <w:rPr>
                <w:rFonts w:ascii="宋体" w:hAnsi="宋体" w:cs="宋体"/>
                <w:szCs w:val="21"/>
              </w:rPr>
            </w:pPr>
            <w:r>
              <w:rPr>
                <w:rFonts w:ascii="宋体" w:hAnsi="宋体" w:cs="宋体" w:hint="eastAsia"/>
                <w:szCs w:val="21"/>
              </w:rPr>
              <w:t>云雷达在线实时标定参数</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水平通道发射机峰值功率</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单位：W</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水平通道发射机平均功率</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单位：W</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垂直通道发射机峰值功率</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单位：W</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垂直通道发射机平均功率</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单位：W</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水平通道噪声系数</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单位：K/dB</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垂直通道噪声系数</w:t>
            </w:r>
          </w:p>
        </w:tc>
        <w:tc>
          <w:tcPr>
            <w:tcW w:w="4013" w:type="dxa"/>
            <w:noWrap/>
            <w:vAlign w:val="center"/>
          </w:tcPr>
          <w:p>
            <w:pPr>
              <w:spacing w:line="360" w:lineRule="auto"/>
              <w:rPr>
                <w:rFonts w:ascii="宋体" w:hAnsi="宋体" w:cs="宋体"/>
                <w:szCs w:val="21"/>
              </w:rPr>
            </w:pPr>
            <w:r>
              <w:rPr>
                <w:rFonts w:ascii="宋体" w:hAnsi="宋体" w:cs="宋体" w:hint="eastAsia"/>
                <w:szCs w:val="21"/>
              </w:rPr>
              <w:t>双偏振预留, 单位：K/dB</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水平通道速度期望值</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单位：m/s 连续波标定</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水平通道速度测量值</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单位：m/s连续波标定</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垂直通道速度期望值</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单位：m/s 连续波标定</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垂直通道速度测量值</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单位：m/s连续波标定</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水平通道谱宽期望值</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单位：m/s连续波标定</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水平通道谱宽测量值</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单位：m/s连续波标定</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垂直通道谱宽期望值</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单位：m/s 连续波标定</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垂直通道谱宽测量值</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单位：m/s 连续波标定</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ZDR标定值</w:t>
            </w:r>
          </w:p>
        </w:tc>
        <w:tc>
          <w:tcPr>
            <w:tcW w:w="4013" w:type="dxa"/>
            <w:noWrap/>
            <w:vAlign w:val="center"/>
          </w:tcPr>
          <w:p>
            <w:pPr>
              <w:spacing w:line="360" w:lineRule="auto"/>
              <w:rPr>
                <w:rFonts w:ascii="宋体" w:hAnsi="宋体" w:cs="宋体"/>
                <w:szCs w:val="21"/>
              </w:rPr>
            </w:pPr>
            <w:r>
              <w:rPr>
                <w:rFonts w:ascii="宋体" w:hAnsi="宋体" w:cs="宋体" w:hint="eastAsia"/>
                <w:szCs w:val="21"/>
              </w:rPr>
              <w:t>双偏振预留，单位：dB 差分反射率标定值</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ΦDP标定值</w:t>
            </w:r>
          </w:p>
        </w:tc>
        <w:tc>
          <w:tcPr>
            <w:tcW w:w="4013" w:type="dxa"/>
            <w:noWrap/>
            <w:vAlign w:val="center"/>
          </w:tcPr>
          <w:p>
            <w:pPr>
              <w:spacing w:line="360" w:lineRule="auto"/>
              <w:rPr>
                <w:rFonts w:ascii="宋体" w:hAnsi="宋体" w:cs="宋体"/>
                <w:szCs w:val="21"/>
              </w:rPr>
            </w:pPr>
            <w:r>
              <w:rPr>
                <w:rFonts w:ascii="宋体" w:hAnsi="宋体" w:cs="宋体" w:hint="eastAsia"/>
                <w:szCs w:val="21"/>
              </w:rPr>
              <w:t>双偏振预留，单位：度 差分相位标定值</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水平通道不同脉宽噪声电平</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单位：dB</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垂直通道不同脉宽噪声电平</w:t>
            </w:r>
          </w:p>
        </w:tc>
        <w:tc>
          <w:tcPr>
            <w:tcW w:w="4013" w:type="dxa"/>
            <w:noWrap/>
            <w:vAlign w:val="center"/>
          </w:tcPr>
          <w:p>
            <w:pPr>
              <w:spacing w:line="360" w:lineRule="auto"/>
              <w:rPr>
                <w:rFonts w:ascii="宋体" w:hAnsi="宋体" w:cs="宋体"/>
                <w:szCs w:val="21"/>
              </w:rPr>
            </w:pPr>
            <w:r>
              <w:rPr>
                <w:rFonts w:ascii="宋体" w:hAnsi="宋体" w:cs="宋体" w:hint="eastAsia"/>
                <w:szCs w:val="21"/>
              </w:rPr>
              <w:t>双偏振预留，单位：dB</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水平通道不同脉冲反射率期望值</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单位：dBZ</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水平通道不同脉冲反射率测量值</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单位：dBZ</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垂直通道不同脉冲反射率期望值</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单位：dBZ</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垂直通道不同脉冲反射率测量值</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单位：dBZ</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水平通道不同脉冲宽度系统标定常数期望值</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单位：dB</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水平通道不同脉冲宽度系统标定常数测量值</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单位：dB</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垂直通道不同脉冲宽度系统标定常数期望值</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单位：dB</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垂直通道不同脉冲宽度系统标定常数测量值</w:t>
            </w:r>
          </w:p>
        </w:tc>
        <w:tc>
          <w:tcPr>
            <w:tcW w:w="4013" w:type="dxa"/>
            <w:noWrap/>
            <w:vAlign w:val="center"/>
          </w:tcPr>
          <w:p>
            <w:pPr>
              <w:spacing w:line="360" w:lineRule="auto"/>
              <w:rPr>
                <w:rFonts w:ascii="宋体" w:hAnsi="宋体" w:cs="宋体"/>
                <w:szCs w:val="21"/>
              </w:rPr>
            </w:pPr>
            <w:r>
              <w:rPr>
                <w:rFonts w:ascii="宋体" w:hAnsi="宋体" w:cs="宋体" w:hint="eastAsia"/>
                <w:szCs w:val="21"/>
              </w:rPr>
              <w:t>单位：dB</w:t>
            </w:r>
          </w:p>
        </w:tc>
      </w:tr>
      <w:tr>
        <w:tblPrEx>
          <w:tblW w:w="8511" w:type="dxa"/>
          <w:jc w:val="center"/>
          <w:tblLayout w:type="fixed"/>
          <w:tblCellMar>
            <w:top w:w="0" w:type="dxa"/>
            <w:left w:w="108" w:type="dxa"/>
            <w:bottom w:w="0" w:type="dxa"/>
            <w:right w:w="108" w:type="dxa"/>
          </w:tblCellMar>
        </w:tblPrEx>
        <w:trPr>
          <w:trHeight w:val="284"/>
          <w:jc w:val="center"/>
        </w:trPr>
        <w:tc>
          <w:tcPr>
            <w:tcW w:w="8511" w:type="dxa"/>
            <w:gridSpan w:val="3"/>
          </w:tcPr>
          <w:p>
            <w:pPr>
              <w:spacing w:line="360" w:lineRule="auto"/>
              <w:rPr>
                <w:rFonts w:ascii="宋体" w:hAnsi="宋体" w:cs="宋体"/>
                <w:szCs w:val="21"/>
              </w:rPr>
            </w:pPr>
            <w:r>
              <w:rPr>
                <w:rFonts w:ascii="宋体" w:hAnsi="宋体" w:cs="宋体" w:hint="eastAsia"/>
                <w:szCs w:val="21"/>
              </w:rPr>
              <w:t>云雷达在线实时状态与预警参数</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数字中频通信状态</w:t>
            </w:r>
          </w:p>
        </w:tc>
        <w:tc>
          <w:tcPr>
            <w:tcW w:w="4013" w:type="dxa"/>
            <w:noWrap/>
            <w:vAlign w:val="center"/>
          </w:tcPr>
          <w:p>
            <w:pPr>
              <w:spacing w:line="360" w:lineRule="auto"/>
              <w:rPr>
                <w:rFonts w:ascii="宋体" w:hAnsi="宋体" w:cs="宋体"/>
                <w:szCs w:val="21"/>
              </w:rPr>
            </w:pPr>
            <w:r>
              <w:rPr>
                <w:rFonts w:ascii="宋体" w:hAnsi="宋体" w:cs="宋体" w:hint="eastAsia"/>
                <w:szCs w:val="21"/>
              </w:rPr>
              <w:t>连接正常、连接断开</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雷达维护开关状态</w:t>
            </w:r>
          </w:p>
        </w:tc>
        <w:tc>
          <w:tcPr>
            <w:tcW w:w="4013" w:type="dxa"/>
            <w:noWrap/>
            <w:vAlign w:val="center"/>
          </w:tcPr>
          <w:p>
            <w:pPr>
              <w:spacing w:line="360" w:lineRule="auto"/>
              <w:rPr>
                <w:rFonts w:ascii="宋体" w:hAnsi="宋体" w:cs="宋体"/>
                <w:szCs w:val="21"/>
              </w:rPr>
            </w:pPr>
            <w:r>
              <w:rPr>
                <w:rFonts w:ascii="宋体" w:hAnsi="宋体" w:cs="宋体" w:hint="eastAsia"/>
                <w:szCs w:val="21"/>
              </w:rPr>
              <w:t>维护、正常</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俯仰上限位预警</w:t>
            </w:r>
          </w:p>
        </w:tc>
        <w:tc>
          <w:tcPr>
            <w:tcW w:w="4013" w:type="dxa"/>
            <w:noWrap/>
            <w:vAlign w:val="center"/>
          </w:tcPr>
          <w:p>
            <w:pPr>
              <w:spacing w:line="360" w:lineRule="auto"/>
              <w:rPr>
                <w:rFonts w:ascii="宋体" w:hAnsi="宋体" w:cs="宋体"/>
                <w:szCs w:val="21"/>
              </w:rPr>
            </w:pPr>
            <w:r>
              <w:rPr>
                <w:rFonts w:ascii="宋体" w:hAnsi="宋体" w:cs="宋体" w:hint="eastAsia"/>
                <w:szCs w:val="21"/>
              </w:rPr>
              <w:t>告警、不告警</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俯仰下限位预警</w:t>
            </w:r>
          </w:p>
        </w:tc>
        <w:tc>
          <w:tcPr>
            <w:tcW w:w="4013" w:type="dxa"/>
            <w:noWrap/>
            <w:vAlign w:val="center"/>
          </w:tcPr>
          <w:p>
            <w:pPr>
              <w:spacing w:line="360" w:lineRule="auto"/>
              <w:rPr>
                <w:rFonts w:ascii="宋体" w:hAnsi="宋体" w:cs="宋体"/>
                <w:szCs w:val="21"/>
              </w:rPr>
            </w:pPr>
            <w:r>
              <w:rPr>
                <w:rFonts w:ascii="宋体" w:hAnsi="宋体" w:cs="宋体" w:hint="eastAsia"/>
                <w:szCs w:val="21"/>
              </w:rPr>
              <w:t>告警、不告警</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方位电机预警</w:t>
            </w:r>
          </w:p>
        </w:tc>
        <w:tc>
          <w:tcPr>
            <w:tcW w:w="4013" w:type="dxa"/>
            <w:noWrap/>
            <w:vAlign w:val="center"/>
          </w:tcPr>
          <w:p>
            <w:pPr>
              <w:spacing w:line="360" w:lineRule="auto"/>
              <w:rPr>
                <w:rFonts w:ascii="宋体" w:hAnsi="宋体" w:cs="宋体"/>
                <w:szCs w:val="21"/>
              </w:rPr>
            </w:pPr>
            <w:r>
              <w:rPr>
                <w:rFonts w:ascii="宋体" w:hAnsi="宋体" w:cs="宋体" w:hint="eastAsia"/>
                <w:szCs w:val="21"/>
              </w:rPr>
              <w:t>告警、不告警</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俯仰电机预警</w:t>
            </w:r>
          </w:p>
        </w:tc>
        <w:tc>
          <w:tcPr>
            <w:tcW w:w="4013" w:type="dxa"/>
            <w:noWrap/>
            <w:vAlign w:val="center"/>
          </w:tcPr>
          <w:p>
            <w:pPr>
              <w:spacing w:line="360" w:lineRule="auto"/>
              <w:rPr>
                <w:rFonts w:ascii="宋体" w:hAnsi="宋体" w:cs="宋体"/>
                <w:szCs w:val="21"/>
              </w:rPr>
            </w:pPr>
            <w:r>
              <w:rPr>
                <w:rFonts w:ascii="宋体" w:hAnsi="宋体" w:cs="宋体" w:hint="eastAsia"/>
                <w:szCs w:val="21"/>
              </w:rPr>
              <w:t>告警、不告警</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功放状态预警</w:t>
            </w:r>
          </w:p>
        </w:tc>
        <w:tc>
          <w:tcPr>
            <w:tcW w:w="4013" w:type="dxa"/>
            <w:noWrap/>
            <w:vAlign w:val="center"/>
          </w:tcPr>
          <w:p>
            <w:pPr>
              <w:spacing w:line="360" w:lineRule="auto"/>
              <w:rPr>
                <w:rFonts w:ascii="宋体" w:hAnsi="宋体" w:cs="宋体"/>
                <w:szCs w:val="21"/>
              </w:rPr>
            </w:pPr>
            <w:r>
              <w:rPr>
                <w:rFonts w:ascii="宋体" w:hAnsi="宋体" w:cs="宋体" w:hint="eastAsia"/>
                <w:szCs w:val="21"/>
              </w:rPr>
              <w:t>告警、不告警</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功放过温预警</w:t>
            </w:r>
          </w:p>
        </w:tc>
        <w:tc>
          <w:tcPr>
            <w:tcW w:w="4013" w:type="dxa"/>
            <w:noWrap/>
            <w:vAlign w:val="center"/>
          </w:tcPr>
          <w:p>
            <w:pPr>
              <w:spacing w:line="360" w:lineRule="auto"/>
              <w:rPr>
                <w:rFonts w:ascii="宋体" w:hAnsi="宋体" w:cs="宋体"/>
                <w:szCs w:val="21"/>
              </w:rPr>
            </w:pPr>
            <w:r>
              <w:rPr>
                <w:rFonts w:ascii="宋体" w:hAnsi="宋体" w:cs="宋体" w:hint="eastAsia"/>
                <w:szCs w:val="21"/>
              </w:rPr>
              <w:t>告警、不告警</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功放过占空比预警</w:t>
            </w:r>
          </w:p>
        </w:tc>
        <w:tc>
          <w:tcPr>
            <w:tcW w:w="4013" w:type="dxa"/>
            <w:noWrap/>
            <w:vAlign w:val="center"/>
          </w:tcPr>
          <w:p>
            <w:pPr>
              <w:spacing w:line="360" w:lineRule="auto"/>
              <w:rPr>
                <w:rFonts w:ascii="宋体" w:hAnsi="宋体" w:cs="宋体"/>
                <w:szCs w:val="21"/>
              </w:rPr>
            </w:pPr>
            <w:r>
              <w:rPr>
                <w:rFonts w:ascii="宋体" w:hAnsi="宋体" w:cs="宋体" w:hint="eastAsia"/>
                <w:szCs w:val="21"/>
              </w:rPr>
              <w:t>告警、不告警</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频综采样时钟预警</w:t>
            </w:r>
          </w:p>
        </w:tc>
        <w:tc>
          <w:tcPr>
            <w:tcW w:w="4013" w:type="dxa"/>
            <w:noWrap/>
            <w:vAlign w:val="center"/>
          </w:tcPr>
          <w:p>
            <w:pPr>
              <w:spacing w:line="360" w:lineRule="auto"/>
              <w:rPr>
                <w:rFonts w:ascii="宋体" w:hAnsi="宋体" w:cs="宋体"/>
                <w:szCs w:val="21"/>
              </w:rPr>
            </w:pPr>
            <w:r>
              <w:rPr>
                <w:rFonts w:ascii="宋体" w:hAnsi="宋体" w:cs="宋体" w:hint="eastAsia"/>
                <w:szCs w:val="21"/>
              </w:rPr>
              <w:t>告警、不告警</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第一本振预警</w:t>
            </w:r>
          </w:p>
        </w:tc>
        <w:tc>
          <w:tcPr>
            <w:tcW w:w="4013" w:type="dxa"/>
            <w:noWrap/>
            <w:vAlign w:val="center"/>
          </w:tcPr>
          <w:p>
            <w:pPr>
              <w:spacing w:line="360" w:lineRule="auto"/>
              <w:rPr>
                <w:rFonts w:ascii="宋体" w:hAnsi="宋体" w:cs="宋体"/>
                <w:szCs w:val="21"/>
              </w:rPr>
            </w:pPr>
            <w:r>
              <w:rPr>
                <w:rFonts w:ascii="宋体" w:hAnsi="宋体" w:cs="宋体" w:hint="eastAsia"/>
                <w:szCs w:val="21"/>
              </w:rPr>
              <w:t>告警、不告警</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第二本振预警</w:t>
            </w:r>
          </w:p>
        </w:tc>
        <w:tc>
          <w:tcPr>
            <w:tcW w:w="4013" w:type="dxa"/>
            <w:noWrap/>
            <w:vAlign w:val="center"/>
          </w:tcPr>
          <w:p>
            <w:pPr>
              <w:spacing w:line="360" w:lineRule="auto"/>
              <w:rPr>
                <w:rFonts w:ascii="宋体" w:hAnsi="宋体" w:cs="宋体"/>
                <w:szCs w:val="21"/>
              </w:rPr>
            </w:pPr>
            <w:r>
              <w:rPr>
                <w:rFonts w:ascii="宋体" w:hAnsi="宋体" w:cs="宋体" w:hint="eastAsia"/>
                <w:szCs w:val="21"/>
              </w:rPr>
              <w:t>告警、不告警</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发射机激励预警</w:t>
            </w:r>
          </w:p>
        </w:tc>
        <w:tc>
          <w:tcPr>
            <w:tcW w:w="4013" w:type="dxa"/>
            <w:noWrap/>
            <w:vAlign w:val="center"/>
          </w:tcPr>
          <w:p>
            <w:pPr>
              <w:spacing w:line="360" w:lineRule="auto"/>
              <w:rPr>
                <w:rFonts w:ascii="宋体" w:hAnsi="宋体" w:cs="宋体"/>
                <w:szCs w:val="21"/>
              </w:rPr>
            </w:pPr>
            <w:r>
              <w:rPr>
                <w:rFonts w:ascii="宋体" w:hAnsi="宋体" w:cs="宋体" w:hint="eastAsia"/>
                <w:szCs w:val="21"/>
              </w:rPr>
              <w:t>告警、不告警</w:t>
            </w:r>
          </w:p>
        </w:tc>
      </w:tr>
      <w:tr>
        <w:tblPrEx>
          <w:tblW w:w="8511" w:type="dxa"/>
          <w:jc w:val="center"/>
          <w:tblLayout w:type="fixed"/>
          <w:tblCellMar>
            <w:top w:w="0" w:type="dxa"/>
            <w:left w:w="108" w:type="dxa"/>
            <w:bottom w:w="0" w:type="dxa"/>
            <w:right w:w="108" w:type="dxa"/>
          </w:tblCellMar>
        </w:tblPrEx>
        <w:trPr>
          <w:trHeight w:val="284"/>
          <w:jc w:val="center"/>
        </w:trPr>
        <w:tc>
          <w:tcPr>
            <w:tcW w:w="812" w:type="dxa"/>
          </w:tcPr>
          <w:p>
            <w:pPr>
              <w:spacing w:line="360" w:lineRule="auto"/>
              <w:rPr>
                <w:rFonts w:ascii="宋体" w:hAnsi="宋体" w:cs="宋体"/>
                <w:szCs w:val="21"/>
              </w:rPr>
            </w:pPr>
          </w:p>
        </w:tc>
        <w:tc>
          <w:tcPr>
            <w:tcW w:w="3686" w:type="dxa"/>
            <w:vAlign w:val="center"/>
          </w:tcPr>
          <w:p>
            <w:pPr>
              <w:spacing w:line="360" w:lineRule="auto"/>
              <w:rPr>
                <w:rFonts w:ascii="宋体" w:hAnsi="宋体" w:cs="宋体"/>
                <w:szCs w:val="21"/>
              </w:rPr>
            </w:pPr>
            <w:r>
              <w:rPr>
                <w:rFonts w:ascii="宋体" w:hAnsi="宋体" w:cs="宋体" w:hint="eastAsia"/>
                <w:szCs w:val="21"/>
              </w:rPr>
              <w:t>中频激励预警</w:t>
            </w:r>
          </w:p>
        </w:tc>
        <w:tc>
          <w:tcPr>
            <w:tcW w:w="4013" w:type="dxa"/>
            <w:noWrap/>
            <w:vAlign w:val="center"/>
          </w:tcPr>
          <w:p>
            <w:pPr>
              <w:spacing w:line="360" w:lineRule="auto"/>
              <w:rPr>
                <w:rFonts w:ascii="宋体" w:hAnsi="宋体" w:cs="宋体"/>
                <w:szCs w:val="21"/>
              </w:rPr>
            </w:pPr>
            <w:r>
              <w:rPr>
                <w:rFonts w:ascii="宋体" w:hAnsi="宋体" w:cs="宋体" w:hint="eastAsia"/>
                <w:szCs w:val="21"/>
              </w:rPr>
              <w:t>告警、不告警</w:t>
            </w:r>
          </w:p>
        </w:tc>
      </w:tr>
    </w:tbl>
    <w:p>
      <w:pPr>
        <w:pStyle w:val="Heading8"/>
        <w:rPr>
          <w:color w:val="auto"/>
          <w:szCs w:val="21"/>
        </w:rPr>
      </w:pPr>
      <w:r>
        <w:rPr>
          <w:rFonts w:hint="eastAsia"/>
          <w:color w:val="auto"/>
          <w:szCs w:val="21"/>
        </w:rPr>
        <w:t>1.15.11.3远程控制</w:t>
      </w:r>
    </w:p>
    <w:p>
      <w:pPr>
        <w:spacing w:line="360" w:lineRule="auto"/>
        <w:ind w:firstLine="420" w:firstLineChars="200"/>
        <w:rPr>
          <w:rFonts w:ascii="宋体" w:hAnsi="宋体" w:cs="宋体"/>
          <w:szCs w:val="21"/>
        </w:rPr>
      </w:pPr>
      <w:r>
        <w:rPr>
          <w:rFonts w:ascii="宋体" w:hAnsi="宋体" w:cs="宋体" w:hint="eastAsia"/>
          <w:szCs w:val="21"/>
        </w:rPr>
        <w:t>具有远程控制功能，包括：云雷达主机开断电、切换观测模式、修改适配参数等。</w:t>
      </w:r>
    </w:p>
    <w:p>
      <w:pPr>
        <w:spacing w:line="360" w:lineRule="auto"/>
        <w:jc w:val="center"/>
        <w:rPr>
          <w:rFonts w:ascii="宋体" w:hAnsi="宋体" w:cs="宋体"/>
          <w:szCs w:val="21"/>
        </w:rPr>
      </w:pPr>
      <w:r>
        <w:rPr>
          <w:rFonts w:ascii="宋体" w:hAnsi="宋体" w:cs="宋体" w:hint="eastAsia"/>
          <w:szCs w:val="21"/>
        </w:rPr>
        <w:t>表10 远程控制命令列表</w:t>
      </w:r>
    </w:p>
    <w:tbl>
      <w:tblPr>
        <w:tblStyle w:val="TableNormal"/>
        <w:tblW w:w="8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33"/>
        <w:gridCol w:w="3846"/>
        <w:gridCol w:w="3875"/>
      </w:tblGrid>
      <w:tr>
        <w:tblPrEx>
          <w:tblW w:w="8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833" w:type="dxa"/>
            <w:vAlign w:val="center"/>
          </w:tcPr>
          <w:p>
            <w:pPr>
              <w:spacing w:line="360" w:lineRule="auto"/>
              <w:rPr>
                <w:rFonts w:ascii="宋体" w:hAnsi="宋体" w:cs="宋体"/>
                <w:szCs w:val="21"/>
              </w:rPr>
            </w:pPr>
            <w:r>
              <w:rPr>
                <w:rFonts w:ascii="宋体" w:hAnsi="宋体" w:cs="宋体" w:hint="eastAsia"/>
                <w:szCs w:val="21"/>
              </w:rPr>
              <w:t>序号</w:t>
            </w:r>
          </w:p>
        </w:tc>
        <w:tc>
          <w:tcPr>
            <w:tcW w:w="3846" w:type="dxa"/>
            <w:vAlign w:val="center"/>
          </w:tcPr>
          <w:p>
            <w:pPr>
              <w:spacing w:line="360" w:lineRule="auto"/>
              <w:rPr>
                <w:rFonts w:ascii="宋体" w:hAnsi="宋体" w:cs="宋体"/>
                <w:szCs w:val="21"/>
              </w:rPr>
            </w:pPr>
            <w:r>
              <w:rPr>
                <w:rFonts w:ascii="宋体" w:hAnsi="宋体" w:cs="宋体" w:hint="eastAsia"/>
                <w:szCs w:val="21"/>
              </w:rPr>
              <w:t>命令类型</w:t>
            </w:r>
          </w:p>
        </w:tc>
        <w:tc>
          <w:tcPr>
            <w:tcW w:w="3875" w:type="dxa"/>
            <w:vAlign w:val="center"/>
          </w:tcPr>
          <w:p>
            <w:pPr>
              <w:spacing w:line="360" w:lineRule="auto"/>
              <w:rPr>
                <w:rFonts w:ascii="宋体" w:hAnsi="宋体" w:cs="宋体"/>
                <w:szCs w:val="21"/>
              </w:rPr>
            </w:pPr>
            <w:r>
              <w:rPr>
                <w:rFonts w:ascii="宋体" w:hAnsi="宋体" w:cs="宋体" w:hint="eastAsia"/>
                <w:szCs w:val="21"/>
              </w:rPr>
              <w:t>含义</w:t>
            </w:r>
          </w:p>
        </w:tc>
      </w:tr>
      <w:tr>
        <w:tblPrEx>
          <w:tblW w:w="8554" w:type="dxa"/>
          <w:jc w:val="center"/>
          <w:tblLayout w:type="fixed"/>
          <w:tblCellMar>
            <w:top w:w="0" w:type="dxa"/>
            <w:left w:w="108" w:type="dxa"/>
            <w:bottom w:w="0" w:type="dxa"/>
            <w:right w:w="108" w:type="dxa"/>
          </w:tblCellMar>
        </w:tblPrEx>
        <w:trPr>
          <w:jc w:val="center"/>
        </w:trPr>
        <w:tc>
          <w:tcPr>
            <w:tcW w:w="833" w:type="dxa"/>
            <w:vAlign w:val="center"/>
          </w:tcPr>
          <w:p>
            <w:pPr>
              <w:spacing w:line="360" w:lineRule="auto"/>
              <w:rPr>
                <w:rFonts w:ascii="宋体" w:hAnsi="宋体" w:cs="宋体"/>
                <w:szCs w:val="21"/>
              </w:rPr>
            </w:pPr>
            <w:r>
              <w:rPr>
                <w:rFonts w:ascii="宋体" w:hAnsi="宋体" w:cs="宋体" w:hint="eastAsia"/>
                <w:szCs w:val="21"/>
              </w:rPr>
              <w:t>1</w:t>
            </w:r>
          </w:p>
        </w:tc>
        <w:tc>
          <w:tcPr>
            <w:tcW w:w="3846" w:type="dxa"/>
            <w:vAlign w:val="center"/>
          </w:tcPr>
          <w:p>
            <w:pPr>
              <w:spacing w:line="360" w:lineRule="auto"/>
              <w:rPr>
                <w:rFonts w:ascii="宋体" w:hAnsi="宋体" w:cs="宋体"/>
                <w:szCs w:val="21"/>
              </w:rPr>
            </w:pPr>
            <w:r>
              <w:rPr>
                <w:rFonts w:ascii="宋体" w:hAnsi="宋体" w:cs="宋体" w:hint="eastAsia"/>
                <w:szCs w:val="21"/>
              </w:rPr>
              <w:t>状态信息请求</w:t>
            </w:r>
          </w:p>
        </w:tc>
        <w:tc>
          <w:tcPr>
            <w:tcW w:w="3875" w:type="dxa"/>
            <w:vAlign w:val="center"/>
          </w:tcPr>
          <w:p>
            <w:pPr>
              <w:spacing w:line="360" w:lineRule="auto"/>
              <w:rPr>
                <w:rFonts w:ascii="宋体" w:hAnsi="宋体" w:cs="宋体"/>
                <w:szCs w:val="21"/>
              </w:rPr>
            </w:pPr>
            <w:r>
              <w:rPr>
                <w:rFonts w:ascii="宋体" w:hAnsi="宋体" w:cs="宋体" w:hint="eastAsia"/>
                <w:szCs w:val="21"/>
              </w:rPr>
              <w:t>云雷达立即响应状态信息报文</w:t>
            </w:r>
          </w:p>
        </w:tc>
      </w:tr>
      <w:tr>
        <w:tblPrEx>
          <w:tblW w:w="8554" w:type="dxa"/>
          <w:jc w:val="center"/>
          <w:tblLayout w:type="fixed"/>
          <w:tblCellMar>
            <w:top w:w="0" w:type="dxa"/>
            <w:left w:w="108" w:type="dxa"/>
            <w:bottom w:w="0" w:type="dxa"/>
            <w:right w:w="108" w:type="dxa"/>
          </w:tblCellMar>
        </w:tblPrEx>
        <w:trPr>
          <w:jc w:val="center"/>
        </w:trPr>
        <w:tc>
          <w:tcPr>
            <w:tcW w:w="833" w:type="dxa"/>
            <w:vAlign w:val="center"/>
          </w:tcPr>
          <w:p>
            <w:pPr>
              <w:spacing w:line="360" w:lineRule="auto"/>
              <w:rPr>
                <w:rFonts w:ascii="宋体" w:hAnsi="宋体" w:cs="宋体"/>
                <w:szCs w:val="21"/>
              </w:rPr>
            </w:pPr>
            <w:r>
              <w:rPr>
                <w:rFonts w:ascii="宋体" w:hAnsi="宋体" w:cs="宋体" w:hint="eastAsia"/>
                <w:szCs w:val="21"/>
              </w:rPr>
              <w:t>2</w:t>
            </w:r>
          </w:p>
        </w:tc>
        <w:tc>
          <w:tcPr>
            <w:tcW w:w="3846" w:type="dxa"/>
            <w:vAlign w:val="center"/>
          </w:tcPr>
          <w:p>
            <w:pPr>
              <w:spacing w:line="360" w:lineRule="auto"/>
              <w:rPr>
                <w:rFonts w:ascii="宋体" w:hAnsi="宋体" w:cs="宋体"/>
                <w:szCs w:val="21"/>
              </w:rPr>
            </w:pPr>
            <w:r>
              <w:rPr>
                <w:rFonts w:ascii="宋体" w:hAnsi="宋体" w:cs="宋体" w:hint="eastAsia"/>
                <w:szCs w:val="21"/>
              </w:rPr>
              <w:t>请求控制权限</w:t>
            </w:r>
          </w:p>
        </w:tc>
        <w:tc>
          <w:tcPr>
            <w:tcW w:w="3875" w:type="dxa"/>
            <w:vAlign w:val="center"/>
          </w:tcPr>
          <w:p>
            <w:pPr>
              <w:spacing w:line="360" w:lineRule="auto"/>
              <w:rPr>
                <w:rFonts w:ascii="宋体" w:hAnsi="宋体" w:cs="宋体"/>
                <w:szCs w:val="21"/>
              </w:rPr>
            </w:pPr>
            <w:r>
              <w:rPr>
                <w:rFonts w:ascii="宋体" w:hAnsi="宋体" w:cs="宋体" w:hint="eastAsia"/>
                <w:szCs w:val="21"/>
              </w:rPr>
              <w:t>请求控制权限或释放控制权限</w:t>
            </w:r>
          </w:p>
        </w:tc>
      </w:tr>
      <w:tr>
        <w:tblPrEx>
          <w:tblW w:w="8554" w:type="dxa"/>
          <w:jc w:val="center"/>
          <w:tblLayout w:type="fixed"/>
          <w:tblCellMar>
            <w:top w:w="0" w:type="dxa"/>
            <w:left w:w="108" w:type="dxa"/>
            <w:bottom w:w="0" w:type="dxa"/>
            <w:right w:w="108" w:type="dxa"/>
          </w:tblCellMar>
        </w:tblPrEx>
        <w:trPr>
          <w:jc w:val="center"/>
        </w:trPr>
        <w:tc>
          <w:tcPr>
            <w:tcW w:w="833" w:type="dxa"/>
            <w:vAlign w:val="center"/>
          </w:tcPr>
          <w:p>
            <w:pPr>
              <w:spacing w:line="360" w:lineRule="auto"/>
              <w:rPr>
                <w:rFonts w:ascii="宋体" w:hAnsi="宋体" w:cs="宋体"/>
                <w:szCs w:val="21"/>
              </w:rPr>
            </w:pPr>
            <w:r>
              <w:rPr>
                <w:rFonts w:ascii="宋体" w:hAnsi="宋体" w:cs="宋体" w:hint="eastAsia"/>
                <w:szCs w:val="21"/>
              </w:rPr>
              <w:t>3</w:t>
            </w:r>
          </w:p>
        </w:tc>
        <w:tc>
          <w:tcPr>
            <w:tcW w:w="3846" w:type="dxa"/>
            <w:vAlign w:val="center"/>
          </w:tcPr>
          <w:p>
            <w:pPr>
              <w:spacing w:line="360" w:lineRule="auto"/>
              <w:rPr>
                <w:rFonts w:ascii="宋体" w:hAnsi="宋体" w:cs="宋体"/>
                <w:szCs w:val="21"/>
              </w:rPr>
            </w:pPr>
            <w:r>
              <w:rPr>
                <w:rFonts w:ascii="宋体" w:hAnsi="宋体" w:cs="宋体" w:hint="eastAsia"/>
                <w:szCs w:val="21"/>
              </w:rPr>
              <w:t>控制云雷达运行</w:t>
            </w:r>
          </w:p>
        </w:tc>
        <w:tc>
          <w:tcPr>
            <w:tcW w:w="3875" w:type="dxa"/>
            <w:vAlign w:val="center"/>
          </w:tcPr>
          <w:p>
            <w:pPr>
              <w:spacing w:line="360" w:lineRule="auto"/>
              <w:rPr>
                <w:rFonts w:ascii="宋体" w:hAnsi="宋体" w:cs="宋体"/>
                <w:szCs w:val="21"/>
              </w:rPr>
            </w:pPr>
            <w:r>
              <w:rPr>
                <w:rFonts w:ascii="宋体" w:hAnsi="宋体" w:cs="宋体" w:hint="eastAsia"/>
                <w:szCs w:val="21"/>
              </w:rPr>
              <w:t>控制云雷达开始或停止探测</w:t>
            </w:r>
          </w:p>
        </w:tc>
      </w:tr>
      <w:tr>
        <w:tblPrEx>
          <w:tblW w:w="8554" w:type="dxa"/>
          <w:jc w:val="center"/>
          <w:tblLayout w:type="fixed"/>
          <w:tblCellMar>
            <w:top w:w="0" w:type="dxa"/>
            <w:left w:w="108" w:type="dxa"/>
            <w:bottom w:w="0" w:type="dxa"/>
            <w:right w:w="108" w:type="dxa"/>
          </w:tblCellMar>
        </w:tblPrEx>
        <w:trPr>
          <w:jc w:val="center"/>
        </w:trPr>
        <w:tc>
          <w:tcPr>
            <w:tcW w:w="833" w:type="dxa"/>
            <w:vAlign w:val="center"/>
          </w:tcPr>
          <w:p>
            <w:pPr>
              <w:spacing w:line="360" w:lineRule="auto"/>
              <w:rPr>
                <w:rFonts w:ascii="宋体" w:hAnsi="宋体" w:cs="宋体"/>
                <w:szCs w:val="21"/>
              </w:rPr>
            </w:pPr>
            <w:r>
              <w:rPr>
                <w:rFonts w:ascii="宋体" w:hAnsi="宋体" w:cs="宋体" w:hint="eastAsia"/>
                <w:szCs w:val="21"/>
              </w:rPr>
              <w:t>4</w:t>
            </w:r>
          </w:p>
        </w:tc>
        <w:tc>
          <w:tcPr>
            <w:tcW w:w="3846" w:type="dxa"/>
            <w:vAlign w:val="center"/>
          </w:tcPr>
          <w:p>
            <w:pPr>
              <w:spacing w:line="360" w:lineRule="auto"/>
              <w:rPr>
                <w:rFonts w:ascii="宋体" w:hAnsi="宋体" w:cs="宋体"/>
                <w:szCs w:val="21"/>
              </w:rPr>
            </w:pPr>
            <w:r>
              <w:rPr>
                <w:rFonts w:ascii="宋体" w:hAnsi="宋体" w:cs="宋体" w:hint="eastAsia"/>
                <w:szCs w:val="21"/>
              </w:rPr>
              <w:t>电源控制</w:t>
            </w:r>
          </w:p>
        </w:tc>
        <w:tc>
          <w:tcPr>
            <w:tcW w:w="3875" w:type="dxa"/>
            <w:vAlign w:val="center"/>
          </w:tcPr>
          <w:p>
            <w:pPr>
              <w:spacing w:line="360" w:lineRule="auto"/>
              <w:rPr>
                <w:rFonts w:ascii="宋体" w:hAnsi="宋体" w:cs="宋体"/>
                <w:szCs w:val="21"/>
              </w:rPr>
            </w:pPr>
            <w:r>
              <w:rPr>
                <w:rFonts w:ascii="宋体" w:hAnsi="宋体" w:cs="宋体" w:hint="eastAsia"/>
                <w:szCs w:val="21"/>
              </w:rPr>
              <w:t>控制云雷达上电或断电</w:t>
            </w:r>
          </w:p>
        </w:tc>
      </w:tr>
      <w:tr>
        <w:tblPrEx>
          <w:tblW w:w="8554" w:type="dxa"/>
          <w:jc w:val="center"/>
          <w:tblLayout w:type="fixed"/>
          <w:tblCellMar>
            <w:top w:w="0" w:type="dxa"/>
            <w:left w:w="108" w:type="dxa"/>
            <w:bottom w:w="0" w:type="dxa"/>
            <w:right w:w="108" w:type="dxa"/>
          </w:tblCellMar>
        </w:tblPrEx>
        <w:trPr>
          <w:jc w:val="center"/>
        </w:trPr>
        <w:tc>
          <w:tcPr>
            <w:tcW w:w="833" w:type="dxa"/>
            <w:vAlign w:val="center"/>
          </w:tcPr>
          <w:p>
            <w:pPr>
              <w:spacing w:line="360" w:lineRule="auto"/>
              <w:rPr>
                <w:rFonts w:ascii="宋体" w:hAnsi="宋体" w:cs="宋体"/>
                <w:szCs w:val="21"/>
              </w:rPr>
            </w:pPr>
            <w:r>
              <w:rPr>
                <w:rFonts w:ascii="宋体" w:hAnsi="宋体" w:cs="宋体" w:hint="eastAsia"/>
                <w:szCs w:val="21"/>
              </w:rPr>
              <w:t>5</w:t>
            </w:r>
          </w:p>
        </w:tc>
        <w:tc>
          <w:tcPr>
            <w:tcW w:w="3846" w:type="dxa"/>
            <w:vAlign w:val="center"/>
          </w:tcPr>
          <w:p>
            <w:pPr>
              <w:spacing w:line="360" w:lineRule="auto"/>
              <w:rPr>
                <w:rFonts w:ascii="宋体" w:hAnsi="宋体" w:cs="宋体"/>
                <w:szCs w:val="21"/>
              </w:rPr>
            </w:pPr>
            <w:r>
              <w:rPr>
                <w:rFonts w:ascii="宋体" w:hAnsi="宋体" w:cs="宋体" w:hint="eastAsia"/>
                <w:szCs w:val="21"/>
              </w:rPr>
              <w:t>扫描控制-添加执行任务</w:t>
            </w:r>
          </w:p>
        </w:tc>
        <w:tc>
          <w:tcPr>
            <w:tcW w:w="3875" w:type="dxa"/>
            <w:vAlign w:val="center"/>
          </w:tcPr>
          <w:p>
            <w:pPr>
              <w:spacing w:line="360" w:lineRule="auto"/>
              <w:rPr>
                <w:rFonts w:ascii="宋体" w:hAnsi="宋体" w:cs="宋体"/>
                <w:szCs w:val="21"/>
              </w:rPr>
            </w:pPr>
            <w:r>
              <w:rPr>
                <w:rFonts w:ascii="宋体" w:hAnsi="宋体" w:cs="宋体" w:hint="eastAsia"/>
                <w:szCs w:val="21"/>
              </w:rPr>
              <w:t>增加任务到当前执行任务列表</w:t>
            </w:r>
          </w:p>
        </w:tc>
      </w:tr>
      <w:tr>
        <w:tblPrEx>
          <w:tblW w:w="8554" w:type="dxa"/>
          <w:jc w:val="center"/>
          <w:tblLayout w:type="fixed"/>
          <w:tblCellMar>
            <w:top w:w="0" w:type="dxa"/>
            <w:left w:w="108" w:type="dxa"/>
            <w:bottom w:w="0" w:type="dxa"/>
            <w:right w:w="108" w:type="dxa"/>
          </w:tblCellMar>
        </w:tblPrEx>
        <w:trPr>
          <w:jc w:val="center"/>
        </w:trPr>
        <w:tc>
          <w:tcPr>
            <w:tcW w:w="833" w:type="dxa"/>
            <w:vAlign w:val="center"/>
          </w:tcPr>
          <w:p>
            <w:pPr>
              <w:spacing w:line="360" w:lineRule="auto"/>
              <w:rPr>
                <w:rFonts w:ascii="宋体" w:hAnsi="宋体" w:cs="宋体"/>
                <w:szCs w:val="21"/>
              </w:rPr>
            </w:pPr>
            <w:r>
              <w:rPr>
                <w:rFonts w:ascii="宋体" w:hAnsi="宋体" w:cs="宋体" w:hint="eastAsia"/>
                <w:szCs w:val="21"/>
              </w:rPr>
              <w:t>6</w:t>
            </w:r>
          </w:p>
        </w:tc>
        <w:tc>
          <w:tcPr>
            <w:tcW w:w="3846" w:type="dxa"/>
            <w:vAlign w:val="center"/>
          </w:tcPr>
          <w:p>
            <w:pPr>
              <w:spacing w:line="360" w:lineRule="auto"/>
              <w:rPr>
                <w:rFonts w:ascii="宋体" w:hAnsi="宋体" w:cs="宋体"/>
                <w:szCs w:val="21"/>
              </w:rPr>
            </w:pPr>
            <w:r>
              <w:rPr>
                <w:rFonts w:ascii="宋体" w:hAnsi="宋体" w:cs="宋体" w:hint="eastAsia"/>
                <w:szCs w:val="21"/>
              </w:rPr>
              <w:t>扫描控制-删除执行任务</w:t>
            </w:r>
          </w:p>
        </w:tc>
        <w:tc>
          <w:tcPr>
            <w:tcW w:w="3875" w:type="dxa"/>
            <w:vAlign w:val="center"/>
          </w:tcPr>
          <w:p>
            <w:pPr>
              <w:spacing w:line="360" w:lineRule="auto"/>
              <w:rPr>
                <w:rFonts w:ascii="宋体" w:hAnsi="宋体" w:cs="宋体"/>
                <w:szCs w:val="21"/>
              </w:rPr>
            </w:pPr>
            <w:r>
              <w:rPr>
                <w:rFonts w:ascii="宋体" w:hAnsi="宋体" w:cs="宋体" w:hint="eastAsia"/>
                <w:szCs w:val="21"/>
              </w:rPr>
              <w:t>删除执行任务列表已存在任务</w:t>
            </w:r>
          </w:p>
        </w:tc>
      </w:tr>
      <w:tr>
        <w:tblPrEx>
          <w:tblW w:w="8554" w:type="dxa"/>
          <w:jc w:val="center"/>
          <w:tblLayout w:type="fixed"/>
          <w:tblCellMar>
            <w:top w:w="0" w:type="dxa"/>
            <w:left w:w="108" w:type="dxa"/>
            <w:bottom w:w="0" w:type="dxa"/>
            <w:right w:w="108" w:type="dxa"/>
          </w:tblCellMar>
        </w:tblPrEx>
        <w:trPr>
          <w:jc w:val="center"/>
        </w:trPr>
        <w:tc>
          <w:tcPr>
            <w:tcW w:w="833" w:type="dxa"/>
            <w:vAlign w:val="center"/>
          </w:tcPr>
          <w:p>
            <w:pPr>
              <w:spacing w:line="360" w:lineRule="auto"/>
              <w:rPr>
                <w:rFonts w:ascii="宋体" w:hAnsi="宋体" w:cs="宋体"/>
                <w:szCs w:val="21"/>
              </w:rPr>
            </w:pPr>
            <w:r>
              <w:rPr>
                <w:rFonts w:ascii="宋体" w:hAnsi="宋体" w:cs="宋体" w:hint="eastAsia"/>
                <w:szCs w:val="21"/>
              </w:rPr>
              <w:t>7</w:t>
            </w:r>
          </w:p>
        </w:tc>
        <w:tc>
          <w:tcPr>
            <w:tcW w:w="3846" w:type="dxa"/>
            <w:vAlign w:val="center"/>
          </w:tcPr>
          <w:p>
            <w:pPr>
              <w:spacing w:line="360" w:lineRule="auto"/>
              <w:rPr>
                <w:rFonts w:ascii="宋体" w:hAnsi="宋体" w:cs="宋体"/>
                <w:szCs w:val="21"/>
              </w:rPr>
            </w:pPr>
            <w:r>
              <w:rPr>
                <w:rFonts w:ascii="宋体" w:hAnsi="宋体" w:cs="宋体" w:hint="eastAsia"/>
                <w:szCs w:val="21"/>
              </w:rPr>
              <w:t>获取执行任务列表中指定任务参数</w:t>
            </w:r>
          </w:p>
        </w:tc>
        <w:tc>
          <w:tcPr>
            <w:tcW w:w="3875" w:type="dxa"/>
            <w:vAlign w:val="center"/>
          </w:tcPr>
          <w:p>
            <w:pPr>
              <w:spacing w:line="360" w:lineRule="auto"/>
              <w:rPr>
                <w:rFonts w:ascii="宋体" w:hAnsi="宋体" w:cs="宋体"/>
                <w:szCs w:val="21"/>
              </w:rPr>
            </w:pPr>
            <w:r>
              <w:rPr>
                <w:rFonts w:ascii="宋体" w:hAnsi="宋体" w:cs="宋体" w:hint="eastAsia"/>
                <w:szCs w:val="21"/>
              </w:rPr>
              <w:t>获取执行任务列表中扫描参数</w:t>
            </w:r>
          </w:p>
        </w:tc>
      </w:tr>
      <w:tr>
        <w:tblPrEx>
          <w:tblW w:w="8554" w:type="dxa"/>
          <w:jc w:val="center"/>
          <w:tblLayout w:type="fixed"/>
          <w:tblCellMar>
            <w:top w:w="0" w:type="dxa"/>
            <w:left w:w="108" w:type="dxa"/>
            <w:bottom w:w="0" w:type="dxa"/>
            <w:right w:w="108" w:type="dxa"/>
          </w:tblCellMar>
        </w:tblPrEx>
        <w:trPr>
          <w:jc w:val="center"/>
        </w:trPr>
        <w:tc>
          <w:tcPr>
            <w:tcW w:w="833" w:type="dxa"/>
            <w:vAlign w:val="center"/>
          </w:tcPr>
          <w:p>
            <w:pPr>
              <w:spacing w:line="360" w:lineRule="auto"/>
              <w:rPr>
                <w:rFonts w:ascii="宋体" w:hAnsi="宋体" w:cs="宋体"/>
                <w:szCs w:val="21"/>
              </w:rPr>
            </w:pPr>
            <w:r>
              <w:rPr>
                <w:rFonts w:ascii="宋体" w:hAnsi="宋体" w:cs="宋体" w:hint="eastAsia"/>
                <w:szCs w:val="21"/>
              </w:rPr>
              <w:t>8</w:t>
            </w:r>
          </w:p>
        </w:tc>
        <w:tc>
          <w:tcPr>
            <w:tcW w:w="3846" w:type="dxa"/>
            <w:vAlign w:val="center"/>
          </w:tcPr>
          <w:p>
            <w:pPr>
              <w:spacing w:line="360" w:lineRule="auto"/>
              <w:rPr>
                <w:rFonts w:ascii="宋体" w:hAnsi="宋体" w:cs="宋体"/>
                <w:szCs w:val="21"/>
              </w:rPr>
            </w:pPr>
            <w:r>
              <w:rPr>
                <w:rFonts w:ascii="宋体" w:hAnsi="宋体" w:cs="宋体" w:hint="eastAsia"/>
                <w:szCs w:val="21"/>
              </w:rPr>
              <w:t>增加可用任务列表配置</w:t>
            </w:r>
          </w:p>
        </w:tc>
        <w:tc>
          <w:tcPr>
            <w:tcW w:w="3875" w:type="dxa"/>
            <w:vAlign w:val="center"/>
          </w:tcPr>
          <w:p>
            <w:pPr>
              <w:spacing w:line="360" w:lineRule="auto"/>
              <w:rPr>
                <w:rFonts w:ascii="宋体" w:hAnsi="宋体" w:cs="宋体"/>
                <w:szCs w:val="21"/>
              </w:rPr>
            </w:pPr>
            <w:r>
              <w:rPr>
                <w:rFonts w:ascii="宋体" w:hAnsi="宋体" w:cs="宋体" w:hint="eastAsia"/>
                <w:szCs w:val="21"/>
              </w:rPr>
              <w:t>增加扫描配置</w:t>
            </w:r>
          </w:p>
        </w:tc>
      </w:tr>
      <w:tr>
        <w:tblPrEx>
          <w:tblW w:w="8554" w:type="dxa"/>
          <w:jc w:val="center"/>
          <w:tblLayout w:type="fixed"/>
          <w:tblCellMar>
            <w:top w:w="0" w:type="dxa"/>
            <w:left w:w="108" w:type="dxa"/>
            <w:bottom w:w="0" w:type="dxa"/>
            <w:right w:w="108" w:type="dxa"/>
          </w:tblCellMar>
        </w:tblPrEx>
        <w:trPr>
          <w:jc w:val="center"/>
        </w:trPr>
        <w:tc>
          <w:tcPr>
            <w:tcW w:w="833" w:type="dxa"/>
            <w:vAlign w:val="center"/>
          </w:tcPr>
          <w:p>
            <w:pPr>
              <w:spacing w:line="360" w:lineRule="auto"/>
              <w:rPr>
                <w:rFonts w:ascii="宋体" w:hAnsi="宋体" w:cs="宋体"/>
                <w:szCs w:val="21"/>
              </w:rPr>
            </w:pPr>
            <w:r>
              <w:rPr>
                <w:rFonts w:ascii="宋体" w:hAnsi="宋体" w:cs="宋体" w:hint="eastAsia"/>
                <w:szCs w:val="21"/>
              </w:rPr>
              <w:t>9</w:t>
            </w:r>
          </w:p>
        </w:tc>
        <w:tc>
          <w:tcPr>
            <w:tcW w:w="3846" w:type="dxa"/>
            <w:vAlign w:val="center"/>
          </w:tcPr>
          <w:p>
            <w:pPr>
              <w:spacing w:line="360" w:lineRule="auto"/>
              <w:rPr>
                <w:rFonts w:ascii="宋体" w:hAnsi="宋体" w:cs="宋体"/>
                <w:szCs w:val="21"/>
              </w:rPr>
            </w:pPr>
            <w:r>
              <w:rPr>
                <w:rFonts w:ascii="宋体" w:hAnsi="宋体" w:cs="宋体" w:hint="eastAsia"/>
                <w:szCs w:val="21"/>
              </w:rPr>
              <w:t>删除可用任务列表配置</w:t>
            </w:r>
          </w:p>
        </w:tc>
        <w:tc>
          <w:tcPr>
            <w:tcW w:w="3875" w:type="dxa"/>
            <w:vAlign w:val="center"/>
          </w:tcPr>
          <w:p>
            <w:pPr>
              <w:spacing w:line="360" w:lineRule="auto"/>
              <w:rPr>
                <w:rFonts w:ascii="宋体" w:hAnsi="宋体" w:cs="宋体"/>
                <w:szCs w:val="21"/>
              </w:rPr>
            </w:pPr>
            <w:r>
              <w:rPr>
                <w:rFonts w:ascii="宋体" w:hAnsi="宋体" w:cs="宋体" w:hint="eastAsia"/>
                <w:szCs w:val="21"/>
              </w:rPr>
              <w:t>删除可用任务列表中已存在的任务</w:t>
            </w:r>
          </w:p>
        </w:tc>
      </w:tr>
      <w:tr>
        <w:tblPrEx>
          <w:tblW w:w="8554" w:type="dxa"/>
          <w:jc w:val="center"/>
          <w:tblLayout w:type="fixed"/>
          <w:tblCellMar>
            <w:top w:w="0" w:type="dxa"/>
            <w:left w:w="108" w:type="dxa"/>
            <w:bottom w:w="0" w:type="dxa"/>
            <w:right w:w="108" w:type="dxa"/>
          </w:tblCellMar>
        </w:tblPrEx>
        <w:trPr>
          <w:jc w:val="center"/>
        </w:trPr>
        <w:tc>
          <w:tcPr>
            <w:tcW w:w="833" w:type="dxa"/>
            <w:vAlign w:val="center"/>
          </w:tcPr>
          <w:p>
            <w:pPr>
              <w:spacing w:line="360" w:lineRule="auto"/>
              <w:rPr>
                <w:rFonts w:ascii="宋体" w:hAnsi="宋体" w:cs="宋体"/>
                <w:szCs w:val="21"/>
              </w:rPr>
            </w:pPr>
            <w:r>
              <w:rPr>
                <w:rFonts w:ascii="宋体" w:hAnsi="宋体" w:cs="宋体" w:hint="eastAsia"/>
                <w:szCs w:val="21"/>
              </w:rPr>
              <w:t>10</w:t>
            </w:r>
          </w:p>
        </w:tc>
        <w:tc>
          <w:tcPr>
            <w:tcW w:w="3846" w:type="dxa"/>
            <w:vAlign w:val="center"/>
          </w:tcPr>
          <w:p>
            <w:pPr>
              <w:spacing w:line="360" w:lineRule="auto"/>
              <w:rPr>
                <w:rFonts w:ascii="宋体" w:hAnsi="宋体" w:cs="宋体"/>
                <w:szCs w:val="21"/>
              </w:rPr>
            </w:pPr>
            <w:r>
              <w:rPr>
                <w:rFonts w:ascii="宋体" w:hAnsi="宋体" w:cs="宋体" w:hint="eastAsia"/>
                <w:szCs w:val="21"/>
              </w:rPr>
              <w:t>获取可用任务列表中指定任务参数</w:t>
            </w:r>
          </w:p>
        </w:tc>
        <w:tc>
          <w:tcPr>
            <w:tcW w:w="3875" w:type="dxa"/>
            <w:vAlign w:val="center"/>
          </w:tcPr>
          <w:p>
            <w:pPr>
              <w:spacing w:line="360" w:lineRule="auto"/>
              <w:rPr>
                <w:rFonts w:ascii="宋体" w:hAnsi="宋体" w:cs="宋体"/>
                <w:szCs w:val="21"/>
              </w:rPr>
            </w:pPr>
            <w:r>
              <w:rPr>
                <w:rFonts w:ascii="宋体" w:hAnsi="宋体" w:cs="宋体" w:hint="eastAsia"/>
                <w:szCs w:val="21"/>
              </w:rPr>
              <w:t>获取参数的可用任务列表中已存在的任务</w:t>
            </w:r>
          </w:p>
        </w:tc>
      </w:tr>
      <w:tr>
        <w:tblPrEx>
          <w:tblW w:w="8554" w:type="dxa"/>
          <w:jc w:val="center"/>
          <w:tblLayout w:type="fixed"/>
          <w:tblCellMar>
            <w:top w:w="0" w:type="dxa"/>
            <w:left w:w="108" w:type="dxa"/>
            <w:bottom w:w="0" w:type="dxa"/>
            <w:right w:w="108" w:type="dxa"/>
          </w:tblCellMar>
        </w:tblPrEx>
        <w:trPr>
          <w:jc w:val="center"/>
        </w:trPr>
        <w:tc>
          <w:tcPr>
            <w:tcW w:w="833" w:type="dxa"/>
            <w:vAlign w:val="center"/>
          </w:tcPr>
          <w:p>
            <w:pPr>
              <w:spacing w:line="360" w:lineRule="auto"/>
              <w:rPr>
                <w:rFonts w:ascii="宋体" w:hAnsi="宋体" w:cs="宋体"/>
                <w:szCs w:val="21"/>
              </w:rPr>
            </w:pPr>
            <w:r>
              <w:rPr>
                <w:rFonts w:ascii="宋体" w:hAnsi="宋体" w:cs="宋体" w:hint="eastAsia"/>
                <w:szCs w:val="21"/>
              </w:rPr>
              <w:t>11</w:t>
            </w:r>
          </w:p>
        </w:tc>
        <w:tc>
          <w:tcPr>
            <w:tcW w:w="3846" w:type="dxa"/>
            <w:vAlign w:val="center"/>
          </w:tcPr>
          <w:p>
            <w:pPr>
              <w:spacing w:line="360" w:lineRule="auto"/>
              <w:rPr>
                <w:rFonts w:ascii="宋体" w:hAnsi="宋体" w:cs="宋体"/>
                <w:szCs w:val="21"/>
              </w:rPr>
            </w:pPr>
            <w:r>
              <w:rPr>
                <w:rFonts w:ascii="宋体" w:hAnsi="宋体" w:cs="宋体" w:hint="eastAsia"/>
                <w:szCs w:val="21"/>
              </w:rPr>
              <w:t>获取云雷达支持脉宽列表</w:t>
            </w:r>
          </w:p>
        </w:tc>
        <w:tc>
          <w:tcPr>
            <w:tcW w:w="3875" w:type="dxa"/>
            <w:vAlign w:val="center"/>
          </w:tcPr>
          <w:p>
            <w:pPr>
              <w:spacing w:line="360" w:lineRule="auto"/>
              <w:rPr>
                <w:rFonts w:ascii="宋体" w:hAnsi="宋体" w:cs="宋体"/>
                <w:szCs w:val="21"/>
              </w:rPr>
            </w:pPr>
            <w:r>
              <w:rPr>
                <w:rFonts w:ascii="宋体" w:hAnsi="宋体" w:cs="宋体" w:hint="eastAsia"/>
                <w:szCs w:val="21"/>
              </w:rPr>
              <w:t>获取云雷达支持脉宽列表</w:t>
            </w:r>
          </w:p>
        </w:tc>
      </w:tr>
    </w:tbl>
    <w:p>
      <w:pPr>
        <w:pStyle w:val="Heading8"/>
        <w:rPr>
          <w:color w:val="auto"/>
          <w:szCs w:val="21"/>
        </w:rPr>
      </w:pPr>
      <w:r>
        <w:rPr>
          <w:rFonts w:hint="eastAsia"/>
          <w:color w:val="auto"/>
          <w:szCs w:val="21"/>
        </w:rPr>
        <w:t>1.15.11.4业务过程管理</w:t>
      </w:r>
    </w:p>
    <w:p>
      <w:pPr>
        <w:spacing w:line="360" w:lineRule="auto"/>
        <w:ind w:firstLine="420" w:firstLineChars="200"/>
        <w:rPr>
          <w:rFonts w:ascii="宋体" w:hAnsi="宋体" w:cs="宋体"/>
          <w:szCs w:val="21"/>
        </w:rPr>
      </w:pPr>
      <w:r>
        <w:rPr>
          <w:rFonts w:ascii="宋体" w:hAnsi="宋体" w:cs="宋体" w:hint="eastAsia"/>
          <w:szCs w:val="21"/>
        </w:rPr>
        <w:t>云雷达应具有基本的业务过程管理功能，业务过程应包括日常维护、系统维修、故障管理和测试标定等。</w:t>
      </w:r>
    </w:p>
    <w:p>
      <w:pPr>
        <w:spacing w:line="360" w:lineRule="auto"/>
        <w:ind w:firstLine="420" w:firstLineChars="200"/>
        <w:rPr>
          <w:rFonts w:ascii="宋体" w:hAnsi="宋体" w:cs="宋体"/>
          <w:szCs w:val="21"/>
        </w:rPr>
      </w:pPr>
      <w:r>
        <w:rPr>
          <w:rFonts w:ascii="宋体" w:hAnsi="宋体" w:cs="宋体" w:hint="eastAsia"/>
          <w:szCs w:val="21"/>
        </w:rPr>
        <w:t>（1）日常维护：录入维护记录，具有历史记录查询功能。</w:t>
      </w:r>
    </w:p>
    <w:p>
      <w:pPr>
        <w:spacing w:line="360" w:lineRule="auto"/>
        <w:ind w:firstLine="420" w:firstLineChars="200"/>
        <w:rPr>
          <w:rFonts w:ascii="宋体" w:hAnsi="宋体" w:cs="宋体"/>
          <w:szCs w:val="21"/>
        </w:rPr>
      </w:pPr>
      <w:r>
        <w:rPr>
          <w:rFonts w:ascii="宋体" w:hAnsi="宋体" w:cs="宋体" w:hint="eastAsia"/>
          <w:szCs w:val="21"/>
        </w:rPr>
        <w:t>（2）系统维修：录入系统维修、更换器件记录，具有历史记录查询和统计功能。</w:t>
      </w:r>
    </w:p>
    <w:p>
      <w:pPr>
        <w:spacing w:line="360" w:lineRule="auto"/>
        <w:ind w:firstLine="420" w:firstLineChars="200"/>
        <w:rPr>
          <w:rFonts w:ascii="宋体" w:hAnsi="宋体" w:cs="宋体"/>
          <w:szCs w:val="21"/>
        </w:rPr>
      </w:pPr>
      <w:r>
        <w:rPr>
          <w:rFonts w:ascii="宋体" w:hAnsi="宋体" w:cs="宋体" w:hint="eastAsia"/>
          <w:szCs w:val="21"/>
        </w:rPr>
        <w:t>（3）故障管理：对系统出现故障和报警的时间、内容和等级等内容进行记录，并对故障进行统计，方便分析设备各分系统的故障情况。</w:t>
      </w:r>
    </w:p>
    <w:p>
      <w:pPr>
        <w:spacing w:line="360" w:lineRule="auto"/>
        <w:ind w:firstLine="420" w:firstLineChars="200"/>
        <w:rPr>
          <w:rFonts w:ascii="宋体" w:hAnsi="宋体" w:cs="宋体"/>
          <w:szCs w:val="21"/>
        </w:rPr>
      </w:pPr>
      <w:r>
        <w:rPr>
          <w:rFonts w:ascii="宋体" w:hAnsi="宋体" w:cs="宋体" w:hint="eastAsia"/>
          <w:szCs w:val="21"/>
        </w:rPr>
        <w:t>（4）测试定标：定标情况显示和定标提示以及部分关键指标的统计显示，并对定标状态和定标结果进行分析。</w:t>
      </w:r>
    </w:p>
    <w:p>
      <w:pPr>
        <w:pStyle w:val="Heading7"/>
        <w:spacing w:before="0"/>
        <w:rPr>
          <w:color w:val="auto"/>
          <w:szCs w:val="21"/>
        </w:rPr>
      </w:pPr>
      <w:r>
        <w:rPr>
          <w:rFonts w:hint="eastAsia"/>
          <w:color w:val="auto"/>
          <w:szCs w:val="21"/>
        </w:rPr>
        <w:t>1.15.11.5数据查询与显示</w:t>
      </w:r>
    </w:p>
    <w:p>
      <w:pPr>
        <w:spacing w:line="360" w:lineRule="auto"/>
        <w:ind w:firstLine="420" w:firstLineChars="200"/>
        <w:rPr>
          <w:rFonts w:ascii="宋体" w:hAnsi="宋体" w:cs="宋体"/>
          <w:szCs w:val="21"/>
        </w:rPr>
      </w:pPr>
      <w:r>
        <w:rPr>
          <w:rFonts w:ascii="宋体" w:hAnsi="宋体" w:cs="宋体" w:hint="eastAsia"/>
          <w:szCs w:val="21"/>
        </w:rPr>
        <w:t>对云雷达所产生的数据和信息进行处理，并用图形、图表等方式提供给有关人员，用于天气现象分析和预报使用。具有以下功能：</w:t>
      </w:r>
    </w:p>
    <w:p>
      <w:pPr>
        <w:spacing w:line="360" w:lineRule="auto"/>
        <w:ind w:firstLine="420" w:firstLineChars="200"/>
        <w:rPr>
          <w:rFonts w:ascii="宋体" w:hAnsi="宋体" w:cs="宋体"/>
          <w:szCs w:val="21"/>
        </w:rPr>
      </w:pPr>
      <w:r>
        <w:rPr>
          <w:rFonts w:ascii="宋体" w:hAnsi="宋体" w:cs="宋体" w:hint="eastAsia"/>
          <w:szCs w:val="21"/>
        </w:rPr>
        <w:t>（1）观测数据及产品图形显示；</w:t>
      </w:r>
    </w:p>
    <w:p>
      <w:pPr>
        <w:spacing w:line="360" w:lineRule="auto"/>
        <w:ind w:firstLine="420" w:firstLineChars="200"/>
        <w:rPr>
          <w:rFonts w:ascii="宋体" w:hAnsi="宋体" w:cs="宋体"/>
          <w:szCs w:val="21"/>
        </w:rPr>
      </w:pPr>
      <w:r>
        <w:rPr>
          <w:rFonts w:ascii="宋体" w:hAnsi="宋体" w:cs="宋体" w:hint="eastAsia"/>
          <w:szCs w:val="21"/>
        </w:rPr>
        <w:t>（2）具备对监测的所有参数显示及超限告警提示显示功能；</w:t>
      </w:r>
    </w:p>
    <w:p>
      <w:pPr>
        <w:spacing w:line="360" w:lineRule="auto"/>
        <w:ind w:firstLine="420" w:firstLineChars="200"/>
        <w:rPr>
          <w:rFonts w:ascii="宋体" w:hAnsi="宋体" w:cs="宋体"/>
          <w:szCs w:val="21"/>
        </w:rPr>
      </w:pPr>
      <w:r>
        <w:rPr>
          <w:rFonts w:ascii="宋体" w:hAnsi="宋体" w:cs="宋体" w:hint="eastAsia"/>
          <w:szCs w:val="21"/>
        </w:rPr>
        <w:t>（3）气象产品查询，可通过时间轴，日期窗口灵活选择查询功能；</w:t>
      </w:r>
    </w:p>
    <w:p>
      <w:pPr>
        <w:spacing w:line="360" w:lineRule="auto"/>
        <w:ind w:firstLine="420" w:firstLineChars="200"/>
        <w:rPr>
          <w:rFonts w:ascii="宋体" w:hAnsi="宋体" w:cs="宋体"/>
          <w:szCs w:val="21"/>
        </w:rPr>
      </w:pPr>
      <w:r>
        <w:rPr>
          <w:rFonts w:ascii="宋体" w:hAnsi="宋体" w:cs="宋体" w:hint="eastAsia"/>
          <w:szCs w:val="21"/>
        </w:rPr>
        <w:t>（4）游标引导，鼠标位置显示、数值及产品信息显示；</w:t>
      </w:r>
    </w:p>
    <w:p>
      <w:pPr>
        <w:spacing w:line="360" w:lineRule="auto"/>
        <w:ind w:firstLine="420" w:firstLineChars="200"/>
        <w:rPr>
          <w:rFonts w:ascii="宋体" w:hAnsi="宋体" w:cs="宋体"/>
          <w:szCs w:val="21"/>
        </w:rPr>
      </w:pPr>
      <w:r>
        <w:rPr>
          <w:rFonts w:ascii="宋体" w:hAnsi="宋体" w:cs="宋体" w:hint="eastAsia"/>
          <w:szCs w:val="21"/>
        </w:rPr>
        <w:t>（5）图像处理显示，具有同时观测多仰角多要素同时显示功能。</w:t>
      </w:r>
    </w:p>
    <w:p>
      <w:pPr>
        <w:pStyle w:val="Heading7"/>
        <w:spacing w:before="0"/>
        <w:rPr>
          <w:color w:val="auto"/>
          <w:szCs w:val="21"/>
        </w:rPr>
      </w:pPr>
      <w:r>
        <w:rPr>
          <w:rFonts w:hint="eastAsia"/>
          <w:color w:val="auto"/>
          <w:szCs w:val="21"/>
        </w:rPr>
        <w:t>1.15.11.6信号处理器技术指标</w:t>
      </w:r>
    </w:p>
    <w:p>
      <w:pPr>
        <w:spacing w:line="360" w:lineRule="auto"/>
        <w:ind w:firstLine="420" w:firstLineChars="200"/>
        <w:rPr>
          <w:rFonts w:ascii="宋体" w:hAnsi="宋体" w:cs="宋体"/>
          <w:szCs w:val="21"/>
        </w:rPr>
      </w:pPr>
      <w:r>
        <w:rPr>
          <w:rFonts w:ascii="宋体" w:hAnsi="宋体" w:cs="宋体"/>
          <w:szCs w:val="21"/>
        </w:rPr>
        <w:t>信号处理器技术指标主要包括脉冲压缩主副瓣比、距离库数、地物杂波抑制比等</w:t>
      </w:r>
      <w:r>
        <w:rPr>
          <w:rFonts w:ascii="宋体" w:hAnsi="宋体" w:cs="宋体" w:hint="eastAsia"/>
          <w:szCs w:val="21"/>
        </w:rPr>
        <w:t>。</w:t>
      </w:r>
      <w:r>
        <w:rPr>
          <w:rFonts w:ascii="宋体" w:hAnsi="宋体" w:cs="宋体"/>
          <w:szCs w:val="21"/>
        </w:rPr>
        <w:t>具体指标见下表。</w:t>
      </w:r>
    </w:p>
    <w:p>
      <w:pPr>
        <w:spacing w:line="360" w:lineRule="auto"/>
        <w:jc w:val="center"/>
        <w:rPr>
          <w:rFonts w:ascii="宋体" w:hAnsi="宋体" w:cs="宋体"/>
          <w:szCs w:val="21"/>
        </w:rPr>
      </w:pPr>
      <w:r>
        <w:rPr>
          <w:rFonts w:ascii="宋体" w:hAnsi="宋体" w:cs="宋体"/>
          <w:szCs w:val="21"/>
        </w:rPr>
        <w:t>表</w:t>
      </w:r>
      <w:r>
        <w:rPr>
          <w:rFonts w:ascii="宋体" w:hAnsi="宋体" w:cs="宋体" w:hint="eastAsia"/>
          <w:szCs w:val="21"/>
        </w:rPr>
        <w:t>11</w:t>
      </w:r>
      <w:r>
        <w:rPr>
          <w:rFonts w:ascii="宋体" w:hAnsi="宋体" w:cs="宋体"/>
          <w:szCs w:val="21"/>
        </w:rPr>
        <w:t xml:space="preserve"> 恒温系统技术性能指标表</w:t>
      </w:r>
    </w:p>
    <w:tbl>
      <w:tblPr>
        <w:tblStyle w:val="TableNormal0"/>
        <w:tblW w:w="8596" w:type="dxa"/>
        <w:tblInd w:w="1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3830"/>
        <w:gridCol w:w="4766"/>
      </w:tblGrid>
      <w:tr>
        <w:tblPrEx>
          <w:tblW w:w="8596" w:type="dxa"/>
          <w:tblInd w:w="1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253"/>
        </w:trPr>
        <w:tc>
          <w:tcPr>
            <w:tcW w:w="3830" w:type="dxa"/>
          </w:tcPr>
          <w:p>
            <w:pPr>
              <w:spacing w:line="360" w:lineRule="auto"/>
              <w:rPr>
                <w:rFonts w:ascii="宋体" w:eastAsia="等线" w:hAnsi="宋体" w:cs="宋体"/>
                <w:szCs w:val="21"/>
              </w:rPr>
            </w:pPr>
            <w:r>
              <w:rPr>
                <w:rFonts w:ascii="宋体" w:eastAsia="等线" w:hAnsi="宋体" w:cs="宋体"/>
                <w:szCs w:val="21"/>
              </w:rPr>
              <w:t>项目</w:t>
            </w:r>
          </w:p>
        </w:tc>
        <w:tc>
          <w:tcPr>
            <w:tcW w:w="4766" w:type="dxa"/>
          </w:tcPr>
          <w:p>
            <w:pPr>
              <w:spacing w:line="360" w:lineRule="auto"/>
              <w:rPr>
                <w:rFonts w:ascii="宋体" w:eastAsia="等线" w:hAnsi="宋体" w:cs="宋体"/>
                <w:szCs w:val="21"/>
              </w:rPr>
            </w:pPr>
            <w:r>
              <w:rPr>
                <w:rFonts w:ascii="宋体" w:eastAsia="等线" w:hAnsi="宋体" w:cs="宋体"/>
                <w:szCs w:val="21"/>
              </w:rPr>
              <w:t>性能指标</w:t>
            </w:r>
          </w:p>
        </w:tc>
      </w:tr>
      <w:tr>
        <w:tblPrEx>
          <w:tblW w:w="8596" w:type="dxa"/>
          <w:tblInd w:w="14" w:type="dxa"/>
          <w:tblLayout w:type="fixed"/>
          <w:tblCellMar>
            <w:top w:w="0" w:type="dxa"/>
            <w:left w:w="0" w:type="dxa"/>
            <w:bottom w:w="0" w:type="dxa"/>
            <w:right w:w="0" w:type="dxa"/>
          </w:tblCellMar>
        </w:tblPrEx>
        <w:trPr>
          <w:trHeight w:val="237"/>
        </w:trPr>
        <w:tc>
          <w:tcPr>
            <w:tcW w:w="3830" w:type="dxa"/>
          </w:tcPr>
          <w:p>
            <w:pPr>
              <w:spacing w:line="360" w:lineRule="auto"/>
              <w:rPr>
                <w:rFonts w:ascii="宋体" w:eastAsia="等线" w:hAnsi="宋体" w:cs="宋体"/>
                <w:szCs w:val="21"/>
              </w:rPr>
            </w:pPr>
            <w:r>
              <w:rPr>
                <w:rFonts w:ascii="宋体" w:eastAsia="等线" w:hAnsi="宋体" w:cs="宋体"/>
                <w:szCs w:val="21"/>
              </w:rPr>
              <w:t>脉冲压缩主副瓣比</w:t>
            </w:r>
          </w:p>
        </w:tc>
        <w:tc>
          <w:tcPr>
            <w:tcW w:w="4766" w:type="dxa"/>
          </w:tcPr>
          <w:p>
            <w:pPr>
              <w:spacing w:line="360" w:lineRule="auto"/>
              <w:rPr>
                <w:rFonts w:ascii="宋体" w:eastAsia="等线" w:hAnsi="宋体" w:cs="宋体"/>
                <w:szCs w:val="21"/>
              </w:rPr>
            </w:pPr>
            <w:r>
              <w:rPr>
                <w:rFonts w:ascii="宋体" w:eastAsia="等线" w:hAnsi="宋体" w:cs="宋体"/>
                <w:szCs w:val="21"/>
              </w:rPr>
              <w:t>≥40dB（脉压比≥100）</w:t>
            </w:r>
          </w:p>
        </w:tc>
      </w:tr>
      <w:tr>
        <w:tblPrEx>
          <w:tblW w:w="8596" w:type="dxa"/>
          <w:tblInd w:w="14" w:type="dxa"/>
          <w:tblLayout w:type="fixed"/>
          <w:tblCellMar>
            <w:top w:w="0" w:type="dxa"/>
            <w:left w:w="0" w:type="dxa"/>
            <w:bottom w:w="0" w:type="dxa"/>
            <w:right w:w="0" w:type="dxa"/>
          </w:tblCellMar>
        </w:tblPrEx>
        <w:trPr>
          <w:trHeight w:val="239"/>
        </w:trPr>
        <w:tc>
          <w:tcPr>
            <w:tcW w:w="3830" w:type="dxa"/>
          </w:tcPr>
          <w:p>
            <w:pPr>
              <w:spacing w:line="360" w:lineRule="auto"/>
              <w:rPr>
                <w:rFonts w:ascii="宋体" w:eastAsia="等线" w:hAnsi="宋体" w:cs="宋体"/>
                <w:szCs w:val="21"/>
              </w:rPr>
            </w:pPr>
            <w:r>
              <w:rPr>
                <w:rFonts w:ascii="宋体" w:eastAsia="等线" w:hAnsi="宋体" w:cs="宋体"/>
                <w:szCs w:val="21"/>
              </w:rPr>
              <w:t>距离库长度</w:t>
            </w:r>
          </w:p>
        </w:tc>
        <w:tc>
          <w:tcPr>
            <w:tcW w:w="4766" w:type="dxa"/>
          </w:tcPr>
          <w:p>
            <w:pPr>
              <w:spacing w:line="360" w:lineRule="auto"/>
              <w:rPr>
                <w:rFonts w:ascii="宋体" w:eastAsia="等线" w:hAnsi="宋体" w:cs="宋体"/>
                <w:szCs w:val="21"/>
              </w:rPr>
            </w:pPr>
            <w:r>
              <w:rPr>
                <w:rFonts w:ascii="宋体" w:eastAsia="等线" w:hAnsi="宋体" w:cs="宋体"/>
                <w:szCs w:val="21"/>
              </w:rPr>
              <w:t>30m</w:t>
            </w:r>
          </w:p>
        </w:tc>
      </w:tr>
      <w:tr>
        <w:tblPrEx>
          <w:tblW w:w="8596" w:type="dxa"/>
          <w:tblInd w:w="14" w:type="dxa"/>
          <w:tblLayout w:type="fixed"/>
          <w:tblCellMar>
            <w:top w:w="0" w:type="dxa"/>
            <w:left w:w="0" w:type="dxa"/>
            <w:bottom w:w="0" w:type="dxa"/>
            <w:right w:w="0" w:type="dxa"/>
          </w:tblCellMar>
        </w:tblPrEx>
        <w:trPr>
          <w:trHeight w:val="237"/>
        </w:trPr>
        <w:tc>
          <w:tcPr>
            <w:tcW w:w="3830" w:type="dxa"/>
          </w:tcPr>
          <w:p>
            <w:pPr>
              <w:spacing w:line="360" w:lineRule="auto"/>
              <w:rPr>
                <w:rFonts w:ascii="宋体" w:eastAsia="等线" w:hAnsi="宋体" w:cs="宋体"/>
                <w:szCs w:val="21"/>
              </w:rPr>
            </w:pPr>
            <w:r>
              <w:rPr>
                <w:rFonts w:ascii="宋体" w:eastAsia="等线" w:hAnsi="宋体" w:cs="宋体"/>
                <w:szCs w:val="21"/>
              </w:rPr>
              <w:t>距离库数</w:t>
            </w:r>
          </w:p>
        </w:tc>
        <w:tc>
          <w:tcPr>
            <w:tcW w:w="4766" w:type="dxa"/>
          </w:tcPr>
          <w:p>
            <w:pPr>
              <w:spacing w:line="360" w:lineRule="auto"/>
              <w:rPr>
                <w:rFonts w:ascii="宋体" w:eastAsia="等线" w:hAnsi="宋体" w:cs="宋体"/>
                <w:szCs w:val="21"/>
              </w:rPr>
            </w:pPr>
            <w:r>
              <w:rPr>
                <w:rFonts w:ascii="宋体" w:eastAsia="等线" w:hAnsi="宋体" w:cs="宋体"/>
                <w:szCs w:val="21"/>
              </w:rPr>
              <w:t>≥1000 个</w:t>
            </w:r>
          </w:p>
        </w:tc>
      </w:tr>
      <w:tr>
        <w:tblPrEx>
          <w:tblW w:w="8596" w:type="dxa"/>
          <w:tblInd w:w="14" w:type="dxa"/>
          <w:tblLayout w:type="fixed"/>
          <w:tblCellMar>
            <w:top w:w="0" w:type="dxa"/>
            <w:left w:w="0" w:type="dxa"/>
            <w:bottom w:w="0" w:type="dxa"/>
            <w:right w:w="0" w:type="dxa"/>
          </w:tblCellMar>
        </w:tblPrEx>
        <w:trPr>
          <w:trHeight w:val="239"/>
        </w:trPr>
        <w:tc>
          <w:tcPr>
            <w:tcW w:w="3830" w:type="dxa"/>
          </w:tcPr>
          <w:p>
            <w:pPr>
              <w:spacing w:line="360" w:lineRule="auto"/>
              <w:rPr>
                <w:rFonts w:ascii="宋体" w:eastAsia="等线" w:hAnsi="宋体" w:cs="宋体"/>
                <w:szCs w:val="21"/>
              </w:rPr>
            </w:pPr>
            <w:r>
              <w:rPr>
                <w:rFonts w:ascii="宋体" w:eastAsia="等线" w:hAnsi="宋体" w:cs="宋体"/>
                <w:szCs w:val="21"/>
              </w:rPr>
              <w:t>处理方式</w:t>
            </w:r>
          </w:p>
        </w:tc>
        <w:tc>
          <w:tcPr>
            <w:tcW w:w="4766" w:type="dxa"/>
          </w:tcPr>
          <w:p>
            <w:pPr>
              <w:spacing w:line="360" w:lineRule="auto"/>
              <w:rPr>
                <w:rFonts w:ascii="宋体" w:eastAsia="等线" w:hAnsi="宋体" w:cs="宋体"/>
                <w:szCs w:val="21"/>
              </w:rPr>
            </w:pPr>
            <w:r>
              <w:rPr>
                <w:rFonts w:ascii="宋体" w:eastAsia="等线" w:hAnsi="宋体" w:cs="宋体"/>
                <w:szCs w:val="21"/>
              </w:rPr>
              <w:t>FFT（FFT 点数：32～1024）/PPP（处理对数：16～1024）</w:t>
            </w:r>
          </w:p>
        </w:tc>
      </w:tr>
      <w:tr>
        <w:tblPrEx>
          <w:tblW w:w="8596" w:type="dxa"/>
          <w:tblInd w:w="14" w:type="dxa"/>
          <w:tblLayout w:type="fixed"/>
          <w:tblCellMar>
            <w:top w:w="0" w:type="dxa"/>
            <w:left w:w="0" w:type="dxa"/>
            <w:bottom w:w="0" w:type="dxa"/>
            <w:right w:w="0" w:type="dxa"/>
          </w:tblCellMar>
        </w:tblPrEx>
        <w:trPr>
          <w:trHeight w:val="237"/>
        </w:trPr>
        <w:tc>
          <w:tcPr>
            <w:tcW w:w="3830" w:type="dxa"/>
          </w:tcPr>
          <w:p>
            <w:pPr>
              <w:spacing w:line="360" w:lineRule="auto"/>
              <w:rPr>
                <w:rFonts w:ascii="宋体" w:eastAsia="等线" w:hAnsi="宋体" w:cs="宋体"/>
                <w:szCs w:val="21"/>
              </w:rPr>
            </w:pPr>
            <w:r>
              <w:rPr>
                <w:rFonts w:ascii="宋体" w:eastAsia="等线" w:hAnsi="宋体" w:cs="宋体"/>
                <w:szCs w:val="21"/>
              </w:rPr>
              <w:t>相关系数处理方式</w:t>
            </w:r>
          </w:p>
        </w:tc>
        <w:tc>
          <w:tcPr>
            <w:tcW w:w="4766" w:type="dxa"/>
          </w:tcPr>
          <w:p>
            <w:pPr>
              <w:spacing w:line="360" w:lineRule="auto"/>
              <w:rPr>
                <w:rFonts w:ascii="宋体" w:eastAsia="等线" w:hAnsi="宋体" w:cs="宋体"/>
                <w:szCs w:val="21"/>
              </w:rPr>
            </w:pPr>
            <w:r>
              <w:rPr>
                <w:rFonts w:ascii="宋体" w:eastAsia="等线" w:hAnsi="宋体" w:cs="宋体"/>
                <w:szCs w:val="21"/>
              </w:rPr>
              <w:t>一阶相关或多阶相关</w:t>
            </w:r>
          </w:p>
        </w:tc>
      </w:tr>
      <w:tr>
        <w:tblPrEx>
          <w:tblW w:w="8596" w:type="dxa"/>
          <w:tblInd w:w="14" w:type="dxa"/>
          <w:tblLayout w:type="fixed"/>
          <w:tblCellMar>
            <w:top w:w="0" w:type="dxa"/>
            <w:left w:w="0" w:type="dxa"/>
            <w:bottom w:w="0" w:type="dxa"/>
            <w:right w:w="0" w:type="dxa"/>
          </w:tblCellMar>
        </w:tblPrEx>
        <w:trPr>
          <w:trHeight w:val="237"/>
        </w:trPr>
        <w:tc>
          <w:tcPr>
            <w:tcW w:w="3830" w:type="dxa"/>
          </w:tcPr>
          <w:p>
            <w:pPr>
              <w:spacing w:line="360" w:lineRule="auto"/>
              <w:rPr>
                <w:rFonts w:ascii="宋体" w:eastAsia="等线" w:hAnsi="宋体" w:cs="宋体"/>
                <w:szCs w:val="21"/>
              </w:rPr>
            </w:pPr>
            <w:r>
              <w:rPr>
                <w:rFonts w:ascii="宋体" w:eastAsia="等线" w:hAnsi="宋体" w:cs="宋体"/>
                <w:szCs w:val="21"/>
              </w:rPr>
              <w:t>地物杂波抑制比</w:t>
            </w:r>
          </w:p>
        </w:tc>
        <w:tc>
          <w:tcPr>
            <w:tcW w:w="4766" w:type="dxa"/>
          </w:tcPr>
          <w:p>
            <w:pPr>
              <w:spacing w:line="360" w:lineRule="auto"/>
              <w:rPr>
                <w:rFonts w:ascii="宋体" w:eastAsia="等线" w:hAnsi="宋体" w:cs="宋体"/>
                <w:szCs w:val="21"/>
              </w:rPr>
            </w:pPr>
            <w:r>
              <w:rPr>
                <w:rFonts w:ascii="宋体" w:eastAsia="等线" w:hAnsi="宋体" w:cs="宋体"/>
                <w:szCs w:val="21"/>
              </w:rPr>
              <w:t>≥42dB</w:t>
            </w:r>
          </w:p>
        </w:tc>
      </w:tr>
      <w:tr>
        <w:tblPrEx>
          <w:tblW w:w="8596" w:type="dxa"/>
          <w:tblInd w:w="14" w:type="dxa"/>
          <w:tblLayout w:type="fixed"/>
          <w:tblCellMar>
            <w:top w:w="0" w:type="dxa"/>
            <w:left w:w="0" w:type="dxa"/>
            <w:bottom w:w="0" w:type="dxa"/>
            <w:right w:w="0" w:type="dxa"/>
          </w:tblCellMar>
        </w:tblPrEx>
        <w:trPr>
          <w:trHeight w:val="239"/>
        </w:trPr>
        <w:tc>
          <w:tcPr>
            <w:tcW w:w="3830" w:type="dxa"/>
          </w:tcPr>
          <w:p>
            <w:pPr>
              <w:spacing w:line="360" w:lineRule="auto"/>
              <w:rPr>
                <w:rFonts w:ascii="宋体" w:eastAsia="等线" w:hAnsi="宋体" w:cs="宋体"/>
                <w:szCs w:val="21"/>
              </w:rPr>
            </w:pPr>
            <w:r>
              <w:rPr>
                <w:rFonts w:ascii="宋体" w:eastAsia="等线" w:hAnsi="宋体" w:cs="宋体"/>
                <w:szCs w:val="21"/>
              </w:rPr>
              <w:t>距离退折叠方法</w:t>
            </w:r>
          </w:p>
        </w:tc>
        <w:tc>
          <w:tcPr>
            <w:tcW w:w="4766" w:type="dxa"/>
          </w:tcPr>
          <w:p>
            <w:pPr>
              <w:spacing w:line="360" w:lineRule="auto"/>
              <w:rPr>
                <w:rFonts w:ascii="宋体" w:eastAsia="等线" w:hAnsi="宋体" w:cs="宋体"/>
                <w:szCs w:val="21"/>
              </w:rPr>
            </w:pPr>
            <w:r>
              <w:rPr>
                <w:rFonts w:ascii="宋体" w:eastAsia="等线" w:hAnsi="宋体" w:cs="宋体"/>
                <w:szCs w:val="21"/>
              </w:rPr>
              <w:t>相位编码或其他等效方法</w:t>
            </w:r>
          </w:p>
        </w:tc>
      </w:tr>
      <w:tr>
        <w:tblPrEx>
          <w:tblW w:w="8596" w:type="dxa"/>
          <w:tblInd w:w="14" w:type="dxa"/>
          <w:tblLayout w:type="fixed"/>
          <w:tblCellMar>
            <w:top w:w="0" w:type="dxa"/>
            <w:left w:w="0" w:type="dxa"/>
            <w:bottom w:w="0" w:type="dxa"/>
            <w:right w:w="0" w:type="dxa"/>
          </w:tblCellMar>
        </w:tblPrEx>
        <w:trPr>
          <w:trHeight w:val="242"/>
        </w:trPr>
        <w:tc>
          <w:tcPr>
            <w:tcW w:w="3830" w:type="dxa"/>
          </w:tcPr>
          <w:p>
            <w:pPr>
              <w:spacing w:line="360" w:lineRule="auto"/>
              <w:rPr>
                <w:rFonts w:ascii="宋体" w:eastAsia="等线" w:hAnsi="宋体" w:cs="宋体"/>
                <w:szCs w:val="21"/>
              </w:rPr>
            </w:pPr>
            <w:r>
              <w:rPr>
                <w:rFonts w:ascii="宋体" w:eastAsia="等线" w:hAnsi="宋体" w:cs="宋体"/>
                <w:szCs w:val="21"/>
              </w:rPr>
              <w:t>速度退模糊方法</w:t>
            </w:r>
          </w:p>
        </w:tc>
        <w:tc>
          <w:tcPr>
            <w:tcW w:w="4766" w:type="dxa"/>
          </w:tcPr>
          <w:p>
            <w:pPr>
              <w:spacing w:line="360" w:lineRule="auto"/>
              <w:rPr>
                <w:rFonts w:ascii="宋体" w:eastAsia="等线" w:hAnsi="宋体" w:cs="宋体"/>
                <w:szCs w:val="21"/>
              </w:rPr>
            </w:pPr>
            <w:r>
              <w:rPr>
                <w:rFonts w:ascii="宋体" w:eastAsia="等线" w:hAnsi="宋体" w:cs="宋体"/>
                <w:szCs w:val="21"/>
              </w:rPr>
              <w:t>双重频或其他等效方法</w:t>
            </w:r>
          </w:p>
        </w:tc>
      </w:tr>
    </w:tbl>
    <w:p>
      <w:pPr>
        <w:pStyle w:val="Heading7"/>
        <w:spacing w:before="0"/>
        <w:rPr>
          <w:color w:val="auto"/>
          <w:szCs w:val="21"/>
        </w:rPr>
      </w:pPr>
      <w:r>
        <w:rPr>
          <w:rFonts w:hint="eastAsia"/>
          <w:color w:val="auto"/>
          <w:szCs w:val="21"/>
        </w:rPr>
        <w:t>1.15.11.7气象产品</w:t>
      </w:r>
    </w:p>
    <w:p>
      <w:pPr>
        <w:spacing w:line="360" w:lineRule="auto"/>
        <w:ind w:firstLine="420" w:firstLineChars="200"/>
        <w:rPr>
          <w:rFonts w:ascii="宋体" w:hAnsi="宋体" w:cs="宋体"/>
          <w:szCs w:val="21"/>
        </w:rPr>
      </w:pPr>
      <w:r>
        <w:rPr>
          <w:rFonts w:ascii="宋体" w:hAnsi="宋体" w:cs="宋体" w:hint="eastAsia"/>
          <w:szCs w:val="21"/>
        </w:rPr>
        <w:t>气象产品包含以下内容。</w:t>
      </w:r>
    </w:p>
    <w:p>
      <w:pPr>
        <w:pStyle w:val="a2"/>
        <w:spacing w:line="360" w:lineRule="auto"/>
        <w:rPr>
          <w:rFonts w:ascii="宋体" w:hAnsi="宋体"/>
          <w:szCs w:val="21"/>
        </w:rPr>
      </w:pPr>
      <w:r>
        <w:rPr>
          <w:rFonts w:ascii="宋体" w:hAnsi="宋体" w:hint="eastAsia"/>
          <w:szCs w:val="21"/>
        </w:rPr>
        <w:t>表12 恒温系统技术性能指标表</w:t>
      </w:r>
    </w:p>
    <w:tbl>
      <w:tblPr>
        <w:tblStyle w:val="TableNormal0"/>
        <w:tblW w:w="8620"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3845"/>
        <w:gridCol w:w="4775"/>
      </w:tblGrid>
      <w:tr>
        <w:tblPrEx>
          <w:tblW w:w="8620"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90"/>
        </w:trPr>
        <w:tc>
          <w:tcPr>
            <w:tcW w:w="3845" w:type="dxa"/>
          </w:tcPr>
          <w:p>
            <w:pPr>
              <w:pStyle w:val="a2"/>
              <w:spacing w:line="360" w:lineRule="auto"/>
              <w:ind w:firstLine="0"/>
              <w:jc w:val="both"/>
              <w:rPr>
                <w:rFonts w:ascii="宋体" w:hAnsi="宋体" w:cs="宋体"/>
                <w:szCs w:val="21"/>
              </w:rPr>
            </w:pPr>
            <w:r>
              <w:rPr>
                <w:rFonts w:ascii="宋体" w:hAnsi="宋体" w:cs="宋体" w:hint="eastAsia"/>
                <w:szCs w:val="21"/>
              </w:rPr>
              <w:t>产品类型</w:t>
            </w:r>
          </w:p>
        </w:tc>
        <w:tc>
          <w:tcPr>
            <w:tcW w:w="4775" w:type="dxa"/>
          </w:tcPr>
          <w:p>
            <w:pPr>
              <w:pStyle w:val="a2"/>
              <w:spacing w:line="360" w:lineRule="auto"/>
              <w:ind w:firstLine="0"/>
              <w:jc w:val="both"/>
              <w:rPr>
                <w:rFonts w:ascii="宋体" w:hAnsi="宋体" w:cs="宋体"/>
                <w:szCs w:val="21"/>
              </w:rPr>
            </w:pPr>
            <w:r>
              <w:rPr>
                <w:rFonts w:ascii="宋体" w:hAnsi="宋体" w:cs="宋体" w:hint="eastAsia"/>
                <w:szCs w:val="21"/>
              </w:rPr>
              <w:t>产品名称</w:t>
            </w:r>
          </w:p>
        </w:tc>
      </w:tr>
      <w:tr>
        <w:tblPrEx>
          <w:tblW w:w="8620" w:type="dxa"/>
          <w:tblInd w:w="2" w:type="dxa"/>
          <w:tblLayout w:type="fixed"/>
          <w:tblCellMar>
            <w:top w:w="0" w:type="dxa"/>
            <w:left w:w="0" w:type="dxa"/>
            <w:bottom w:w="0" w:type="dxa"/>
            <w:right w:w="0" w:type="dxa"/>
          </w:tblCellMar>
        </w:tblPrEx>
        <w:trPr>
          <w:trHeight w:val="237"/>
        </w:trPr>
        <w:tc>
          <w:tcPr>
            <w:tcW w:w="3845" w:type="dxa"/>
          </w:tcPr>
          <w:p>
            <w:pPr>
              <w:pStyle w:val="a2"/>
              <w:spacing w:line="360" w:lineRule="auto"/>
              <w:ind w:firstLine="0"/>
              <w:jc w:val="both"/>
              <w:rPr>
                <w:rFonts w:ascii="宋体" w:hAnsi="宋体" w:cs="宋体"/>
                <w:szCs w:val="21"/>
              </w:rPr>
            </w:pPr>
            <w:r>
              <w:rPr>
                <w:rFonts w:ascii="宋体" w:hAnsi="宋体" w:cs="宋体" w:hint="eastAsia"/>
                <w:szCs w:val="21"/>
              </w:rPr>
              <w:t>原始数据产品</w:t>
            </w:r>
          </w:p>
        </w:tc>
        <w:tc>
          <w:tcPr>
            <w:tcW w:w="4775" w:type="dxa"/>
          </w:tcPr>
          <w:p>
            <w:pPr>
              <w:pStyle w:val="a2"/>
              <w:spacing w:line="360" w:lineRule="auto"/>
              <w:ind w:firstLine="0"/>
              <w:jc w:val="both"/>
              <w:rPr>
                <w:rFonts w:ascii="宋体" w:hAnsi="宋体" w:cs="宋体"/>
                <w:szCs w:val="21"/>
              </w:rPr>
            </w:pPr>
            <w:r>
              <w:rPr>
                <w:rFonts w:ascii="宋体" w:hAnsi="宋体" w:cs="宋体" w:hint="eastAsia"/>
                <w:szCs w:val="21"/>
              </w:rPr>
              <w:t>功率谱（FFT）</w:t>
            </w:r>
          </w:p>
        </w:tc>
      </w:tr>
      <w:tr>
        <w:tblPrEx>
          <w:tblW w:w="8620" w:type="dxa"/>
          <w:tblInd w:w="2" w:type="dxa"/>
          <w:tblLayout w:type="fixed"/>
          <w:tblCellMar>
            <w:top w:w="0" w:type="dxa"/>
            <w:left w:w="0" w:type="dxa"/>
            <w:bottom w:w="0" w:type="dxa"/>
            <w:right w:w="0" w:type="dxa"/>
          </w:tblCellMar>
        </w:tblPrEx>
        <w:trPr>
          <w:trHeight w:val="563"/>
        </w:trPr>
        <w:tc>
          <w:tcPr>
            <w:tcW w:w="3845" w:type="dxa"/>
          </w:tcPr>
          <w:p>
            <w:pPr>
              <w:pStyle w:val="a2"/>
              <w:spacing w:line="360" w:lineRule="auto"/>
              <w:ind w:firstLine="0"/>
              <w:jc w:val="both"/>
              <w:rPr>
                <w:rFonts w:ascii="宋体" w:hAnsi="宋体" w:cs="宋体"/>
                <w:szCs w:val="21"/>
              </w:rPr>
            </w:pPr>
            <w:r>
              <w:rPr>
                <w:rFonts w:ascii="宋体" w:hAnsi="宋体" w:cs="宋体" w:hint="eastAsia"/>
                <w:szCs w:val="21"/>
              </w:rPr>
              <w:t>基数据产品</w:t>
            </w:r>
          </w:p>
        </w:tc>
        <w:tc>
          <w:tcPr>
            <w:tcW w:w="4775" w:type="dxa"/>
          </w:tcPr>
          <w:p>
            <w:pPr>
              <w:pStyle w:val="a2"/>
              <w:spacing w:line="360" w:lineRule="auto"/>
              <w:ind w:firstLine="0"/>
              <w:jc w:val="both"/>
              <w:rPr>
                <w:rFonts w:ascii="宋体" w:hAnsi="宋体" w:cs="宋体"/>
                <w:szCs w:val="21"/>
              </w:rPr>
            </w:pPr>
            <w:r>
              <w:rPr>
                <w:rFonts w:ascii="宋体" w:hAnsi="宋体" w:cs="宋体" w:hint="eastAsia"/>
                <w:szCs w:val="21"/>
              </w:rPr>
              <w:t>反射率因子（Z）</w:t>
            </w:r>
          </w:p>
          <w:p>
            <w:pPr>
              <w:pStyle w:val="a2"/>
              <w:spacing w:line="360" w:lineRule="auto"/>
              <w:ind w:firstLine="0"/>
              <w:jc w:val="both"/>
              <w:rPr>
                <w:rFonts w:ascii="宋体" w:hAnsi="宋体" w:cs="宋体"/>
                <w:szCs w:val="21"/>
              </w:rPr>
            </w:pPr>
            <w:r>
              <w:rPr>
                <w:rFonts w:ascii="宋体" w:hAnsi="宋体" w:cs="宋体" w:hint="eastAsia"/>
                <w:szCs w:val="21"/>
              </w:rPr>
              <w:t>径向速度（V）</w:t>
            </w:r>
          </w:p>
          <w:p>
            <w:pPr>
              <w:pStyle w:val="a2"/>
              <w:spacing w:line="360" w:lineRule="auto"/>
              <w:ind w:firstLine="0"/>
              <w:jc w:val="both"/>
              <w:rPr>
                <w:rFonts w:ascii="宋体" w:hAnsi="宋体" w:cs="宋体"/>
                <w:szCs w:val="21"/>
              </w:rPr>
            </w:pPr>
            <w:r>
              <w:rPr>
                <w:rFonts w:ascii="宋体" w:hAnsi="宋体" w:cs="宋体" w:hint="eastAsia"/>
                <w:szCs w:val="21"/>
              </w:rPr>
              <w:t>速度谱宽（W）</w:t>
            </w:r>
          </w:p>
          <w:p>
            <w:pPr>
              <w:pStyle w:val="a2"/>
              <w:spacing w:line="360" w:lineRule="auto"/>
              <w:ind w:firstLine="0"/>
              <w:jc w:val="both"/>
              <w:rPr>
                <w:rFonts w:ascii="宋体" w:hAnsi="宋体" w:cs="宋体"/>
                <w:szCs w:val="21"/>
              </w:rPr>
            </w:pPr>
            <w:r>
              <w:rPr>
                <w:rFonts w:ascii="宋体" w:hAnsi="宋体" w:cs="宋体" w:hint="eastAsia"/>
                <w:szCs w:val="21"/>
              </w:rPr>
              <w:t>信噪比（SNR）</w:t>
            </w:r>
          </w:p>
          <w:p>
            <w:pPr>
              <w:pStyle w:val="a2"/>
              <w:spacing w:line="360" w:lineRule="auto"/>
              <w:ind w:firstLine="0"/>
              <w:jc w:val="both"/>
              <w:rPr>
                <w:rFonts w:ascii="宋体" w:hAnsi="宋体" w:cs="宋体"/>
                <w:szCs w:val="21"/>
              </w:rPr>
            </w:pPr>
            <w:r>
              <w:rPr>
                <w:rFonts w:ascii="宋体" w:hAnsi="宋体" w:cs="宋体" w:hint="eastAsia"/>
                <w:szCs w:val="21"/>
              </w:rPr>
              <w:t>退偏振比（LDR）（单发双收偏振模式） 差分反射率因子（ZDR）</w:t>
            </w:r>
          </w:p>
          <w:p>
            <w:pPr>
              <w:pStyle w:val="a2"/>
              <w:spacing w:line="360" w:lineRule="auto"/>
              <w:ind w:firstLine="0"/>
              <w:jc w:val="both"/>
              <w:rPr>
                <w:rFonts w:ascii="宋体" w:hAnsi="宋体" w:cs="宋体"/>
                <w:szCs w:val="21"/>
              </w:rPr>
            </w:pPr>
            <w:r>
              <w:rPr>
                <w:rFonts w:ascii="宋体" w:hAnsi="宋体" w:cs="宋体" w:hint="eastAsia"/>
                <w:szCs w:val="21"/>
              </w:rPr>
              <w:t>差分传播相移(ΦDP）</w:t>
            </w:r>
          </w:p>
          <w:p>
            <w:pPr>
              <w:pStyle w:val="a2"/>
              <w:spacing w:line="360" w:lineRule="auto"/>
              <w:ind w:firstLine="0"/>
              <w:jc w:val="both"/>
              <w:rPr>
                <w:rFonts w:ascii="宋体" w:hAnsi="宋体" w:cs="宋体"/>
                <w:szCs w:val="21"/>
              </w:rPr>
            </w:pPr>
            <w:r>
              <w:rPr>
                <w:rFonts w:ascii="宋体" w:hAnsi="宋体" w:cs="宋体" w:hint="eastAsia"/>
                <w:szCs w:val="21"/>
              </w:rPr>
              <w:t>差分传播相移率（KDP）</w:t>
            </w:r>
          </w:p>
          <w:p>
            <w:pPr>
              <w:pStyle w:val="a2"/>
              <w:spacing w:line="360" w:lineRule="auto"/>
              <w:ind w:firstLine="0"/>
              <w:jc w:val="both"/>
              <w:rPr>
                <w:rFonts w:ascii="宋体" w:hAnsi="宋体" w:cs="宋体"/>
                <w:szCs w:val="21"/>
              </w:rPr>
            </w:pPr>
            <w:r>
              <w:rPr>
                <w:rFonts w:ascii="宋体" w:hAnsi="宋体" w:cs="宋体" w:hint="eastAsia"/>
                <w:szCs w:val="21"/>
              </w:rPr>
              <w:t>相关系数(ρHV）</w:t>
            </w:r>
          </w:p>
        </w:tc>
      </w:tr>
      <w:tr>
        <w:tblPrEx>
          <w:tblW w:w="8620" w:type="dxa"/>
          <w:tblInd w:w="2" w:type="dxa"/>
          <w:tblLayout w:type="fixed"/>
          <w:tblCellMar>
            <w:top w:w="0" w:type="dxa"/>
            <w:left w:w="0" w:type="dxa"/>
            <w:bottom w:w="0" w:type="dxa"/>
            <w:right w:w="0" w:type="dxa"/>
          </w:tblCellMar>
        </w:tblPrEx>
        <w:trPr>
          <w:trHeight w:val="1174"/>
        </w:trPr>
        <w:tc>
          <w:tcPr>
            <w:tcW w:w="3845" w:type="dxa"/>
          </w:tcPr>
          <w:p>
            <w:pPr>
              <w:pStyle w:val="a2"/>
              <w:spacing w:line="360" w:lineRule="auto"/>
              <w:ind w:firstLine="0"/>
              <w:jc w:val="both"/>
              <w:rPr>
                <w:rFonts w:ascii="宋体" w:hAnsi="宋体" w:cs="宋体"/>
                <w:szCs w:val="21"/>
              </w:rPr>
            </w:pPr>
            <w:r>
              <w:rPr>
                <w:rFonts w:ascii="宋体" w:hAnsi="宋体" w:cs="宋体" w:hint="eastAsia"/>
                <w:szCs w:val="21"/>
              </w:rPr>
              <w:t>物理量产品</w:t>
            </w:r>
          </w:p>
        </w:tc>
        <w:tc>
          <w:tcPr>
            <w:tcW w:w="4775" w:type="dxa"/>
          </w:tcPr>
          <w:p>
            <w:pPr>
              <w:pStyle w:val="a2"/>
              <w:spacing w:line="360" w:lineRule="auto"/>
              <w:ind w:firstLine="0"/>
              <w:jc w:val="both"/>
              <w:rPr>
                <w:rFonts w:ascii="宋体" w:hAnsi="宋体" w:cs="宋体"/>
                <w:szCs w:val="21"/>
              </w:rPr>
            </w:pPr>
            <w:r>
              <w:rPr>
                <w:rFonts w:ascii="宋体" w:hAnsi="宋体" w:cs="宋体" w:hint="eastAsia"/>
                <w:szCs w:val="21"/>
              </w:rPr>
              <w:t>云顶高度（CT） 云底高度（CB） 云量（CC）</w:t>
            </w:r>
          </w:p>
          <w:p>
            <w:pPr>
              <w:pStyle w:val="a2"/>
              <w:spacing w:line="360" w:lineRule="auto"/>
              <w:ind w:firstLine="0"/>
              <w:jc w:val="both"/>
              <w:rPr>
                <w:rFonts w:ascii="宋体" w:hAnsi="宋体" w:cs="宋体"/>
                <w:szCs w:val="21"/>
              </w:rPr>
            </w:pPr>
            <w:r>
              <w:rPr>
                <w:rFonts w:ascii="宋体" w:hAnsi="宋体" w:cs="宋体" w:hint="eastAsia"/>
                <w:szCs w:val="21"/>
              </w:rPr>
              <w:t>云粒子相态（CHCL） 零度层高度（BB）</w:t>
            </w:r>
          </w:p>
        </w:tc>
      </w:tr>
    </w:tbl>
    <w:p>
      <w:pPr>
        <w:spacing w:line="360" w:lineRule="auto"/>
        <w:ind w:firstLine="420" w:firstLineChars="200"/>
        <w:rPr>
          <w:rFonts w:ascii="宋体" w:hAnsi="宋体" w:cs="宋体"/>
          <w:szCs w:val="21"/>
        </w:rPr>
      </w:pPr>
    </w:p>
    <w:p/>
    <w:p>
      <w:pPr>
        <w:spacing w:line="360" w:lineRule="auto"/>
        <w:rPr>
          <w:rFonts w:ascii="宋体" w:hAnsi="宋体"/>
          <w:szCs w:val="21"/>
        </w:rPr>
      </w:pPr>
    </w:p>
    <w:p>
      <w:pPr>
        <w:spacing w:line="360" w:lineRule="auto"/>
        <w:outlineLvl w:val="2"/>
        <w:rPr>
          <w:rFonts w:ascii="宋体" w:hAnsi="宋体"/>
          <w:b/>
          <w:bCs/>
          <w:szCs w:val="21"/>
        </w:rPr>
      </w:pPr>
      <w:r>
        <w:rPr>
          <w:rFonts w:ascii="宋体" w:hAnsi="宋体" w:hint="eastAsia"/>
          <w:b/>
          <w:bCs/>
          <w:szCs w:val="21"/>
        </w:rPr>
        <w:t>1.16小型旋翼无人机</w:t>
      </w:r>
    </w:p>
    <w:p>
      <w:pPr>
        <w:spacing w:line="360" w:lineRule="auto"/>
        <w:ind w:firstLine="420" w:firstLineChars="200"/>
        <w:rPr>
          <w:rFonts w:ascii="宋体" w:hAnsi="宋体"/>
          <w:szCs w:val="21"/>
        </w:rPr>
      </w:pPr>
      <w:r>
        <w:rPr>
          <w:rFonts w:ascii="宋体" w:hAnsi="宋体" w:hint="eastAsia"/>
          <w:szCs w:val="21"/>
        </w:rPr>
        <w:t>小型旋翼无人机由无人机平台、无人机遥控器、云台相机组成，同时支持搭载国内无人机气象模块负载，进行气象多参数多要素测量。支持飞行轨迹编程、远程控制、一键起降功能，配备专业化操作软件，操作简单易上手;具有模块化吊舱设计，可根据任务需要搭载不同任务吊舱。</w:t>
      </w:r>
    </w:p>
    <w:p>
      <w:pPr>
        <w:spacing w:line="360" w:lineRule="auto"/>
        <w:ind w:firstLine="420" w:firstLineChars="200"/>
        <w:rPr>
          <w:rFonts w:ascii="宋体" w:hAnsi="宋体"/>
          <w:szCs w:val="21"/>
        </w:rPr>
      </w:pPr>
      <w:r>
        <w:rPr>
          <w:rFonts w:ascii="宋体" w:hAnsi="宋体"/>
          <w:szCs w:val="21"/>
        </w:rPr>
        <w:t>小型旋翼无人机技术参数应符合或者高于下表要求：</w:t>
      </w:r>
    </w:p>
    <w:p>
      <w:pPr>
        <w:spacing w:line="360" w:lineRule="auto"/>
        <w:jc w:val="center"/>
        <w:rPr>
          <w:rFonts w:ascii="宋体" w:hAnsi="宋体"/>
          <w:szCs w:val="21"/>
        </w:rPr>
      </w:pPr>
      <w:r>
        <w:rPr>
          <w:rFonts w:ascii="宋体" w:hAnsi="宋体"/>
          <w:b/>
          <w:bCs/>
          <w:szCs w:val="21"/>
        </w:rPr>
        <w:t>小型旋翼无人机设备技术参数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168"/>
        <w:gridCol w:w="7354"/>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85"/>
          <w:jc w:val="center"/>
        </w:trPr>
        <w:tc>
          <w:tcPr>
            <w:tcW w:w="679" w:type="pct"/>
            <w:noWrap/>
            <w:vAlign w:val="center"/>
          </w:tcPr>
          <w:p>
            <w:pPr>
              <w:widowControl/>
              <w:jc w:val="left"/>
              <w:rPr>
                <w:rFonts w:ascii="宋体" w:hAnsi="宋体"/>
                <w:szCs w:val="21"/>
              </w:rPr>
            </w:pPr>
            <w:r>
              <w:rPr>
                <w:rFonts w:ascii="宋体" w:hAnsi="宋体" w:hint="eastAsia"/>
                <w:szCs w:val="21"/>
              </w:rPr>
              <w:t>项目</w:t>
            </w:r>
          </w:p>
        </w:tc>
        <w:tc>
          <w:tcPr>
            <w:tcW w:w="4320" w:type="pct"/>
            <w:noWrap/>
            <w:vAlign w:val="bottom"/>
          </w:tcPr>
          <w:p>
            <w:pPr>
              <w:widowControl/>
              <w:jc w:val="left"/>
              <w:rPr>
                <w:rFonts w:ascii="宋体" w:hAnsi="宋体"/>
                <w:szCs w:val="21"/>
              </w:rPr>
            </w:pPr>
            <w:r>
              <w:rPr>
                <w:rFonts w:ascii="宋体" w:hAnsi="宋体" w:hint="eastAsia"/>
                <w:szCs w:val="21"/>
              </w:rPr>
              <w:t>参数</w:t>
            </w:r>
          </w:p>
        </w:tc>
      </w:tr>
      <w:tr>
        <w:tblPrEx>
          <w:tblW w:w="5000" w:type="pct"/>
          <w:jc w:val="center"/>
          <w:tblCellMar>
            <w:top w:w="0" w:type="dxa"/>
            <w:left w:w="108" w:type="dxa"/>
            <w:bottom w:w="0" w:type="dxa"/>
            <w:right w:w="108" w:type="dxa"/>
          </w:tblCellMar>
        </w:tblPrEx>
        <w:trPr>
          <w:trHeight w:val="285"/>
          <w:jc w:val="center"/>
        </w:trPr>
        <w:tc>
          <w:tcPr>
            <w:tcW w:w="679" w:type="pct"/>
            <w:noWrap/>
            <w:vAlign w:val="center"/>
          </w:tcPr>
          <w:p>
            <w:pPr>
              <w:widowControl/>
              <w:jc w:val="left"/>
              <w:rPr>
                <w:rFonts w:ascii="宋体" w:hAnsi="宋体"/>
                <w:szCs w:val="21"/>
              </w:rPr>
            </w:pPr>
            <w:r>
              <w:rPr>
                <w:rFonts w:ascii="宋体" w:hAnsi="宋体" w:hint="eastAsia"/>
                <w:szCs w:val="21"/>
              </w:rPr>
              <w:t>飞行高度</w:t>
            </w:r>
          </w:p>
        </w:tc>
        <w:tc>
          <w:tcPr>
            <w:tcW w:w="4320" w:type="pct"/>
            <w:noWrap/>
            <w:vAlign w:val="bottom"/>
          </w:tcPr>
          <w:p>
            <w:pPr>
              <w:widowControl/>
              <w:jc w:val="left"/>
              <w:rPr>
                <w:rFonts w:ascii="宋体" w:hAnsi="宋体"/>
                <w:szCs w:val="21"/>
              </w:rPr>
            </w:pPr>
            <w:r>
              <w:rPr>
                <w:rFonts w:ascii="宋体" w:hAnsi="宋体" w:hint="eastAsia"/>
                <w:szCs w:val="21"/>
              </w:rPr>
              <w:t>0～500m（电子限高）；</w:t>
            </w:r>
          </w:p>
        </w:tc>
      </w:tr>
      <w:tr>
        <w:tblPrEx>
          <w:tblW w:w="5000" w:type="pct"/>
          <w:jc w:val="center"/>
          <w:tblCellMar>
            <w:top w:w="0" w:type="dxa"/>
            <w:left w:w="108" w:type="dxa"/>
            <w:bottom w:w="0" w:type="dxa"/>
            <w:right w:w="108" w:type="dxa"/>
          </w:tblCellMar>
        </w:tblPrEx>
        <w:trPr>
          <w:trHeight w:val="285"/>
          <w:jc w:val="center"/>
        </w:trPr>
        <w:tc>
          <w:tcPr>
            <w:tcW w:w="679" w:type="pct"/>
            <w:noWrap/>
            <w:vAlign w:val="center"/>
          </w:tcPr>
          <w:p>
            <w:pPr>
              <w:widowControl/>
              <w:jc w:val="left"/>
              <w:rPr>
                <w:rFonts w:ascii="宋体" w:hAnsi="宋体"/>
                <w:szCs w:val="21"/>
              </w:rPr>
            </w:pPr>
            <w:r>
              <w:rPr>
                <w:rFonts w:ascii="宋体" w:hAnsi="宋体" w:hint="eastAsia"/>
                <w:szCs w:val="21"/>
              </w:rPr>
              <w:t>电池</w:t>
            </w:r>
          </w:p>
        </w:tc>
        <w:tc>
          <w:tcPr>
            <w:tcW w:w="4320" w:type="pct"/>
            <w:noWrap/>
            <w:vAlign w:val="bottom"/>
          </w:tcPr>
          <w:p>
            <w:pPr>
              <w:widowControl/>
              <w:jc w:val="left"/>
              <w:rPr>
                <w:rFonts w:ascii="宋体" w:hAnsi="宋体"/>
                <w:szCs w:val="21"/>
              </w:rPr>
            </w:pPr>
            <w:r>
              <w:rPr>
                <w:rFonts w:ascii="宋体" w:hAnsi="宋体" w:hint="eastAsia"/>
                <w:szCs w:val="21"/>
              </w:rPr>
              <w:t>2块智能动力电池，提供≥30min续航；</w:t>
            </w:r>
          </w:p>
        </w:tc>
      </w:tr>
      <w:tr>
        <w:tblPrEx>
          <w:tblW w:w="5000" w:type="pct"/>
          <w:jc w:val="center"/>
          <w:tblCellMar>
            <w:top w:w="0" w:type="dxa"/>
            <w:left w:w="108" w:type="dxa"/>
            <w:bottom w:w="0" w:type="dxa"/>
            <w:right w:w="108" w:type="dxa"/>
          </w:tblCellMar>
        </w:tblPrEx>
        <w:trPr>
          <w:trHeight w:val="285"/>
          <w:jc w:val="center"/>
        </w:trPr>
        <w:tc>
          <w:tcPr>
            <w:tcW w:w="679" w:type="pct"/>
            <w:noWrap/>
            <w:vAlign w:val="center"/>
          </w:tcPr>
          <w:p>
            <w:pPr>
              <w:widowControl/>
              <w:jc w:val="left"/>
              <w:rPr>
                <w:rFonts w:ascii="宋体" w:hAnsi="宋体"/>
                <w:szCs w:val="21"/>
              </w:rPr>
            </w:pPr>
            <w:r>
              <w:rPr>
                <w:rFonts w:ascii="宋体" w:hAnsi="宋体" w:hint="eastAsia"/>
                <w:szCs w:val="21"/>
              </w:rPr>
              <w:t>地面站遥控距离</w:t>
            </w:r>
          </w:p>
        </w:tc>
        <w:tc>
          <w:tcPr>
            <w:tcW w:w="4320" w:type="pct"/>
            <w:noWrap/>
            <w:vAlign w:val="bottom"/>
          </w:tcPr>
          <w:p>
            <w:pPr>
              <w:widowControl/>
              <w:jc w:val="left"/>
              <w:rPr>
                <w:rFonts w:ascii="宋体" w:hAnsi="宋体"/>
                <w:szCs w:val="21"/>
              </w:rPr>
            </w:pPr>
            <w:r>
              <w:rPr>
                <w:rFonts w:ascii="宋体" w:hAnsi="宋体" w:hint="eastAsia"/>
                <w:szCs w:val="21"/>
              </w:rPr>
              <w:t>大于5km；</w:t>
            </w:r>
          </w:p>
        </w:tc>
      </w:tr>
      <w:tr>
        <w:tblPrEx>
          <w:tblW w:w="5000" w:type="pct"/>
          <w:jc w:val="center"/>
          <w:tblCellMar>
            <w:top w:w="0" w:type="dxa"/>
            <w:left w:w="108" w:type="dxa"/>
            <w:bottom w:w="0" w:type="dxa"/>
            <w:right w:w="108" w:type="dxa"/>
          </w:tblCellMar>
        </w:tblPrEx>
        <w:trPr>
          <w:trHeight w:val="285"/>
          <w:jc w:val="center"/>
        </w:trPr>
        <w:tc>
          <w:tcPr>
            <w:tcW w:w="679" w:type="pct"/>
            <w:noWrap/>
            <w:vAlign w:val="center"/>
          </w:tcPr>
          <w:p>
            <w:pPr>
              <w:widowControl/>
              <w:jc w:val="left"/>
              <w:rPr>
                <w:rFonts w:ascii="宋体" w:hAnsi="宋体"/>
                <w:szCs w:val="21"/>
              </w:rPr>
            </w:pPr>
            <w:r>
              <w:rPr>
                <w:rFonts w:ascii="宋体" w:hAnsi="宋体" w:hint="eastAsia"/>
                <w:szCs w:val="21"/>
              </w:rPr>
              <w:t>重量</w:t>
            </w:r>
          </w:p>
        </w:tc>
        <w:tc>
          <w:tcPr>
            <w:tcW w:w="4320" w:type="pct"/>
            <w:noWrap/>
            <w:vAlign w:val="bottom"/>
          </w:tcPr>
          <w:p>
            <w:pPr>
              <w:widowControl/>
              <w:jc w:val="left"/>
              <w:rPr>
                <w:rFonts w:ascii="宋体" w:hAnsi="宋体"/>
                <w:szCs w:val="21"/>
              </w:rPr>
            </w:pPr>
            <w:r>
              <w:rPr>
                <w:rFonts w:ascii="宋体" w:hAnsi="宋体" w:hint="eastAsia"/>
                <w:szCs w:val="21"/>
              </w:rPr>
              <w:t>小于20kg，满足便携性要求；</w:t>
            </w:r>
          </w:p>
        </w:tc>
      </w:tr>
      <w:tr>
        <w:tblPrEx>
          <w:tblW w:w="5000" w:type="pct"/>
          <w:jc w:val="center"/>
          <w:tblCellMar>
            <w:top w:w="0" w:type="dxa"/>
            <w:left w:w="108" w:type="dxa"/>
            <w:bottom w:w="0" w:type="dxa"/>
            <w:right w:w="108" w:type="dxa"/>
          </w:tblCellMar>
        </w:tblPrEx>
        <w:trPr>
          <w:trHeight w:val="1140"/>
          <w:jc w:val="center"/>
        </w:trPr>
        <w:tc>
          <w:tcPr>
            <w:tcW w:w="679" w:type="pct"/>
            <w:noWrap/>
            <w:vAlign w:val="center"/>
          </w:tcPr>
          <w:p>
            <w:pPr>
              <w:widowControl/>
              <w:jc w:val="left"/>
              <w:rPr>
                <w:rFonts w:ascii="宋体" w:hAnsi="宋体"/>
                <w:szCs w:val="21"/>
              </w:rPr>
            </w:pPr>
            <w:r>
              <w:rPr>
                <w:rFonts w:ascii="宋体" w:hAnsi="宋体" w:hint="eastAsia"/>
                <w:szCs w:val="21"/>
              </w:rPr>
              <w:t>工作频率（参考）</w:t>
            </w:r>
          </w:p>
        </w:tc>
        <w:tc>
          <w:tcPr>
            <w:tcW w:w="4320" w:type="pct"/>
            <w:vAlign w:val="bottom"/>
          </w:tcPr>
          <w:p>
            <w:pPr>
              <w:widowControl/>
              <w:jc w:val="left"/>
              <w:rPr>
                <w:rFonts w:ascii="宋体" w:hAnsi="宋体"/>
                <w:szCs w:val="21"/>
              </w:rPr>
            </w:pPr>
            <w:r>
              <w:rPr>
                <w:rFonts w:ascii="宋体" w:hAnsi="宋体" w:hint="eastAsia"/>
                <w:szCs w:val="21"/>
              </w:rPr>
              <w:t>2.4000 GHz 至 2.4835 GHz</w:t>
            </w:r>
            <w:r>
              <w:rPr>
                <w:rFonts w:ascii="宋体" w:hAnsi="宋体" w:hint="eastAsia"/>
                <w:szCs w:val="21"/>
              </w:rPr>
              <w:br/>
            </w:r>
            <w:r>
              <w:rPr>
                <w:rFonts w:ascii="宋体" w:hAnsi="宋体" w:hint="eastAsia"/>
                <w:szCs w:val="21"/>
              </w:rPr>
              <w:t>5.150 GHz 至 5.250 GHz（CE：5.170 GHz 至 5.250 GHz）</w:t>
            </w:r>
            <w:r>
              <w:rPr>
                <w:rFonts w:ascii="宋体" w:hAnsi="宋体" w:hint="eastAsia"/>
                <w:szCs w:val="21"/>
              </w:rPr>
              <w:br/>
            </w:r>
            <w:r>
              <w:rPr>
                <w:rFonts w:ascii="宋体" w:hAnsi="宋体" w:hint="eastAsia"/>
                <w:szCs w:val="21"/>
              </w:rPr>
              <w:t>5.725 GHz 至 5.850 GHz</w:t>
            </w:r>
          </w:p>
        </w:tc>
      </w:tr>
      <w:tr>
        <w:tblPrEx>
          <w:tblW w:w="5000" w:type="pct"/>
          <w:jc w:val="center"/>
          <w:tblCellMar>
            <w:top w:w="0" w:type="dxa"/>
            <w:left w:w="108" w:type="dxa"/>
            <w:bottom w:w="0" w:type="dxa"/>
            <w:right w:w="108" w:type="dxa"/>
          </w:tblCellMar>
        </w:tblPrEx>
        <w:trPr>
          <w:trHeight w:val="285"/>
          <w:jc w:val="center"/>
        </w:trPr>
        <w:tc>
          <w:tcPr>
            <w:tcW w:w="679" w:type="pct"/>
            <w:noWrap/>
            <w:vAlign w:val="center"/>
          </w:tcPr>
          <w:p>
            <w:pPr>
              <w:widowControl/>
              <w:jc w:val="left"/>
              <w:rPr>
                <w:rFonts w:ascii="宋体" w:hAnsi="宋体"/>
                <w:szCs w:val="21"/>
              </w:rPr>
            </w:pPr>
            <w:r>
              <w:rPr>
                <w:rFonts w:ascii="宋体" w:hAnsi="宋体" w:hint="eastAsia"/>
                <w:szCs w:val="21"/>
              </w:rPr>
              <w:t>最长飞行时间</w:t>
            </w:r>
          </w:p>
        </w:tc>
        <w:tc>
          <w:tcPr>
            <w:tcW w:w="4320" w:type="pct"/>
            <w:noWrap/>
            <w:vAlign w:val="bottom"/>
          </w:tcPr>
          <w:p>
            <w:pPr>
              <w:widowControl/>
              <w:jc w:val="left"/>
              <w:rPr>
                <w:rFonts w:ascii="宋体" w:hAnsi="宋体"/>
                <w:szCs w:val="21"/>
              </w:rPr>
            </w:pPr>
            <w:r>
              <w:rPr>
                <w:rFonts w:ascii="宋体" w:hAnsi="宋体" w:hint="eastAsia"/>
                <w:szCs w:val="21"/>
              </w:rPr>
              <w:t>30min以上</w:t>
            </w:r>
          </w:p>
        </w:tc>
      </w:tr>
      <w:tr>
        <w:tblPrEx>
          <w:tblW w:w="5000" w:type="pct"/>
          <w:jc w:val="center"/>
          <w:tblCellMar>
            <w:top w:w="0" w:type="dxa"/>
            <w:left w:w="108" w:type="dxa"/>
            <w:bottom w:w="0" w:type="dxa"/>
            <w:right w:w="108" w:type="dxa"/>
          </w:tblCellMar>
        </w:tblPrEx>
        <w:trPr>
          <w:trHeight w:val="285"/>
          <w:jc w:val="center"/>
        </w:trPr>
        <w:tc>
          <w:tcPr>
            <w:tcW w:w="679" w:type="pct"/>
            <w:noWrap/>
            <w:vAlign w:val="center"/>
          </w:tcPr>
          <w:p>
            <w:pPr>
              <w:widowControl/>
              <w:jc w:val="left"/>
              <w:rPr>
                <w:rFonts w:ascii="宋体" w:hAnsi="宋体"/>
                <w:szCs w:val="21"/>
              </w:rPr>
            </w:pPr>
            <w:r>
              <w:rPr>
                <w:rFonts w:ascii="宋体" w:hAnsi="宋体" w:hint="eastAsia"/>
                <w:szCs w:val="21"/>
              </w:rPr>
              <w:t>IP 防护等级</w:t>
            </w:r>
          </w:p>
        </w:tc>
        <w:tc>
          <w:tcPr>
            <w:tcW w:w="4320" w:type="pct"/>
            <w:noWrap/>
            <w:vAlign w:val="bottom"/>
          </w:tcPr>
          <w:p>
            <w:pPr>
              <w:widowControl/>
              <w:jc w:val="left"/>
              <w:rPr>
                <w:rFonts w:ascii="宋体" w:hAnsi="宋体"/>
                <w:szCs w:val="21"/>
              </w:rPr>
            </w:pPr>
            <w:r>
              <w:rPr>
                <w:rFonts w:ascii="宋体" w:hAnsi="宋体" w:hint="eastAsia"/>
                <w:szCs w:val="21"/>
              </w:rPr>
              <w:t>IP55</w:t>
            </w:r>
          </w:p>
        </w:tc>
      </w:tr>
      <w:tr>
        <w:tblPrEx>
          <w:tblW w:w="5000" w:type="pct"/>
          <w:jc w:val="center"/>
          <w:tblCellMar>
            <w:top w:w="0" w:type="dxa"/>
            <w:left w:w="108" w:type="dxa"/>
            <w:bottom w:w="0" w:type="dxa"/>
            <w:right w:w="108" w:type="dxa"/>
          </w:tblCellMar>
        </w:tblPrEx>
        <w:trPr>
          <w:trHeight w:val="285"/>
          <w:jc w:val="center"/>
        </w:trPr>
        <w:tc>
          <w:tcPr>
            <w:tcW w:w="679" w:type="pct"/>
            <w:noWrap/>
            <w:vAlign w:val="center"/>
          </w:tcPr>
          <w:p>
            <w:pPr>
              <w:widowControl/>
              <w:jc w:val="left"/>
              <w:rPr>
                <w:rFonts w:ascii="宋体" w:hAnsi="宋体"/>
                <w:szCs w:val="21"/>
              </w:rPr>
            </w:pPr>
            <w:r>
              <w:rPr>
                <w:rFonts w:ascii="宋体" w:hAnsi="宋体" w:hint="eastAsia"/>
                <w:szCs w:val="21"/>
              </w:rPr>
              <w:t>云台：</w:t>
            </w:r>
          </w:p>
        </w:tc>
        <w:tc>
          <w:tcPr>
            <w:tcW w:w="4320" w:type="pct"/>
            <w:noWrap/>
            <w:vAlign w:val="center"/>
          </w:tcPr>
          <w:p>
            <w:pPr>
              <w:widowControl/>
              <w:jc w:val="left"/>
              <w:rPr>
                <w:rFonts w:ascii="宋体" w:hAnsi="宋体"/>
                <w:szCs w:val="21"/>
              </w:rPr>
            </w:pPr>
            <w:r>
              <w:rPr>
                <w:rFonts w:ascii="宋体" w:hAnsi="宋体" w:hint="eastAsia"/>
                <w:szCs w:val="21"/>
              </w:rPr>
              <w:t>高清摄像，有效像素2.1亿，图传。</w:t>
            </w:r>
          </w:p>
          <w:p>
            <w:pPr>
              <w:widowControl/>
              <w:jc w:val="left"/>
              <w:rPr>
                <w:rFonts w:ascii="宋体" w:hAnsi="宋体"/>
                <w:szCs w:val="21"/>
              </w:rPr>
            </w:pPr>
            <w:r>
              <w:rPr>
                <w:rFonts w:ascii="仿宋" w:eastAsia="仿宋" w:hAnsi="仿宋"/>
                <w:sz w:val="24"/>
              </w:rPr>
              <w:t>▲</w:t>
            </w:r>
            <w:r>
              <w:rPr>
                <w:rFonts w:ascii="仿宋" w:eastAsia="仿宋" w:hAnsi="仿宋" w:hint="eastAsia"/>
                <w:sz w:val="24"/>
              </w:rPr>
              <w:t>需</w:t>
            </w:r>
            <w:r>
              <w:rPr>
                <w:rFonts w:ascii="仿宋" w:eastAsia="仿宋" w:hAnsi="仿宋"/>
                <w:sz w:val="24"/>
              </w:rPr>
              <w:t>提供</w:t>
            </w:r>
            <w:r>
              <w:rPr>
                <w:rFonts w:ascii="仿宋" w:eastAsia="仿宋" w:hAnsi="仿宋" w:hint="eastAsia"/>
                <w:sz w:val="24"/>
              </w:rPr>
              <w:t>第三方测试报告，第三方测试报告出具单位需具备CNAS及CMA资质。</w:t>
            </w:r>
          </w:p>
        </w:tc>
      </w:tr>
      <w:tr>
        <w:tblPrEx>
          <w:tblW w:w="5000" w:type="pct"/>
          <w:jc w:val="center"/>
          <w:tblCellMar>
            <w:top w:w="0" w:type="dxa"/>
            <w:left w:w="108" w:type="dxa"/>
            <w:bottom w:w="0" w:type="dxa"/>
            <w:right w:w="108" w:type="dxa"/>
          </w:tblCellMar>
        </w:tblPrEx>
        <w:trPr>
          <w:trHeight w:val="285"/>
          <w:jc w:val="center"/>
        </w:trPr>
        <w:tc>
          <w:tcPr>
            <w:tcW w:w="679" w:type="pct"/>
            <w:vMerge w:val="restart"/>
            <w:noWrap/>
            <w:vAlign w:val="center"/>
          </w:tcPr>
          <w:p>
            <w:pPr>
              <w:widowControl/>
              <w:jc w:val="left"/>
              <w:rPr>
                <w:rFonts w:ascii="宋体" w:hAnsi="宋体"/>
                <w:szCs w:val="21"/>
              </w:rPr>
            </w:pPr>
            <w:r>
              <w:rPr>
                <w:rFonts w:ascii="宋体" w:hAnsi="宋体" w:hint="eastAsia"/>
                <w:szCs w:val="21"/>
              </w:rPr>
              <w:t>功能</w:t>
            </w:r>
          </w:p>
        </w:tc>
        <w:tc>
          <w:tcPr>
            <w:tcW w:w="4320" w:type="pct"/>
            <w:noWrap/>
            <w:vAlign w:val="center"/>
          </w:tcPr>
          <w:p>
            <w:pPr>
              <w:widowControl/>
              <w:jc w:val="left"/>
              <w:rPr>
                <w:rFonts w:ascii="宋体" w:hAnsi="宋体"/>
                <w:szCs w:val="21"/>
              </w:rPr>
            </w:pPr>
            <w:r>
              <w:rPr>
                <w:rFonts w:ascii="宋体" w:hAnsi="宋体" w:hint="eastAsia"/>
                <w:szCs w:val="21"/>
              </w:rPr>
              <w:t>支持可编程飞行轨迹；</w:t>
            </w:r>
          </w:p>
        </w:tc>
      </w:tr>
      <w:tr>
        <w:tblPrEx>
          <w:tblW w:w="5000" w:type="pct"/>
          <w:jc w:val="center"/>
          <w:tblCellMar>
            <w:top w:w="0" w:type="dxa"/>
            <w:left w:w="108" w:type="dxa"/>
            <w:bottom w:w="0" w:type="dxa"/>
            <w:right w:w="108" w:type="dxa"/>
          </w:tblCellMar>
        </w:tblPrEx>
        <w:trPr>
          <w:trHeight w:val="285"/>
          <w:jc w:val="center"/>
        </w:trPr>
        <w:tc>
          <w:tcPr>
            <w:tcW w:w="679" w:type="pct"/>
            <w:vMerge/>
            <w:vAlign w:val="center"/>
          </w:tcPr>
          <w:p>
            <w:pPr>
              <w:widowControl/>
              <w:jc w:val="left"/>
              <w:rPr>
                <w:rFonts w:ascii="宋体" w:hAnsi="宋体"/>
                <w:szCs w:val="21"/>
              </w:rPr>
            </w:pPr>
          </w:p>
        </w:tc>
        <w:tc>
          <w:tcPr>
            <w:tcW w:w="4320" w:type="pct"/>
            <w:noWrap/>
            <w:vAlign w:val="center"/>
          </w:tcPr>
          <w:p>
            <w:pPr>
              <w:widowControl/>
              <w:jc w:val="left"/>
              <w:rPr>
                <w:rFonts w:ascii="宋体" w:hAnsi="宋体"/>
                <w:szCs w:val="21"/>
              </w:rPr>
            </w:pPr>
            <w:r>
              <w:rPr>
                <w:rFonts w:ascii="宋体" w:hAnsi="宋体" w:hint="eastAsia"/>
                <w:szCs w:val="21"/>
              </w:rPr>
              <w:t>支持远程控制；</w:t>
            </w:r>
          </w:p>
        </w:tc>
      </w:tr>
      <w:tr>
        <w:tblPrEx>
          <w:tblW w:w="5000" w:type="pct"/>
          <w:jc w:val="center"/>
          <w:tblCellMar>
            <w:top w:w="0" w:type="dxa"/>
            <w:left w:w="108" w:type="dxa"/>
            <w:bottom w:w="0" w:type="dxa"/>
            <w:right w:w="108" w:type="dxa"/>
          </w:tblCellMar>
        </w:tblPrEx>
        <w:trPr>
          <w:trHeight w:val="285"/>
          <w:jc w:val="center"/>
        </w:trPr>
        <w:tc>
          <w:tcPr>
            <w:tcW w:w="679" w:type="pct"/>
            <w:vMerge/>
            <w:vAlign w:val="center"/>
          </w:tcPr>
          <w:p>
            <w:pPr>
              <w:widowControl/>
              <w:jc w:val="left"/>
              <w:rPr>
                <w:rFonts w:ascii="宋体" w:hAnsi="宋体"/>
                <w:szCs w:val="21"/>
              </w:rPr>
            </w:pPr>
          </w:p>
        </w:tc>
        <w:tc>
          <w:tcPr>
            <w:tcW w:w="4320" w:type="pct"/>
            <w:noWrap/>
            <w:vAlign w:val="center"/>
          </w:tcPr>
          <w:p>
            <w:pPr>
              <w:widowControl/>
              <w:jc w:val="left"/>
              <w:rPr>
                <w:rFonts w:ascii="宋体" w:hAnsi="宋体"/>
                <w:szCs w:val="21"/>
              </w:rPr>
            </w:pPr>
            <w:r>
              <w:rPr>
                <w:rFonts w:ascii="宋体" w:hAnsi="宋体" w:hint="eastAsia"/>
                <w:szCs w:val="21"/>
              </w:rPr>
              <w:t>支持一键起飞降落；</w:t>
            </w:r>
          </w:p>
        </w:tc>
      </w:tr>
      <w:tr>
        <w:tblPrEx>
          <w:tblW w:w="5000" w:type="pct"/>
          <w:jc w:val="center"/>
          <w:tblCellMar>
            <w:top w:w="0" w:type="dxa"/>
            <w:left w:w="108" w:type="dxa"/>
            <w:bottom w:w="0" w:type="dxa"/>
            <w:right w:w="108" w:type="dxa"/>
          </w:tblCellMar>
        </w:tblPrEx>
        <w:trPr>
          <w:trHeight w:val="285"/>
          <w:jc w:val="center"/>
        </w:trPr>
        <w:tc>
          <w:tcPr>
            <w:tcW w:w="679" w:type="pct"/>
            <w:vMerge/>
            <w:vAlign w:val="center"/>
          </w:tcPr>
          <w:p>
            <w:pPr>
              <w:widowControl/>
              <w:jc w:val="left"/>
              <w:rPr>
                <w:rFonts w:ascii="宋体" w:hAnsi="宋体"/>
                <w:szCs w:val="21"/>
              </w:rPr>
            </w:pPr>
          </w:p>
        </w:tc>
        <w:tc>
          <w:tcPr>
            <w:tcW w:w="4320" w:type="pct"/>
            <w:noWrap/>
            <w:vAlign w:val="center"/>
          </w:tcPr>
          <w:p>
            <w:pPr>
              <w:widowControl/>
              <w:jc w:val="left"/>
              <w:rPr>
                <w:rFonts w:ascii="宋体" w:hAnsi="宋体"/>
                <w:szCs w:val="21"/>
              </w:rPr>
            </w:pPr>
            <w:r>
              <w:rPr>
                <w:rFonts w:ascii="宋体" w:hAnsi="宋体" w:hint="eastAsia"/>
                <w:szCs w:val="21"/>
              </w:rPr>
              <w:t>模块化吊舱设计；</w:t>
            </w:r>
          </w:p>
        </w:tc>
      </w:tr>
      <w:tr>
        <w:tblPrEx>
          <w:tblW w:w="5000" w:type="pct"/>
          <w:jc w:val="center"/>
          <w:tblCellMar>
            <w:top w:w="0" w:type="dxa"/>
            <w:left w:w="108" w:type="dxa"/>
            <w:bottom w:w="0" w:type="dxa"/>
            <w:right w:w="108" w:type="dxa"/>
          </w:tblCellMar>
        </w:tblPrEx>
        <w:trPr>
          <w:trHeight w:val="510"/>
          <w:jc w:val="center"/>
        </w:trPr>
        <w:tc>
          <w:tcPr>
            <w:tcW w:w="679" w:type="pct"/>
            <w:vMerge/>
            <w:vAlign w:val="center"/>
          </w:tcPr>
          <w:p>
            <w:pPr>
              <w:widowControl/>
              <w:jc w:val="left"/>
              <w:rPr>
                <w:rFonts w:ascii="宋体" w:hAnsi="宋体"/>
                <w:szCs w:val="21"/>
              </w:rPr>
            </w:pPr>
          </w:p>
        </w:tc>
        <w:tc>
          <w:tcPr>
            <w:tcW w:w="4320" w:type="pct"/>
            <w:noWrap/>
            <w:vAlign w:val="center"/>
          </w:tcPr>
          <w:p>
            <w:pPr>
              <w:widowControl/>
              <w:jc w:val="left"/>
              <w:rPr>
                <w:rFonts w:ascii="宋体" w:hAnsi="宋体"/>
                <w:szCs w:val="21"/>
              </w:rPr>
            </w:pPr>
            <w:r>
              <w:rPr>
                <w:rFonts w:ascii="宋体" w:hAnsi="宋体" w:hint="eastAsia"/>
                <w:szCs w:val="21"/>
              </w:rPr>
              <w:t>搭载气象参数多要素测量（温度、湿度和气压等）；</w:t>
            </w:r>
          </w:p>
          <w:p>
            <w:pPr>
              <w:widowControl/>
              <w:jc w:val="left"/>
              <w:rPr>
                <w:rFonts w:ascii="宋体" w:hAnsi="宋体"/>
                <w:szCs w:val="21"/>
              </w:rPr>
            </w:pPr>
            <w:r>
              <w:rPr>
                <w:rFonts w:ascii="仿宋" w:eastAsia="仿宋" w:hAnsi="仿宋"/>
                <w:sz w:val="24"/>
              </w:rPr>
              <w:t>▲</w:t>
            </w:r>
            <w:r>
              <w:rPr>
                <w:rFonts w:ascii="仿宋" w:eastAsia="仿宋" w:hAnsi="仿宋" w:hint="eastAsia"/>
                <w:sz w:val="24"/>
              </w:rPr>
              <w:t>需提供</w:t>
            </w:r>
            <w:r>
              <w:rPr>
                <w:rFonts w:ascii="仿宋" w:eastAsia="仿宋" w:hAnsi="仿宋"/>
                <w:sz w:val="24"/>
              </w:rPr>
              <w:t>由专业气象仪器计量检定机构出具的第三方校准证书</w:t>
            </w:r>
            <w:r>
              <w:rPr>
                <w:rFonts w:ascii="仿宋" w:eastAsia="仿宋" w:hAnsi="仿宋" w:hint="eastAsia"/>
                <w:sz w:val="24"/>
              </w:rPr>
              <w:t>。</w:t>
            </w:r>
          </w:p>
        </w:tc>
      </w:tr>
      <w:tr>
        <w:tblPrEx>
          <w:tblW w:w="5000" w:type="pct"/>
          <w:jc w:val="center"/>
          <w:tblCellMar>
            <w:top w:w="0" w:type="dxa"/>
            <w:left w:w="108" w:type="dxa"/>
            <w:bottom w:w="0" w:type="dxa"/>
            <w:right w:w="108" w:type="dxa"/>
          </w:tblCellMar>
        </w:tblPrEx>
        <w:trPr>
          <w:trHeight w:val="285"/>
          <w:jc w:val="center"/>
        </w:trPr>
        <w:tc>
          <w:tcPr>
            <w:tcW w:w="679" w:type="pct"/>
            <w:vMerge/>
            <w:vAlign w:val="center"/>
          </w:tcPr>
          <w:p>
            <w:pPr>
              <w:widowControl/>
              <w:jc w:val="left"/>
              <w:rPr>
                <w:rFonts w:ascii="宋体" w:hAnsi="宋体"/>
                <w:szCs w:val="21"/>
              </w:rPr>
            </w:pPr>
          </w:p>
        </w:tc>
        <w:tc>
          <w:tcPr>
            <w:tcW w:w="4320" w:type="pct"/>
            <w:noWrap/>
            <w:vAlign w:val="center"/>
          </w:tcPr>
          <w:p>
            <w:pPr>
              <w:widowControl/>
              <w:jc w:val="left"/>
              <w:rPr>
                <w:rFonts w:ascii="宋体" w:hAnsi="宋体"/>
                <w:szCs w:val="21"/>
              </w:rPr>
            </w:pPr>
            <w:r>
              <w:rPr>
                <w:rFonts w:ascii="宋体" w:hAnsi="宋体" w:hint="eastAsia"/>
                <w:szCs w:val="21"/>
              </w:rPr>
              <w:t>配备专业软件，操作简单；</w:t>
            </w:r>
          </w:p>
        </w:tc>
      </w:tr>
      <w:tr>
        <w:tblPrEx>
          <w:tblW w:w="5000" w:type="pct"/>
          <w:jc w:val="center"/>
          <w:tblCellMar>
            <w:top w:w="0" w:type="dxa"/>
            <w:left w:w="108" w:type="dxa"/>
            <w:bottom w:w="0" w:type="dxa"/>
            <w:right w:w="108" w:type="dxa"/>
          </w:tblCellMar>
        </w:tblPrEx>
        <w:trPr>
          <w:trHeight w:val="593"/>
          <w:jc w:val="center"/>
        </w:trPr>
        <w:tc>
          <w:tcPr>
            <w:tcW w:w="679" w:type="pct"/>
            <w:vMerge/>
            <w:vAlign w:val="center"/>
          </w:tcPr>
          <w:p>
            <w:pPr>
              <w:widowControl/>
              <w:jc w:val="left"/>
              <w:rPr>
                <w:rFonts w:ascii="宋体" w:hAnsi="宋体"/>
                <w:szCs w:val="21"/>
              </w:rPr>
            </w:pPr>
          </w:p>
        </w:tc>
        <w:tc>
          <w:tcPr>
            <w:tcW w:w="4320" w:type="pct"/>
            <w:noWrap/>
            <w:vAlign w:val="center"/>
          </w:tcPr>
          <w:p>
            <w:pPr>
              <w:widowControl/>
              <w:jc w:val="left"/>
              <w:rPr>
                <w:rFonts w:ascii="宋体" w:hAnsi="宋体"/>
                <w:szCs w:val="21"/>
              </w:rPr>
            </w:pPr>
            <w:r>
              <w:rPr>
                <w:rFonts w:ascii="宋体" w:hAnsi="宋体" w:hint="eastAsia"/>
                <w:szCs w:val="21"/>
              </w:rPr>
              <w:t>支持手机与平板的APP应用，支持数据的二次开发。</w:t>
            </w:r>
          </w:p>
        </w:tc>
      </w:tr>
      <w:tr>
        <w:tblPrEx>
          <w:tblW w:w="5000" w:type="pct"/>
          <w:jc w:val="center"/>
          <w:tblCellMar>
            <w:top w:w="0" w:type="dxa"/>
            <w:left w:w="108" w:type="dxa"/>
            <w:bottom w:w="0" w:type="dxa"/>
            <w:right w:w="108" w:type="dxa"/>
          </w:tblCellMar>
        </w:tblPrEx>
        <w:trPr>
          <w:trHeight w:val="593"/>
          <w:jc w:val="center"/>
        </w:trPr>
        <w:tc>
          <w:tcPr>
            <w:tcW w:w="679" w:type="pct"/>
            <w:vAlign w:val="center"/>
          </w:tcPr>
          <w:p>
            <w:pPr>
              <w:widowControl/>
              <w:jc w:val="left"/>
              <w:rPr>
                <w:rFonts w:ascii="宋体" w:hAnsi="宋体"/>
                <w:szCs w:val="21"/>
              </w:rPr>
            </w:pPr>
            <w:r>
              <w:rPr>
                <w:rFonts w:ascii="仿宋" w:eastAsia="仿宋" w:hAnsi="仿宋" w:hint="eastAsia"/>
                <w:sz w:val="24"/>
              </w:rPr>
              <w:t>无人机</w:t>
            </w:r>
            <w:r>
              <w:rPr>
                <w:rFonts w:ascii="仿宋" w:eastAsia="仿宋" w:hAnsi="仿宋"/>
                <w:sz w:val="24"/>
              </w:rPr>
              <w:t>符合</w:t>
            </w:r>
          </w:p>
        </w:tc>
        <w:tc>
          <w:tcPr>
            <w:tcW w:w="4320" w:type="pct"/>
            <w:noWrap/>
            <w:vAlign w:val="center"/>
          </w:tcPr>
          <w:p>
            <w:pPr>
              <w:rPr>
                <w:rFonts w:ascii="仿宋" w:eastAsia="仿宋" w:hAnsi="仿宋"/>
              </w:rPr>
            </w:pPr>
            <w:r>
              <w:rPr>
                <w:rFonts w:ascii="仿宋" w:eastAsia="仿宋" w:hAnsi="仿宋"/>
                <w:sz w:val="24"/>
              </w:rPr>
              <w:t>GB42590-2023</w:t>
            </w:r>
          </w:p>
          <w:p>
            <w:pPr>
              <w:rPr>
                <w:rFonts w:ascii="仿宋" w:eastAsia="仿宋" w:hAnsi="仿宋"/>
              </w:rPr>
            </w:pPr>
            <w:r>
              <w:rPr>
                <w:rFonts w:ascii="仿宋" w:eastAsia="仿宋" w:hAnsi="仿宋"/>
                <w:sz w:val="24"/>
              </w:rPr>
              <w:t>▲</w:t>
            </w:r>
            <w:r>
              <w:rPr>
                <w:rFonts w:ascii="仿宋" w:eastAsia="仿宋" w:hAnsi="仿宋" w:hint="eastAsia"/>
                <w:sz w:val="24"/>
              </w:rPr>
              <w:t>需</w:t>
            </w:r>
            <w:r>
              <w:rPr>
                <w:rFonts w:ascii="仿宋" w:eastAsia="仿宋" w:hAnsi="仿宋"/>
                <w:sz w:val="24"/>
              </w:rPr>
              <w:t>提供</w:t>
            </w:r>
            <w:r>
              <w:rPr>
                <w:rFonts w:ascii="仿宋" w:eastAsia="仿宋" w:hAnsi="仿宋" w:hint="eastAsia"/>
                <w:sz w:val="24"/>
              </w:rPr>
              <w:t>无人机制造商作为第三方测试申请单位的第三方测试报告，第三方测试报告出具单位需具备CNAS及CMA资质。</w:t>
            </w:r>
          </w:p>
          <w:p>
            <w:pPr>
              <w:widowControl/>
              <w:jc w:val="left"/>
              <w:rPr>
                <w:rFonts w:ascii="宋体" w:hAnsi="宋体"/>
                <w:szCs w:val="21"/>
              </w:rPr>
            </w:pPr>
          </w:p>
        </w:tc>
      </w:tr>
      <w:tr>
        <w:tblPrEx>
          <w:tblW w:w="5000" w:type="pct"/>
          <w:jc w:val="center"/>
          <w:tblCellMar>
            <w:top w:w="0" w:type="dxa"/>
            <w:left w:w="108" w:type="dxa"/>
            <w:bottom w:w="0" w:type="dxa"/>
            <w:right w:w="108" w:type="dxa"/>
          </w:tblCellMar>
        </w:tblPrEx>
        <w:trPr>
          <w:trHeight w:val="593"/>
          <w:jc w:val="center"/>
        </w:trPr>
        <w:tc>
          <w:tcPr>
            <w:tcW w:w="679" w:type="pct"/>
            <w:vAlign w:val="center"/>
          </w:tcPr>
          <w:p>
            <w:pPr>
              <w:widowControl/>
              <w:jc w:val="left"/>
              <w:rPr>
                <w:rFonts w:ascii="宋体" w:hAnsi="宋体"/>
                <w:szCs w:val="21"/>
              </w:rPr>
            </w:pPr>
            <w:r>
              <w:rPr>
                <w:rFonts w:ascii="宋体" w:hAnsi="宋体" w:hint="eastAsia"/>
                <w:szCs w:val="21"/>
              </w:rPr>
              <w:t>质保</w:t>
            </w:r>
          </w:p>
        </w:tc>
        <w:tc>
          <w:tcPr>
            <w:tcW w:w="4320" w:type="pct"/>
            <w:noWrap/>
            <w:vAlign w:val="center"/>
          </w:tcPr>
          <w:p>
            <w:pPr>
              <w:widowControl/>
              <w:jc w:val="left"/>
              <w:rPr>
                <w:rFonts w:ascii="宋体" w:hAnsi="宋体"/>
                <w:szCs w:val="21"/>
              </w:rPr>
            </w:pPr>
            <w:r>
              <w:rPr>
                <w:rFonts w:ascii="宋体" w:hAnsi="宋体" w:hint="eastAsia"/>
                <w:szCs w:val="21"/>
              </w:rPr>
              <w:t xml:space="preserve">≥5年 </w:t>
            </w:r>
          </w:p>
        </w:tc>
      </w:tr>
    </w:tbl>
    <w:p>
      <w:pPr>
        <w:widowControl/>
        <w:jc w:val="left"/>
        <w:rPr>
          <w:rFonts w:ascii="宋体" w:hAnsi="宋体"/>
          <w:szCs w:val="21"/>
        </w:rPr>
      </w:pPr>
    </w:p>
    <w:p>
      <w:pPr>
        <w:widowControl/>
        <w:jc w:val="left"/>
        <w:rPr>
          <w:rFonts w:ascii="宋体" w:hAnsi="宋体"/>
          <w:szCs w:val="21"/>
        </w:rPr>
      </w:pPr>
    </w:p>
    <w:p>
      <w:pPr>
        <w:spacing w:line="360" w:lineRule="auto"/>
        <w:outlineLvl w:val="1"/>
        <w:rPr>
          <w:rFonts w:ascii="宋体" w:hAnsi="宋体"/>
          <w:b/>
          <w:bCs/>
          <w:szCs w:val="21"/>
        </w:rPr>
      </w:pPr>
      <w:r>
        <w:rPr>
          <w:rFonts w:ascii="宋体" w:hAnsi="宋体" w:hint="eastAsia"/>
          <w:b/>
          <w:bCs/>
          <w:szCs w:val="21"/>
        </w:rPr>
        <w:t>2.指挥模组（车载式）</w:t>
      </w:r>
    </w:p>
    <w:p>
      <w:pPr>
        <w:spacing w:line="360" w:lineRule="auto"/>
        <w:outlineLvl w:val="2"/>
        <w:rPr>
          <w:rFonts w:ascii="宋体" w:hAnsi="宋体"/>
          <w:b/>
          <w:bCs/>
          <w:szCs w:val="21"/>
        </w:rPr>
      </w:pPr>
      <w:r>
        <w:rPr>
          <w:rFonts w:ascii="宋体" w:hAnsi="宋体" w:hint="eastAsia"/>
          <w:b/>
          <w:bCs/>
          <w:szCs w:val="21"/>
        </w:rPr>
        <w:t>2.1二类汽车底盘（数量2套）</w:t>
      </w:r>
    </w:p>
    <w:p>
      <w:pPr>
        <w:spacing w:line="360" w:lineRule="auto"/>
        <w:ind w:firstLine="420" w:firstLineChars="200"/>
        <w:rPr>
          <w:rFonts w:ascii="宋体" w:hAnsi="宋体"/>
          <w:szCs w:val="21"/>
        </w:rPr>
      </w:pPr>
      <w:r>
        <w:rPr>
          <w:rFonts w:ascii="宋体" w:hAnsi="宋体" w:hint="eastAsia"/>
          <w:szCs w:val="21"/>
        </w:rPr>
        <w:t>具备高强度车架结构，能承载车身、动力系统及改装设备的重量，同时通过发动机、传动系统实现自主行驶，满足基本的移动需求。</w:t>
      </w:r>
    </w:p>
    <w:p>
      <w:pPr>
        <w:spacing w:line="360" w:lineRule="auto"/>
        <w:ind w:firstLine="420" w:firstLineChars="200"/>
        <w:rPr>
          <w:rFonts w:ascii="宋体" w:hAnsi="宋体"/>
          <w:szCs w:val="21"/>
        </w:rPr>
      </w:pPr>
      <w:r>
        <w:rPr>
          <w:rFonts w:ascii="宋体" w:hAnsi="宋体" w:hint="eastAsia"/>
          <w:szCs w:val="21"/>
        </w:rPr>
        <w:t>应满足以下要求:</w:t>
      </w:r>
    </w:p>
    <w:p>
      <w:pPr>
        <w:spacing w:line="360" w:lineRule="auto"/>
        <w:ind w:firstLine="420" w:firstLineChars="200"/>
        <w:rPr>
          <w:rFonts w:ascii="宋体" w:hAnsi="宋体"/>
          <w:szCs w:val="21"/>
        </w:rPr>
      </w:pPr>
      <w:r>
        <w:rPr>
          <w:rFonts w:ascii="宋体" w:hAnsi="宋体" w:hint="eastAsia"/>
          <w:szCs w:val="21"/>
        </w:rPr>
        <w:t>(1)最高车速(km/h):≥95</w:t>
      </w:r>
    </w:p>
    <w:p>
      <w:pPr>
        <w:spacing w:line="360" w:lineRule="auto"/>
        <w:ind w:firstLine="420" w:firstLineChars="200"/>
        <w:rPr>
          <w:rFonts w:ascii="宋体" w:hAnsi="宋体"/>
          <w:szCs w:val="21"/>
        </w:rPr>
      </w:pPr>
      <w:r>
        <w:rPr>
          <w:rFonts w:ascii="宋体" w:hAnsi="宋体" w:hint="eastAsia"/>
          <w:szCs w:val="21"/>
        </w:rPr>
        <w:t>(2)最低稳定车速(km/h):≥4</w:t>
      </w:r>
    </w:p>
    <w:p>
      <w:pPr>
        <w:spacing w:line="360" w:lineRule="auto"/>
        <w:ind w:firstLine="420" w:firstLineChars="200"/>
        <w:rPr>
          <w:rFonts w:ascii="宋体" w:hAnsi="宋体"/>
          <w:szCs w:val="21"/>
        </w:rPr>
      </w:pPr>
      <w:r>
        <w:rPr>
          <w:rFonts w:ascii="宋体" w:hAnsi="宋体" w:hint="eastAsia"/>
          <w:szCs w:val="21"/>
        </w:rPr>
        <w:t>(3)最大爬坡度(%):≥50(山区省(区、市)执行此要求。其余各省可根据本省(区、市)地形地貌进行调整，原则上最大爬坡度(%):≥30)</w:t>
      </w:r>
    </w:p>
    <w:p>
      <w:pPr>
        <w:spacing w:line="360" w:lineRule="auto"/>
        <w:ind w:firstLine="420" w:firstLineChars="200"/>
        <w:rPr>
          <w:rFonts w:ascii="宋体" w:hAnsi="宋体"/>
          <w:szCs w:val="21"/>
        </w:rPr>
      </w:pPr>
      <w:r>
        <w:rPr>
          <w:rFonts w:ascii="宋体" w:hAnsi="宋体" w:hint="eastAsia"/>
          <w:szCs w:val="21"/>
        </w:rPr>
        <w:t>(4)公路续驶里程(km):≥600</w:t>
      </w:r>
    </w:p>
    <w:p>
      <w:pPr>
        <w:spacing w:line="360" w:lineRule="auto"/>
        <w:outlineLvl w:val="2"/>
        <w:rPr>
          <w:rFonts w:ascii="宋体" w:hAnsi="宋体"/>
          <w:b/>
          <w:bCs/>
          <w:szCs w:val="21"/>
        </w:rPr>
      </w:pPr>
      <w:r>
        <w:rPr>
          <w:rFonts w:ascii="宋体" w:hAnsi="宋体" w:hint="eastAsia"/>
          <w:b/>
          <w:bCs/>
          <w:szCs w:val="21"/>
        </w:rPr>
        <w:t>2.2电动调平支腿（数量2套）</w:t>
      </w:r>
    </w:p>
    <w:p>
      <w:pPr>
        <w:spacing w:line="360" w:lineRule="auto"/>
        <w:ind w:firstLine="420" w:firstLineChars="200"/>
        <w:rPr>
          <w:rFonts w:ascii="宋体" w:hAnsi="宋体"/>
          <w:szCs w:val="21"/>
        </w:rPr>
      </w:pPr>
      <w:r>
        <w:rPr>
          <w:rFonts w:ascii="宋体" w:hAnsi="宋体" w:hint="eastAsia"/>
          <w:szCs w:val="21"/>
        </w:rPr>
        <w:t>能够检测车体水平状态，并具有自动和手动调平能力。调平系统具备限位报警、过流报警等功能;具备水平姿态角及工作状态或故障的实时显示功能;在紧急情况下有急停按钮，在系统失电时具备长期锁定能力。</w:t>
      </w:r>
    </w:p>
    <w:p>
      <w:pPr>
        <w:spacing w:line="360" w:lineRule="auto"/>
        <w:outlineLvl w:val="2"/>
        <w:rPr>
          <w:rFonts w:ascii="宋体" w:hAnsi="宋体"/>
          <w:b/>
          <w:bCs/>
          <w:szCs w:val="21"/>
        </w:rPr>
      </w:pPr>
      <w:r>
        <w:rPr>
          <w:rFonts w:ascii="宋体" w:hAnsi="宋体" w:hint="eastAsia"/>
          <w:b/>
          <w:bCs/>
          <w:szCs w:val="21"/>
        </w:rPr>
        <w:t>2.3副车架（数量2套）</w:t>
      </w:r>
    </w:p>
    <w:p>
      <w:pPr>
        <w:spacing w:line="360" w:lineRule="auto"/>
        <w:ind w:firstLine="420" w:firstLineChars="200"/>
        <w:rPr>
          <w:rFonts w:ascii="宋体" w:hAnsi="宋体"/>
          <w:szCs w:val="21"/>
        </w:rPr>
      </w:pPr>
      <w:r>
        <w:rPr>
          <w:rFonts w:ascii="宋体" w:hAnsi="宋体" w:hint="eastAsia"/>
          <w:szCs w:val="21"/>
        </w:rPr>
        <w:t>副车架纵梁采用高强度方管及高强汽车大梁板折弯压制成型的横梁焊而成。副车架上面铺设花纹铝板，副车架平台上焊接四个旋锁位座，锁位尺寸严格按照标准布置(如不考虑自卸式方舱可忽略旋锁位座)。</w:t>
      </w:r>
    </w:p>
    <w:p>
      <w:pPr>
        <w:spacing w:line="360" w:lineRule="auto"/>
        <w:outlineLvl w:val="2"/>
        <w:rPr>
          <w:rFonts w:ascii="宋体" w:hAnsi="宋体"/>
          <w:b/>
          <w:bCs/>
          <w:szCs w:val="21"/>
        </w:rPr>
      </w:pPr>
      <w:r>
        <w:rPr>
          <w:rFonts w:ascii="宋体" w:hAnsi="宋体" w:hint="eastAsia"/>
          <w:b/>
          <w:bCs/>
          <w:szCs w:val="21"/>
        </w:rPr>
        <w:t>2.4工具箱（数量2套）</w:t>
      </w:r>
    </w:p>
    <w:p>
      <w:pPr>
        <w:spacing w:line="360" w:lineRule="auto"/>
        <w:ind w:firstLine="420" w:firstLineChars="200"/>
        <w:rPr>
          <w:rFonts w:ascii="宋体" w:hAnsi="宋体"/>
          <w:szCs w:val="21"/>
        </w:rPr>
      </w:pPr>
      <w:r>
        <w:rPr>
          <w:rFonts w:ascii="宋体" w:hAnsi="宋体" w:hint="eastAsia"/>
          <w:szCs w:val="21"/>
        </w:rPr>
        <w:t>箱体以优质冷轧钢板为材料，折弯成框架，通过满焊成型，门板与门框的封闭结构有水密作用，并镶嵌有水气密封条;箱体锁具采用圆柱锁，锁体为不锈钢结构。箱体及其框架涂覆工艺同副车架结构。</w:t>
      </w:r>
    </w:p>
    <w:p>
      <w:pPr>
        <w:spacing w:line="360" w:lineRule="auto"/>
        <w:outlineLvl w:val="2"/>
        <w:rPr>
          <w:rFonts w:ascii="宋体" w:hAnsi="宋体"/>
          <w:b/>
          <w:bCs/>
          <w:szCs w:val="21"/>
        </w:rPr>
      </w:pPr>
      <w:r>
        <w:rPr>
          <w:rFonts w:ascii="宋体" w:hAnsi="宋体" w:hint="eastAsia"/>
          <w:b/>
          <w:bCs/>
          <w:szCs w:val="21"/>
        </w:rPr>
        <w:t>2.5车载式/移动式方舱组成要求</w:t>
      </w:r>
    </w:p>
    <w:p>
      <w:pPr>
        <w:spacing w:line="360" w:lineRule="auto"/>
        <w:ind w:firstLine="420" w:firstLineChars="200"/>
        <w:rPr>
          <w:rFonts w:ascii="宋体" w:hAnsi="宋体"/>
          <w:szCs w:val="21"/>
        </w:rPr>
      </w:pPr>
      <w:r>
        <w:rPr>
          <w:rFonts w:ascii="宋体" w:hAnsi="宋体" w:hint="eastAsia"/>
          <w:szCs w:val="21"/>
        </w:rPr>
        <w:t>方舱主要由设备舱、工作舱、空调系统、供电系统、录像设备、方舱升降机构(适用于移动式方舱)、方舱调平仪和便携式大气参数探测设备存储舱等组成。方舱外形尺寸需满足指挥模组功能要求。保证探测设备工作时不会相互影响。方舱内部配置大屏显示器，转接口，2联座沙发柜≥2，打印机和储存柜，会议桌，5孔电源插座≥3，并预留的外部设备信息采集接口。</w:t>
      </w:r>
    </w:p>
    <w:p>
      <w:pPr>
        <w:spacing w:line="360" w:lineRule="auto"/>
        <w:outlineLvl w:val="2"/>
        <w:rPr>
          <w:rFonts w:ascii="宋体" w:hAnsi="宋体"/>
          <w:b/>
          <w:bCs/>
          <w:szCs w:val="21"/>
        </w:rPr>
      </w:pPr>
      <w:r>
        <w:rPr>
          <w:rFonts w:ascii="宋体" w:hAnsi="宋体" w:hint="eastAsia"/>
          <w:b/>
          <w:bCs/>
          <w:szCs w:val="21"/>
        </w:rPr>
        <w:t>2.6方舱主箱体（数量2套）</w:t>
      </w:r>
    </w:p>
    <w:p>
      <w:pPr>
        <w:spacing w:line="360" w:lineRule="auto"/>
        <w:ind w:firstLine="420" w:firstLineChars="200"/>
        <w:rPr>
          <w:rFonts w:ascii="宋体" w:hAnsi="宋体"/>
          <w:szCs w:val="21"/>
        </w:rPr>
      </w:pPr>
      <w:r>
        <w:rPr>
          <w:rFonts w:ascii="宋体" w:hAnsi="宋体" w:hint="eastAsia"/>
          <w:szCs w:val="21"/>
        </w:rPr>
        <w:t>采用直角方舱，外形宽度≤2438mm，配备8个角安装方舱角件，厢体按钢骨架铝合金蒙皮进行制作，外蒙皮选用厚度≥2mm铝板，选用高密度的阻燃聚氨酯泡沫作为夹芯层(隔热芯材)，大板中所用的骨架为钢骨架焊接而成，内外蒙皮与骨架粘接固定，厢体骨架整体防腐处理，以保证骨架的防腐能力。内饰型材及外包型材、门结构采用铝型材。各开孔和承重处均设置骨架的预埋件，满足车厢的承重要求和安装要求。</w:t>
      </w:r>
    </w:p>
    <w:p>
      <w:pPr>
        <w:spacing w:line="360" w:lineRule="auto"/>
        <w:outlineLvl w:val="2"/>
        <w:rPr>
          <w:rFonts w:ascii="宋体" w:hAnsi="宋体"/>
          <w:b/>
          <w:bCs/>
          <w:szCs w:val="21"/>
        </w:rPr>
      </w:pPr>
      <w:r>
        <w:rPr>
          <w:rFonts w:ascii="宋体" w:hAnsi="宋体" w:hint="eastAsia"/>
          <w:b/>
          <w:bCs/>
          <w:szCs w:val="21"/>
        </w:rPr>
        <w:t>2.8方舱主箱体配套设施（数量2套）</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145"/>
        <w:gridCol w:w="5901"/>
        <w:gridCol w:w="719"/>
        <w:gridCol w:w="757"/>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699"/>
        </w:trPr>
        <w:tc>
          <w:tcPr>
            <w:tcW w:w="672" w:type="pct"/>
            <w:vAlign w:val="center"/>
          </w:tcPr>
          <w:p>
            <w:pPr>
              <w:rPr>
                <w:rFonts w:ascii="宋体" w:hAnsi="宋体"/>
                <w:szCs w:val="21"/>
              </w:rPr>
            </w:pPr>
            <w:r>
              <w:rPr>
                <w:rFonts w:ascii="宋体" w:hAnsi="宋体" w:hint="eastAsia"/>
                <w:szCs w:val="21"/>
              </w:rPr>
              <w:t>设施名称</w:t>
            </w:r>
          </w:p>
        </w:tc>
        <w:tc>
          <w:tcPr>
            <w:tcW w:w="3462" w:type="pct"/>
            <w:vAlign w:val="center"/>
          </w:tcPr>
          <w:p>
            <w:pPr>
              <w:jc w:val="center"/>
              <w:rPr>
                <w:rFonts w:ascii="宋体" w:hAnsi="宋体"/>
                <w:szCs w:val="21"/>
              </w:rPr>
            </w:pPr>
            <w:r>
              <w:rPr>
                <w:rFonts w:ascii="宋体" w:hAnsi="宋体" w:hint="eastAsia"/>
                <w:szCs w:val="21"/>
              </w:rPr>
              <w:t>功能要求</w:t>
            </w:r>
          </w:p>
        </w:tc>
        <w:tc>
          <w:tcPr>
            <w:tcW w:w="422" w:type="pct"/>
            <w:vAlign w:val="center"/>
          </w:tcPr>
          <w:p>
            <w:pPr>
              <w:jc w:val="center"/>
              <w:rPr>
                <w:rFonts w:ascii="宋体" w:hAnsi="宋体"/>
                <w:szCs w:val="21"/>
              </w:rPr>
            </w:pPr>
            <w:r>
              <w:rPr>
                <w:rFonts w:ascii="宋体" w:hAnsi="宋体" w:hint="eastAsia"/>
                <w:szCs w:val="21"/>
              </w:rPr>
              <w:t>数量</w:t>
            </w:r>
          </w:p>
        </w:tc>
        <w:tc>
          <w:tcPr>
            <w:tcW w:w="444" w:type="pct"/>
            <w:vAlign w:val="center"/>
          </w:tcPr>
          <w:p>
            <w:pPr>
              <w:jc w:val="center"/>
              <w:rPr>
                <w:rFonts w:ascii="宋体" w:hAnsi="宋体"/>
                <w:szCs w:val="21"/>
              </w:rPr>
            </w:pPr>
            <w:r>
              <w:rPr>
                <w:rFonts w:ascii="宋体" w:hAnsi="宋体" w:hint="eastAsia"/>
                <w:szCs w:val="21"/>
              </w:rPr>
              <w:t>单位</w:t>
            </w:r>
          </w:p>
        </w:tc>
      </w:tr>
      <w:tr>
        <w:tblPrEx>
          <w:tblW w:w="5000" w:type="pct"/>
          <w:tblInd w:w="0" w:type="dxa"/>
          <w:tblCellMar>
            <w:top w:w="0" w:type="dxa"/>
            <w:left w:w="108" w:type="dxa"/>
            <w:bottom w:w="0" w:type="dxa"/>
            <w:right w:w="108" w:type="dxa"/>
          </w:tblCellMar>
        </w:tblPrEx>
        <w:trPr>
          <w:trHeight w:val="699"/>
        </w:trPr>
        <w:tc>
          <w:tcPr>
            <w:tcW w:w="672" w:type="pct"/>
            <w:vAlign w:val="center"/>
          </w:tcPr>
          <w:p>
            <w:pPr>
              <w:rPr>
                <w:rFonts w:ascii="宋体" w:hAnsi="宋体"/>
                <w:szCs w:val="21"/>
              </w:rPr>
            </w:pPr>
            <w:r>
              <w:rPr>
                <w:rFonts w:ascii="宋体" w:hAnsi="宋体" w:hint="eastAsia"/>
                <w:szCs w:val="21"/>
              </w:rPr>
              <w:t>舱体自卸举升机构（移动式方舱标配）</w:t>
            </w:r>
          </w:p>
        </w:tc>
        <w:tc>
          <w:tcPr>
            <w:tcW w:w="3462" w:type="pct"/>
            <w:vAlign w:val="center"/>
          </w:tcPr>
          <w:p>
            <w:pPr>
              <w:rPr>
                <w:rFonts w:ascii="宋体" w:hAnsi="宋体"/>
                <w:szCs w:val="21"/>
              </w:rPr>
            </w:pPr>
            <w:r>
              <w:rPr>
                <w:rFonts w:ascii="宋体" w:hAnsi="宋体" w:hint="eastAsia"/>
                <w:szCs w:val="21"/>
              </w:rPr>
              <w:t>配备1套舱体自卸举升机构。</w:t>
            </w:r>
          </w:p>
          <w:p>
            <w:pPr>
              <w:rPr>
                <w:rFonts w:ascii="宋体" w:hAnsi="宋体"/>
                <w:szCs w:val="21"/>
              </w:rPr>
            </w:pPr>
            <w:r>
              <w:rPr>
                <w:rFonts w:ascii="宋体" w:hAnsi="宋体" w:hint="eastAsia"/>
                <w:szCs w:val="21"/>
              </w:rPr>
              <w:t>a）额定提升重量：满足舱体设计使用重量要求，并具备30%以上冗余能力；</w:t>
            </w:r>
          </w:p>
          <w:p>
            <w:pPr>
              <w:rPr>
                <w:rFonts w:ascii="宋体" w:hAnsi="宋体"/>
                <w:szCs w:val="21"/>
              </w:rPr>
            </w:pPr>
            <w:r>
              <w:rPr>
                <w:rFonts w:ascii="宋体" w:hAnsi="宋体" w:hint="eastAsia"/>
                <w:szCs w:val="21"/>
              </w:rPr>
              <w:t>b）额定举升高度：≥1500mm；</w:t>
            </w:r>
          </w:p>
          <w:p>
            <w:pPr>
              <w:rPr>
                <w:rFonts w:ascii="宋体" w:hAnsi="宋体"/>
                <w:szCs w:val="21"/>
              </w:rPr>
            </w:pPr>
            <w:r>
              <w:rPr>
                <w:rFonts w:ascii="宋体" w:hAnsi="宋体" w:hint="eastAsia"/>
                <w:szCs w:val="21"/>
              </w:rPr>
              <w:t>c）升降时间(单程)：≤15min；</w:t>
            </w:r>
          </w:p>
          <w:p>
            <w:pPr>
              <w:rPr>
                <w:rFonts w:ascii="宋体" w:hAnsi="宋体"/>
                <w:szCs w:val="21"/>
              </w:rPr>
            </w:pPr>
            <w:r>
              <w:rPr>
                <w:rFonts w:ascii="宋体" w:hAnsi="宋体" w:hint="eastAsia"/>
                <w:szCs w:val="21"/>
              </w:rPr>
              <w:t>d）调平时间：≤3min（6m长方舱所需时间）；</w:t>
            </w:r>
          </w:p>
          <w:p>
            <w:pPr>
              <w:rPr>
                <w:rFonts w:ascii="宋体" w:hAnsi="宋体"/>
                <w:szCs w:val="21"/>
              </w:rPr>
            </w:pPr>
            <w:r>
              <w:rPr>
                <w:rFonts w:ascii="宋体" w:hAnsi="宋体" w:hint="eastAsia"/>
                <w:szCs w:val="21"/>
              </w:rPr>
              <w:t>e）调平精度：≤0.1度；</w:t>
            </w:r>
          </w:p>
          <w:p>
            <w:pPr>
              <w:rPr>
                <w:rFonts w:ascii="宋体" w:hAnsi="宋体"/>
                <w:szCs w:val="21"/>
              </w:rPr>
            </w:pPr>
            <w:r>
              <w:rPr>
                <w:rFonts w:ascii="宋体" w:hAnsi="宋体" w:hint="eastAsia"/>
                <w:szCs w:val="21"/>
              </w:rPr>
              <w:t>f）</w:t>
            </w:r>
            <w:r>
              <w:rPr>
                <w:rFonts w:ascii="宋体" w:hAnsi="宋体" w:cs="宋体" w:hint="eastAsia"/>
                <w:szCs w:val="21"/>
              </w:rPr>
              <w:t>工作方式：液压或电动（可手动）</w:t>
            </w:r>
            <w:r>
              <w:rPr>
                <w:rFonts w:ascii="宋体" w:hAnsi="宋体" w:hint="eastAsia"/>
                <w:szCs w:val="21"/>
              </w:rPr>
              <w:t>。</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280"/>
        </w:trPr>
        <w:tc>
          <w:tcPr>
            <w:tcW w:w="672" w:type="pct"/>
            <w:vAlign w:val="center"/>
          </w:tcPr>
          <w:p>
            <w:pPr>
              <w:rPr>
                <w:rFonts w:ascii="宋体" w:hAnsi="宋体"/>
                <w:szCs w:val="21"/>
              </w:rPr>
            </w:pPr>
            <w:r>
              <w:rPr>
                <w:rFonts w:ascii="宋体" w:hAnsi="宋体" w:hint="eastAsia"/>
                <w:szCs w:val="21"/>
              </w:rPr>
              <w:t>登舱门</w:t>
            </w:r>
          </w:p>
        </w:tc>
        <w:tc>
          <w:tcPr>
            <w:tcW w:w="3462" w:type="pct"/>
            <w:vAlign w:val="center"/>
          </w:tcPr>
          <w:p>
            <w:pPr>
              <w:rPr>
                <w:rFonts w:ascii="宋体" w:hAnsi="宋体" w:cs="宋体"/>
                <w:szCs w:val="21"/>
              </w:rPr>
            </w:pPr>
            <w:r>
              <w:rPr>
                <w:rFonts w:ascii="宋体" w:hAnsi="宋体" w:hint="eastAsia"/>
                <w:szCs w:val="21"/>
              </w:rPr>
              <w:t>侧开门开启角度</w:t>
            </w:r>
            <w:r>
              <w:rPr>
                <w:rFonts w:ascii="宋体" w:hAnsi="宋体" w:cs="宋体" w:hint="eastAsia"/>
                <w:szCs w:val="21"/>
              </w:rPr>
              <w:t>≥90°</w:t>
            </w:r>
            <w:r>
              <w:rPr>
                <w:rFonts w:ascii="宋体" w:hAnsi="宋体" w:hint="eastAsia"/>
                <w:szCs w:val="21"/>
              </w:rPr>
              <w:t>，采用三点锁紧机构，入户门配备机械锁，在舱内能够将门打开。</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280"/>
        </w:trPr>
        <w:tc>
          <w:tcPr>
            <w:tcW w:w="672" w:type="pct"/>
            <w:vAlign w:val="center"/>
          </w:tcPr>
          <w:p>
            <w:pPr>
              <w:rPr>
                <w:rFonts w:ascii="宋体" w:hAnsi="宋体"/>
                <w:szCs w:val="21"/>
              </w:rPr>
            </w:pPr>
            <w:r>
              <w:rPr>
                <w:rFonts w:ascii="宋体" w:hAnsi="宋体" w:hint="eastAsia"/>
                <w:szCs w:val="21"/>
              </w:rPr>
              <w:t>采光窗</w:t>
            </w:r>
          </w:p>
        </w:tc>
        <w:tc>
          <w:tcPr>
            <w:tcW w:w="3462" w:type="pct"/>
            <w:vAlign w:val="center"/>
          </w:tcPr>
          <w:p>
            <w:pPr>
              <w:rPr>
                <w:rFonts w:ascii="宋体" w:hAnsi="宋体" w:cs="宋体"/>
                <w:szCs w:val="21"/>
              </w:rPr>
            </w:pPr>
            <w:r>
              <w:rPr>
                <w:rFonts w:ascii="宋体" w:hAnsi="宋体" w:cs="宋体" w:hint="eastAsia"/>
                <w:szCs w:val="21"/>
              </w:rPr>
              <w:t>采用双层钢化玻璃。</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280"/>
        </w:trPr>
        <w:tc>
          <w:tcPr>
            <w:tcW w:w="672" w:type="pct"/>
            <w:vAlign w:val="center"/>
          </w:tcPr>
          <w:p>
            <w:pPr>
              <w:rPr>
                <w:rFonts w:ascii="宋体" w:hAnsi="宋体"/>
                <w:szCs w:val="21"/>
              </w:rPr>
            </w:pPr>
            <w:r>
              <w:rPr>
                <w:rFonts w:ascii="宋体" w:hAnsi="宋体" w:hint="eastAsia"/>
                <w:szCs w:val="21"/>
              </w:rPr>
              <w:t>发电机检修门</w:t>
            </w:r>
          </w:p>
        </w:tc>
        <w:tc>
          <w:tcPr>
            <w:tcW w:w="3462" w:type="pct"/>
            <w:vAlign w:val="center"/>
          </w:tcPr>
          <w:p>
            <w:pPr>
              <w:rPr>
                <w:rFonts w:ascii="宋体" w:hAnsi="宋体" w:cs="宋体"/>
                <w:szCs w:val="21"/>
              </w:rPr>
            </w:pPr>
            <w:r>
              <w:rPr>
                <w:rFonts w:ascii="宋体" w:hAnsi="宋体" w:cs="宋体" w:hint="eastAsia"/>
                <w:szCs w:val="21"/>
              </w:rPr>
              <w:t>采用高强度铝合金结构，门板上配备百叶窗式格栅，用于设备通风散热。</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280"/>
        </w:trPr>
        <w:tc>
          <w:tcPr>
            <w:tcW w:w="672" w:type="pct"/>
            <w:vAlign w:val="center"/>
          </w:tcPr>
          <w:p>
            <w:pPr>
              <w:rPr>
                <w:rFonts w:ascii="宋体" w:hAnsi="宋体"/>
                <w:szCs w:val="21"/>
              </w:rPr>
            </w:pPr>
            <w:r>
              <w:rPr>
                <w:rFonts w:ascii="宋体" w:hAnsi="宋体" w:hint="eastAsia"/>
                <w:szCs w:val="21"/>
              </w:rPr>
              <w:t>采光窗帘</w:t>
            </w:r>
          </w:p>
        </w:tc>
        <w:tc>
          <w:tcPr>
            <w:tcW w:w="3462" w:type="pct"/>
            <w:vAlign w:val="center"/>
          </w:tcPr>
          <w:p>
            <w:pPr>
              <w:rPr>
                <w:rFonts w:ascii="宋体" w:hAnsi="宋体"/>
                <w:szCs w:val="21"/>
              </w:rPr>
            </w:pPr>
            <w:r>
              <w:rPr>
                <w:rFonts w:ascii="宋体" w:hAnsi="宋体" w:hint="eastAsia"/>
                <w:szCs w:val="21"/>
              </w:rPr>
              <w:t>采用避光防蚊一体式窗帘。</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280"/>
        </w:trPr>
        <w:tc>
          <w:tcPr>
            <w:tcW w:w="672" w:type="pct"/>
            <w:vAlign w:val="center"/>
          </w:tcPr>
          <w:p>
            <w:pPr>
              <w:rPr>
                <w:rFonts w:ascii="宋体" w:hAnsi="宋体"/>
                <w:szCs w:val="21"/>
              </w:rPr>
            </w:pPr>
            <w:r>
              <w:rPr>
                <w:rFonts w:ascii="宋体" w:hAnsi="宋体" w:hint="eastAsia"/>
                <w:szCs w:val="21"/>
              </w:rPr>
              <w:t>设备机柜</w:t>
            </w:r>
          </w:p>
        </w:tc>
        <w:tc>
          <w:tcPr>
            <w:tcW w:w="3462" w:type="pct"/>
            <w:vAlign w:val="center"/>
          </w:tcPr>
          <w:p>
            <w:pPr>
              <w:rPr>
                <w:rFonts w:ascii="宋体" w:hAnsi="宋体"/>
                <w:szCs w:val="21"/>
              </w:rPr>
            </w:pPr>
            <w:r>
              <w:rPr>
                <w:rFonts w:ascii="宋体" w:hAnsi="宋体" w:hint="eastAsia"/>
                <w:szCs w:val="21"/>
              </w:rPr>
              <w:t>标准19英寸机架，表面喷塑，包含安装件、减震等，尺寸符合设备上装要求。</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280"/>
        </w:trPr>
        <w:tc>
          <w:tcPr>
            <w:tcW w:w="672" w:type="pct"/>
            <w:vAlign w:val="center"/>
          </w:tcPr>
          <w:p>
            <w:pPr>
              <w:rPr>
                <w:rFonts w:ascii="宋体" w:hAnsi="宋体"/>
                <w:szCs w:val="21"/>
              </w:rPr>
            </w:pPr>
            <w:r>
              <w:rPr>
                <w:rFonts w:ascii="宋体" w:hAnsi="宋体" w:hint="eastAsia"/>
                <w:szCs w:val="21"/>
              </w:rPr>
              <w:t>舱体地板</w:t>
            </w:r>
          </w:p>
        </w:tc>
        <w:tc>
          <w:tcPr>
            <w:tcW w:w="3462" w:type="pct"/>
            <w:vAlign w:val="center"/>
          </w:tcPr>
          <w:p>
            <w:pPr>
              <w:rPr>
                <w:rFonts w:ascii="宋体" w:hAnsi="宋体"/>
                <w:szCs w:val="21"/>
              </w:rPr>
            </w:pPr>
            <w:r>
              <w:rPr>
                <w:rFonts w:ascii="宋体" w:hAnsi="宋体" w:hint="eastAsia"/>
                <w:szCs w:val="21"/>
              </w:rPr>
              <w:t>会议区和操作区表面铺地板革，发电机区域铺设花纹铝板</w:t>
            </w:r>
            <w:r>
              <w:rPr>
                <w:rFonts w:ascii="宋体" w:hAnsi="宋体" w:cs="宋体" w:hint="eastAsia"/>
                <w:szCs w:val="21"/>
              </w:rPr>
              <w:t>。</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520"/>
        </w:trPr>
        <w:tc>
          <w:tcPr>
            <w:tcW w:w="672" w:type="pct"/>
            <w:vAlign w:val="center"/>
          </w:tcPr>
          <w:p>
            <w:pPr>
              <w:rPr>
                <w:rFonts w:ascii="宋体" w:hAnsi="宋体"/>
                <w:szCs w:val="21"/>
              </w:rPr>
            </w:pPr>
            <w:r>
              <w:rPr>
                <w:rFonts w:ascii="宋体" w:hAnsi="宋体" w:hint="eastAsia"/>
                <w:szCs w:val="21"/>
              </w:rPr>
              <w:t>舱内基础内饰</w:t>
            </w:r>
          </w:p>
        </w:tc>
        <w:tc>
          <w:tcPr>
            <w:tcW w:w="3462" w:type="pct"/>
            <w:vAlign w:val="center"/>
          </w:tcPr>
          <w:p>
            <w:pPr>
              <w:rPr>
                <w:rFonts w:ascii="宋体" w:hAnsi="宋体"/>
                <w:szCs w:val="21"/>
              </w:rPr>
            </w:pPr>
            <w:r>
              <w:rPr>
                <w:rFonts w:ascii="宋体" w:hAnsi="宋体" w:hint="eastAsia"/>
                <w:szCs w:val="21"/>
              </w:rPr>
              <w:t>对</w:t>
            </w:r>
            <w:r>
              <w:rPr>
                <w:rFonts w:ascii="宋体" w:hAnsi="宋体" w:cs="宋体"/>
                <w:szCs w:val="21"/>
              </w:rPr>
              <w:t>厢体内部进行平整处理，</w:t>
            </w:r>
            <w:r>
              <w:rPr>
                <w:rFonts w:ascii="宋体" w:hAnsi="宋体" w:cs="宋体" w:hint="eastAsia"/>
                <w:szCs w:val="21"/>
              </w:rPr>
              <w:t>会议区和</w:t>
            </w:r>
            <w:r>
              <w:rPr>
                <w:rFonts w:ascii="宋体" w:hAnsi="宋体" w:cs="宋体"/>
                <w:szCs w:val="21"/>
              </w:rPr>
              <w:t>操作区表面喷漆或软包装饰，发电</w:t>
            </w:r>
            <w:r>
              <w:rPr>
                <w:rFonts w:ascii="宋体" w:hAnsi="宋体" w:cs="宋体" w:hint="eastAsia"/>
                <w:szCs w:val="21"/>
              </w:rPr>
              <w:t>区区</w:t>
            </w:r>
            <w:r>
              <w:rPr>
                <w:rFonts w:ascii="宋体" w:hAnsi="宋体" w:cs="宋体"/>
                <w:szCs w:val="21"/>
              </w:rPr>
              <w:t>墙面喷漆处理。</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280"/>
        </w:trPr>
        <w:tc>
          <w:tcPr>
            <w:tcW w:w="672" w:type="pct"/>
            <w:vAlign w:val="center"/>
          </w:tcPr>
          <w:p>
            <w:pPr>
              <w:rPr>
                <w:rFonts w:ascii="宋体" w:hAnsi="宋体"/>
                <w:szCs w:val="21"/>
              </w:rPr>
            </w:pPr>
            <w:r>
              <w:rPr>
                <w:rFonts w:ascii="宋体" w:hAnsi="宋体" w:hint="eastAsia"/>
                <w:szCs w:val="21"/>
              </w:rPr>
              <w:t>机柜台面</w:t>
            </w:r>
          </w:p>
        </w:tc>
        <w:tc>
          <w:tcPr>
            <w:tcW w:w="3462" w:type="pct"/>
            <w:vAlign w:val="center"/>
          </w:tcPr>
          <w:p>
            <w:pPr>
              <w:rPr>
                <w:rFonts w:ascii="宋体" w:hAnsi="宋体"/>
                <w:szCs w:val="21"/>
              </w:rPr>
            </w:pPr>
            <w:r>
              <w:rPr>
                <w:rFonts w:ascii="宋体" w:hAnsi="宋体" w:hint="eastAsia"/>
                <w:szCs w:val="21"/>
              </w:rPr>
              <w:t>采用环保免漆板制作。</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280"/>
        </w:trPr>
        <w:tc>
          <w:tcPr>
            <w:tcW w:w="672" w:type="pct"/>
            <w:vAlign w:val="center"/>
          </w:tcPr>
          <w:p>
            <w:pPr>
              <w:rPr>
                <w:rFonts w:ascii="宋体" w:hAnsi="宋体"/>
                <w:szCs w:val="21"/>
              </w:rPr>
            </w:pPr>
            <w:r>
              <w:rPr>
                <w:rFonts w:ascii="宋体" w:hAnsi="宋体" w:hint="eastAsia"/>
                <w:szCs w:val="21"/>
              </w:rPr>
              <w:t>操作员座椅</w:t>
            </w:r>
          </w:p>
        </w:tc>
        <w:tc>
          <w:tcPr>
            <w:tcW w:w="3462" w:type="pct"/>
            <w:vAlign w:val="center"/>
          </w:tcPr>
          <w:p>
            <w:pPr>
              <w:rPr>
                <w:rFonts w:ascii="宋体" w:hAnsi="宋体"/>
                <w:szCs w:val="21"/>
              </w:rPr>
            </w:pPr>
            <w:r>
              <w:rPr>
                <w:rFonts w:ascii="宋体" w:hAnsi="宋体" w:hint="eastAsia"/>
                <w:szCs w:val="21"/>
              </w:rPr>
              <w:t>可旋转、前后滑移。</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280"/>
        </w:trPr>
        <w:tc>
          <w:tcPr>
            <w:tcW w:w="672" w:type="pct"/>
            <w:vAlign w:val="center"/>
          </w:tcPr>
          <w:p>
            <w:pPr>
              <w:rPr>
                <w:rFonts w:ascii="宋体" w:hAnsi="宋体"/>
                <w:szCs w:val="21"/>
              </w:rPr>
            </w:pPr>
            <w:r>
              <w:rPr>
                <w:rFonts w:ascii="宋体" w:hAnsi="宋体" w:hint="eastAsia"/>
                <w:szCs w:val="21"/>
              </w:rPr>
              <w:t>油漆及外饰</w:t>
            </w:r>
          </w:p>
        </w:tc>
        <w:tc>
          <w:tcPr>
            <w:tcW w:w="3462" w:type="pct"/>
            <w:vAlign w:val="center"/>
          </w:tcPr>
          <w:p>
            <w:pPr>
              <w:rPr>
                <w:rFonts w:ascii="宋体" w:hAnsi="宋体"/>
                <w:szCs w:val="21"/>
              </w:rPr>
            </w:pPr>
            <w:r>
              <w:rPr>
                <w:rFonts w:ascii="宋体" w:hAnsi="宋体" w:hint="eastAsia"/>
                <w:szCs w:val="21"/>
              </w:rPr>
              <w:t>专业烤漆房烤漆，外观贴字根据采购人需求订制。</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520"/>
        </w:trPr>
        <w:tc>
          <w:tcPr>
            <w:tcW w:w="672" w:type="pct"/>
            <w:vAlign w:val="center"/>
          </w:tcPr>
          <w:p>
            <w:pPr>
              <w:rPr>
                <w:rFonts w:ascii="宋体" w:hAnsi="宋体"/>
                <w:szCs w:val="21"/>
              </w:rPr>
            </w:pPr>
            <w:r>
              <w:rPr>
                <w:rFonts w:ascii="宋体" w:hAnsi="宋体" w:hint="eastAsia"/>
                <w:szCs w:val="21"/>
              </w:rPr>
              <w:t>车内外照明系统</w:t>
            </w:r>
          </w:p>
        </w:tc>
        <w:tc>
          <w:tcPr>
            <w:tcW w:w="3462" w:type="pct"/>
            <w:vAlign w:val="center"/>
          </w:tcPr>
          <w:p>
            <w:pPr>
              <w:rPr>
                <w:rFonts w:ascii="宋体" w:hAnsi="宋体"/>
                <w:szCs w:val="21"/>
              </w:rPr>
            </w:pPr>
            <w:r>
              <w:rPr>
                <w:rFonts w:ascii="宋体" w:hAnsi="宋体" w:hint="eastAsia"/>
                <w:szCs w:val="21"/>
              </w:rPr>
              <w:t>车内外LED照明灯满足工作及车外场地照明需求。</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r>
        <w:tblPrEx>
          <w:tblW w:w="5000" w:type="pct"/>
          <w:tblInd w:w="0" w:type="dxa"/>
          <w:tblCellMar>
            <w:top w:w="0" w:type="dxa"/>
            <w:left w:w="108" w:type="dxa"/>
            <w:bottom w:w="0" w:type="dxa"/>
            <w:right w:w="108" w:type="dxa"/>
          </w:tblCellMar>
        </w:tblPrEx>
        <w:trPr>
          <w:trHeight w:val="280"/>
        </w:trPr>
        <w:tc>
          <w:tcPr>
            <w:tcW w:w="672" w:type="pct"/>
            <w:vAlign w:val="center"/>
          </w:tcPr>
          <w:p>
            <w:pPr>
              <w:rPr>
                <w:rFonts w:ascii="宋体" w:hAnsi="宋体"/>
                <w:szCs w:val="21"/>
              </w:rPr>
            </w:pPr>
            <w:r>
              <w:rPr>
                <w:rFonts w:ascii="宋体" w:hAnsi="宋体" w:hint="eastAsia"/>
                <w:szCs w:val="21"/>
              </w:rPr>
              <w:t>其他辅助</w:t>
            </w:r>
          </w:p>
        </w:tc>
        <w:tc>
          <w:tcPr>
            <w:tcW w:w="3462" w:type="pct"/>
            <w:vAlign w:val="center"/>
          </w:tcPr>
          <w:p>
            <w:pPr>
              <w:rPr>
                <w:rFonts w:ascii="宋体" w:hAnsi="宋体"/>
                <w:szCs w:val="21"/>
              </w:rPr>
            </w:pPr>
            <w:r>
              <w:rPr>
                <w:rFonts w:ascii="宋体" w:hAnsi="宋体" w:hint="eastAsia"/>
                <w:szCs w:val="21"/>
              </w:rPr>
              <w:t>配备灭火器、综合布线、集成制作等附件耗材，包含波纹管、胶带、扎带、接插件等。</w:t>
            </w:r>
          </w:p>
        </w:tc>
        <w:tc>
          <w:tcPr>
            <w:tcW w:w="422" w:type="pct"/>
            <w:vAlign w:val="center"/>
          </w:tcPr>
          <w:p>
            <w:pPr>
              <w:jc w:val="center"/>
              <w:rPr>
                <w:rFonts w:ascii="宋体" w:hAnsi="宋体"/>
                <w:szCs w:val="21"/>
              </w:rPr>
            </w:pPr>
            <w:r>
              <w:rPr>
                <w:rFonts w:ascii="宋体" w:hAnsi="宋体" w:hint="eastAsia"/>
                <w:szCs w:val="21"/>
              </w:rPr>
              <w:t>1</w:t>
            </w:r>
          </w:p>
        </w:tc>
        <w:tc>
          <w:tcPr>
            <w:tcW w:w="444" w:type="pct"/>
            <w:vAlign w:val="center"/>
          </w:tcPr>
          <w:p>
            <w:pPr>
              <w:jc w:val="center"/>
              <w:rPr>
                <w:rFonts w:ascii="宋体" w:hAnsi="宋体"/>
                <w:szCs w:val="21"/>
              </w:rPr>
            </w:pPr>
            <w:r>
              <w:rPr>
                <w:rFonts w:ascii="宋体" w:hAnsi="宋体" w:hint="eastAsia"/>
                <w:szCs w:val="21"/>
              </w:rPr>
              <w:t>套</w:t>
            </w:r>
          </w:p>
        </w:tc>
      </w:tr>
    </w:tbl>
    <w:p>
      <w:pPr>
        <w:spacing w:line="360" w:lineRule="auto"/>
        <w:outlineLvl w:val="2"/>
        <w:rPr>
          <w:rFonts w:ascii="宋体" w:hAnsi="宋体"/>
          <w:b/>
          <w:bCs/>
          <w:szCs w:val="21"/>
        </w:rPr>
      </w:pPr>
      <w:r>
        <w:rPr>
          <w:rFonts w:ascii="宋体" w:hAnsi="宋体" w:hint="eastAsia"/>
          <w:b/>
          <w:bCs/>
          <w:szCs w:val="21"/>
        </w:rPr>
        <w:t>2.9供电系统（数量2套）</w:t>
      </w:r>
    </w:p>
    <w:p>
      <w:pPr>
        <w:spacing w:line="360" w:lineRule="auto"/>
        <w:ind w:firstLine="420" w:firstLineChars="200"/>
        <w:rPr>
          <w:rFonts w:ascii="宋体" w:hAnsi="宋体"/>
          <w:szCs w:val="21"/>
        </w:rPr>
      </w:pPr>
      <w:r>
        <w:rPr>
          <w:rFonts w:ascii="宋体" w:hAnsi="宋体" w:cs="宋体" w:hint="eastAsia"/>
          <w:szCs w:val="21"/>
        </w:rPr>
        <w:t>方舱具备1路380V或1路220V市电供电</w:t>
      </w:r>
      <w:r>
        <w:rPr>
          <w:rFonts w:ascii="宋体" w:hAnsi="宋体" w:hint="eastAsia"/>
          <w:szCs w:val="21"/>
        </w:rPr>
        <w:t>，1路发电机供电供电接口，做好标识。供电方式可以切换。满足市电、发电机、UPS不间断供电要求。通过舱体对外提供供电及接地的转接板，当外部电源接至转接板后，内部通过配电箱给各设备供电。</w:t>
      </w:r>
    </w:p>
    <w:tbl>
      <w:tblPr>
        <w:tblStyle w:val="TableNormal"/>
        <w:tblW w:w="5094"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146"/>
        <w:gridCol w:w="5900"/>
        <w:gridCol w:w="863"/>
        <w:gridCol w:w="773"/>
      </w:tblGrid>
      <w:tr>
        <w:tblPrEx>
          <w:tblW w:w="5094"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780"/>
        </w:trPr>
        <w:tc>
          <w:tcPr>
            <w:tcW w:w="660" w:type="pct"/>
            <w:vAlign w:val="center"/>
          </w:tcPr>
          <w:p>
            <w:pPr>
              <w:jc w:val="center"/>
              <w:rPr>
                <w:rFonts w:ascii="宋体" w:hAnsi="宋体"/>
                <w:szCs w:val="21"/>
              </w:rPr>
            </w:pPr>
            <w:r>
              <w:rPr>
                <w:rFonts w:ascii="宋体" w:hAnsi="宋体" w:hint="eastAsia"/>
                <w:szCs w:val="21"/>
              </w:rPr>
              <w:t>设施名称</w:t>
            </w:r>
          </w:p>
        </w:tc>
        <w:tc>
          <w:tcPr>
            <w:tcW w:w="3398" w:type="pct"/>
            <w:vAlign w:val="center"/>
          </w:tcPr>
          <w:p>
            <w:pPr>
              <w:jc w:val="center"/>
              <w:rPr>
                <w:rFonts w:ascii="宋体" w:hAnsi="宋体"/>
                <w:szCs w:val="21"/>
              </w:rPr>
            </w:pPr>
            <w:r>
              <w:rPr>
                <w:rFonts w:ascii="宋体" w:hAnsi="宋体" w:hint="eastAsia"/>
                <w:szCs w:val="21"/>
              </w:rPr>
              <w:t>功能要求</w:t>
            </w:r>
          </w:p>
        </w:tc>
        <w:tc>
          <w:tcPr>
            <w:tcW w:w="497" w:type="pct"/>
            <w:vAlign w:val="center"/>
          </w:tcPr>
          <w:p>
            <w:pPr>
              <w:jc w:val="center"/>
              <w:rPr>
                <w:rFonts w:ascii="宋体" w:hAnsi="宋体"/>
                <w:szCs w:val="21"/>
              </w:rPr>
            </w:pPr>
            <w:r>
              <w:rPr>
                <w:rFonts w:ascii="宋体" w:hAnsi="宋体" w:hint="eastAsia"/>
                <w:szCs w:val="21"/>
              </w:rPr>
              <w:t>数量</w:t>
            </w:r>
          </w:p>
        </w:tc>
        <w:tc>
          <w:tcPr>
            <w:tcW w:w="445" w:type="pct"/>
            <w:vAlign w:val="center"/>
          </w:tcPr>
          <w:p>
            <w:pPr>
              <w:jc w:val="center"/>
              <w:rPr>
                <w:rFonts w:ascii="宋体" w:hAnsi="宋体"/>
                <w:szCs w:val="21"/>
              </w:rPr>
            </w:pPr>
            <w:r>
              <w:rPr>
                <w:rFonts w:ascii="宋体" w:hAnsi="宋体" w:hint="eastAsia"/>
                <w:szCs w:val="21"/>
              </w:rPr>
              <w:t>单位</w:t>
            </w:r>
          </w:p>
        </w:tc>
      </w:tr>
      <w:tr>
        <w:tblPrEx>
          <w:tblW w:w="5094" w:type="pct"/>
          <w:tblInd w:w="0" w:type="dxa"/>
          <w:tblCellMar>
            <w:top w:w="0" w:type="dxa"/>
            <w:left w:w="108" w:type="dxa"/>
            <w:bottom w:w="0" w:type="dxa"/>
            <w:right w:w="108" w:type="dxa"/>
          </w:tblCellMar>
        </w:tblPrEx>
        <w:trPr>
          <w:trHeight w:val="780"/>
        </w:trPr>
        <w:tc>
          <w:tcPr>
            <w:tcW w:w="660" w:type="pct"/>
            <w:vAlign w:val="center"/>
          </w:tcPr>
          <w:p>
            <w:pPr>
              <w:rPr>
                <w:rFonts w:ascii="宋体" w:hAnsi="宋体"/>
                <w:szCs w:val="21"/>
              </w:rPr>
            </w:pPr>
            <w:r>
              <w:rPr>
                <w:rFonts w:ascii="宋体" w:hAnsi="宋体" w:hint="eastAsia"/>
                <w:szCs w:val="21"/>
              </w:rPr>
              <w:t>市电接入</w:t>
            </w:r>
          </w:p>
        </w:tc>
        <w:tc>
          <w:tcPr>
            <w:tcW w:w="3398" w:type="pct"/>
            <w:vAlign w:val="center"/>
          </w:tcPr>
          <w:p>
            <w:pPr>
              <w:rPr>
                <w:rFonts w:ascii="宋体" w:hAnsi="宋体"/>
                <w:szCs w:val="21"/>
              </w:rPr>
            </w:pPr>
            <w:r>
              <w:rPr>
                <w:rFonts w:ascii="宋体" w:hAnsi="宋体" w:hint="eastAsia"/>
                <w:szCs w:val="21"/>
              </w:rPr>
              <w:t>具备1路供电电压380×（1±10%）V、频率50×（1±5%）Hz或1路供电电压220×（1±10%）V、频率50×（1±5%）Hz，供电功率不低于15KW，配备满足功率的手动或电动市电线缆轴长度≮45米;配备满足功率的市电对接插头。</w:t>
            </w:r>
          </w:p>
        </w:tc>
        <w:tc>
          <w:tcPr>
            <w:tcW w:w="497" w:type="pct"/>
            <w:vAlign w:val="center"/>
          </w:tcPr>
          <w:p>
            <w:pPr>
              <w:jc w:val="center"/>
              <w:rPr>
                <w:rFonts w:ascii="宋体" w:hAnsi="宋体"/>
                <w:szCs w:val="21"/>
              </w:rPr>
            </w:pPr>
            <w:r>
              <w:rPr>
                <w:rFonts w:ascii="宋体" w:hAnsi="宋体" w:hint="eastAsia"/>
                <w:szCs w:val="21"/>
              </w:rPr>
              <w:t>1</w:t>
            </w:r>
          </w:p>
        </w:tc>
        <w:tc>
          <w:tcPr>
            <w:tcW w:w="445" w:type="pct"/>
            <w:vAlign w:val="center"/>
          </w:tcPr>
          <w:p>
            <w:pPr>
              <w:rPr>
                <w:rFonts w:ascii="宋体" w:hAnsi="宋体"/>
                <w:szCs w:val="21"/>
              </w:rPr>
            </w:pPr>
            <w:r>
              <w:rPr>
                <w:rFonts w:ascii="宋体" w:hAnsi="宋体" w:hint="eastAsia"/>
                <w:szCs w:val="21"/>
              </w:rPr>
              <w:t>套</w:t>
            </w:r>
          </w:p>
        </w:tc>
      </w:tr>
      <w:tr>
        <w:tblPrEx>
          <w:tblW w:w="5094" w:type="pct"/>
          <w:tblInd w:w="0" w:type="dxa"/>
          <w:tblCellMar>
            <w:top w:w="0" w:type="dxa"/>
            <w:left w:w="108" w:type="dxa"/>
            <w:bottom w:w="0" w:type="dxa"/>
            <w:right w:w="108" w:type="dxa"/>
          </w:tblCellMar>
        </w:tblPrEx>
        <w:trPr>
          <w:trHeight w:val="1008"/>
        </w:trPr>
        <w:tc>
          <w:tcPr>
            <w:tcW w:w="660" w:type="pct"/>
            <w:vAlign w:val="center"/>
          </w:tcPr>
          <w:p>
            <w:pPr>
              <w:rPr>
                <w:rFonts w:ascii="宋体" w:hAnsi="宋体"/>
                <w:szCs w:val="21"/>
              </w:rPr>
            </w:pPr>
            <w:r>
              <w:rPr>
                <w:rFonts w:ascii="宋体" w:hAnsi="宋体" w:hint="eastAsia"/>
                <w:szCs w:val="21"/>
              </w:rPr>
              <w:t>静音发电机</w:t>
            </w:r>
          </w:p>
        </w:tc>
        <w:tc>
          <w:tcPr>
            <w:tcW w:w="3398" w:type="pct"/>
            <w:vAlign w:val="center"/>
          </w:tcPr>
          <w:p>
            <w:pPr>
              <w:rPr>
                <w:rFonts w:ascii="宋体" w:hAnsi="宋体"/>
                <w:szCs w:val="21"/>
              </w:rPr>
            </w:pPr>
            <w:r>
              <w:rPr>
                <w:rFonts w:ascii="宋体" w:hAnsi="宋体" w:hint="eastAsia"/>
                <w:szCs w:val="21"/>
              </w:rPr>
              <w:t xml:space="preserve">a) 额定频率：50 HZ </w:t>
            </w:r>
          </w:p>
          <w:p>
            <w:pPr>
              <w:rPr>
                <w:rFonts w:ascii="宋体" w:hAnsi="宋体"/>
                <w:szCs w:val="21"/>
              </w:rPr>
            </w:pPr>
            <w:r>
              <w:rPr>
                <w:rFonts w:ascii="宋体" w:hAnsi="宋体" w:hint="eastAsia"/>
                <w:szCs w:val="21"/>
              </w:rPr>
              <w:t>b) 额定输出功率：≥15KW</w:t>
            </w:r>
          </w:p>
          <w:p>
            <w:pPr>
              <w:rPr>
                <w:rFonts w:ascii="宋体" w:hAnsi="宋体"/>
                <w:szCs w:val="21"/>
              </w:rPr>
            </w:pPr>
            <w:r>
              <w:rPr>
                <w:rFonts w:ascii="宋体" w:hAnsi="宋体" w:hint="eastAsia"/>
                <w:szCs w:val="21"/>
              </w:rPr>
              <w:t>c) 额定电压：230V或400V</w:t>
            </w:r>
          </w:p>
          <w:p>
            <w:pPr>
              <w:rPr>
                <w:rFonts w:ascii="宋体" w:hAnsi="宋体"/>
                <w:szCs w:val="21"/>
              </w:rPr>
            </w:pPr>
            <w:r>
              <w:rPr>
                <w:rFonts w:ascii="宋体" w:hAnsi="宋体" w:hint="eastAsia"/>
                <w:szCs w:val="21"/>
              </w:rPr>
              <w:t>d) 机组连续运行时间：≥12h</w:t>
            </w:r>
          </w:p>
          <w:p>
            <w:pPr>
              <w:rPr>
                <w:rFonts w:ascii="宋体" w:hAnsi="宋体"/>
                <w:szCs w:val="21"/>
              </w:rPr>
            </w:pPr>
            <w:r>
              <w:rPr>
                <w:rFonts w:ascii="宋体" w:hAnsi="宋体" w:hint="eastAsia"/>
                <w:szCs w:val="21"/>
              </w:rPr>
              <w:t>e) 噪音（1m处）：≤75 dB(A)</w:t>
            </w:r>
          </w:p>
          <w:p>
            <w:pPr>
              <w:rPr>
                <w:rFonts w:ascii="宋体" w:hAnsi="宋体"/>
                <w:szCs w:val="21"/>
              </w:rPr>
            </w:pPr>
            <w:r>
              <w:rPr>
                <w:rFonts w:ascii="宋体" w:hAnsi="宋体" w:hint="eastAsia"/>
                <w:szCs w:val="21"/>
              </w:rPr>
              <w:t>f）缸体结构散热型式：水冷</w:t>
            </w:r>
          </w:p>
          <w:p>
            <w:pPr>
              <w:rPr>
                <w:rFonts w:ascii="宋体" w:hAnsi="宋体"/>
                <w:szCs w:val="21"/>
              </w:rPr>
            </w:pPr>
            <w:r>
              <w:rPr>
                <w:rFonts w:ascii="宋体" w:hAnsi="宋体" w:hint="eastAsia"/>
                <w:szCs w:val="21"/>
              </w:rPr>
              <w:t>g）机组燃油箱容量L:≥60</w:t>
            </w:r>
          </w:p>
          <w:p>
            <w:pPr>
              <w:rPr>
                <w:rFonts w:ascii="宋体" w:hAnsi="宋体"/>
                <w:szCs w:val="21"/>
              </w:rPr>
            </w:pPr>
            <w:r>
              <w:rPr>
                <w:rFonts w:ascii="宋体" w:hAnsi="宋体" w:hint="eastAsia"/>
                <w:szCs w:val="21"/>
              </w:rPr>
              <w:t>h)外形尺寸mm：≤1400×700×890</w:t>
            </w:r>
          </w:p>
        </w:tc>
        <w:tc>
          <w:tcPr>
            <w:tcW w:w="497" w:type="pct"/>
            <w:vAlign w:val="center"/>
          </w:tcPr>
          <w:p>
            <w:pPr>
              <w:jc w:val="center"/>
              <w:rPr>
                <w:rFonts w:ascii="宋体" w:hAnsi="宋体"/>
                <w:szCs w:val="21"/>
              </w:rPr>
            </w:pPr>
            <w:r>
              <w:rPr>
                <w:rFonts w:ascii="宋体" w:hAnsi="宋体" w:hint="eastAsia"/>
                <w:szCs w:val="21"/>
              </w:rPr>
              <w:t>1</w:t>
            </w:r>
          </w:p>
        </w:tc>
        <w:tc>
          <w:tcPr>
            <w:tcW w:w="445" w:type="pct"/>
            <w:vAlign w:val="center"/>
          </w:tcPr>
          <w:p>
            <w:pPr>
              <w:rPr>
                <w:rFonts w:ascii="宋体" w:hAnsi="宋体"/>
                <w:szCs w:val="21"/>
              </w:rPr>
            </w:pPr>
            <w:r>
              <w:rPr>
                <w:rFonts w:ascii="宋体" w:hAnsi="宋体" w:hint="eastAsia"/>
                <w:szCs w:val="21"/>
              </w:rPr>
              <w:t>套</w:t>
            </w:r>
          </w:p>
        </w:tc>
      </w:tr>
      <w:tr>
        <w:tblPrEx>
          <w:tblW w:w="5094" w:type="pct"/>
          <w:tblInd w:w="0" w:type="dxa"/>
          <w:tblCellMar>
            <w:top w:w="0" w:type="dxa"/>
            <w:left w:w="108" w:type="dxa"/>
            <w:bottom w:w="0" w:type="dxa"/>
            <w:right w:w="108" w:type="dxa"/>
          </w:tblCellMar>
        </w:tblPrEx>
        <w:trPr>
          <w:trHeight w:val="54"/>
        </w:trPr>
        <w:tc>
          <w:tcPr>
            <w:tcW w:w="660" w:type="pct"/>
            <w:vAlign w:val="center"/>
          </w:tcPr>
          <w:p>
            <w:pPr>
              <w:rPr>
                <w:rFonts w:ascii="宋体" w:hAnsi="宋体"/>
                <w:szCs w:val="21"/>
              </w:rPr>
            </w:pPr>
            <w:r>
              <w:rPr>
                <w:rFonts w:ascii="宋体" w:hAnsi="宋体" w:hint="eastAsia"/>
                <w:szCs w:val="21"/>
              </w:rPr>
              <w:t>UPS不间断电源</w:t>
            </w:r>
          </w:p>
        </w:tc>
        <w:tc>
          <w:tcPr>
            <w:tcW w:w="3398" w:type="pct"/>
            <w:vAlign w:val="center"/>
          </w:tcPr>
          <w:p>
            <w:pPr>
              <w:rPr>
                <w:rFonts w:ascii="宋体" w:hAnsi="宋体"/>
                <w:szCs w:val="21"/>
              </w:rPr>
            </w:pPr>
            <w:r>
              <w:rPr>
                <w:rFonts w:ascii="宋体" w:hAnsi="宋体" w:hint="eastAsia"/>
                <w:szCs w:val="21"/>
              </w:rPr>
              <w:t>额定容量丈9KVA，额定电压支持车内用电设备运行;电池容量满足UPS主机正常运行,满足后备电源30分钟供电时长。</w:t>
            </w:r>
          </w:p>
        </w:tc>
        <w:tc>
          <w:tcPr>
            <w:tcW w:w="497" w:type="pct"/>
            <w:vAlign w:val="center"/>
          </w:tcPr>
          <w:p>
            <w:pPr>
              <w:jc w:val="center"/>
              <w:rPr>
                <w:rFonts w:ascii="宋体" w:hAnsi="宋体"/>
                <w:szCs w:val="21"/>
              </w:rPr>
            </w:pPr>
            <w:r>
              <w:rPr>
                <w:rFonts w:ascii="宋体" w:hAnsi="宋体" w:hint="eastAsia"/>
                <w:szCs w:val="21"/>
              </w:rPr>
              <w:t>1</w:t>
            </w:r>
          </w:p>
        </w:tc>
        <w:tc>
          <w:tcPr>
            <w:tcW w:w="445" w:type="pct"/>
            <w:vAlign w:val="center"/>
          </w:tcPr>
          <w:p>
            <w:pPr>
              <w:rPr>
                <w:rFonts w:ascii="宋体" w:hAnsi="宋体"/>
                <w:szCs w:val="21"/>
              </w:rPr>
            </w:pPr>
            <w:r>
              <w:rPr>
                <w:rFonts w:ascii="宋体" w:hAnsi="宋体" w:hint="eastAsia"/>
                <w:szCs w:val="21"/>
              </w:rPr>
              <w:t>套</w:t>
            </w:r>
          </w:p>
        </w:tc>
      </w:tr>
      <w:tr>
        <w:tblPrEx>
          <w:tblW w:w="5094" w:type="pct"/>
          <w:tblInd w:w="0" w:type="dxa"/>
          <w:tblCellMar>
            <w:top w:w="0" w:type="dxa"/>
            <w:left w:w="108" w:type="dxa"/>
            <w:bottom w:w="0" w:type="dxa"/>
            <w:right w:w="108" w:type="dxa"/>
          </w:tblCellMar>
        </w:tblPrEx>
        <w:trPr>
          <w:trHeight w:val="520"/>
        </w:trPr>
        <w:tc>
          <w:tcPr>
            <w:tcW w:w="660" w:type="pct"/>
            <w:vAlign w:val="center"/>
          </w:tcPr>
          <w:p>
            <w:pPr>
              <w:rPr>
                <w:rFonts w:ascii="宋体" w:hAnsi="宋体"/>
                <w:szCs w:val="21"/>
              </w:rPr>
            </w:pPr>
            <w:r>
              <w:rPr>
                <w:rFonts w:ascii="宋体" w:hAnsi="宋体" w:hint="eastAsia"/>
                <w:szCs w:val="21"/>
              </w:rPr>
              <w:t>配电箱</w:t>
            </w:r>
          </w:p>
        </w:tc>
        <w:tc>
          <w:tcPr>
            <w:tcW w:w="3398" w:type="pct"/>
            <w:vAlign w:val="center"/>
          </w:tcPr>
          <w:p>
            <w:pPr>
              <w:rPr>
                <w:rFonts w:ascii="宋体" w:hAnsi="宋体"/>
                <w:szCs w:val="21"/>
              </w:rPr>
            </w:pPr>
            <w:r>
              <w:rPr>
                <w:rFonts w:ascii="宋体" w:hAnsi="宋体" w:hint="eastAsia"/>
                <w:szCs w:val="21"/>
              </w:rPr>
              <w:t>集中式电源管理系统，含支路开关、指示灯、电源电压电流显示等，开关分别控制空调、设备用电等；配电盘面板为数控机床加工，表面喷塑处理。</w:t>
            </w:r>
          </w:p>
        </w:tc>
        <w:tc>
          <w:tcPr>
            <w:tcW w:w="497" w:type="pct"/>
            <w:vAlign w:val="center"/>
          </w:tcPr>
          <w:p>
            <w:pPr>
              <w:jc w:val="center"/>
              <w:rPr>
                <w:rFonts w:ascii="宋体" w:hAnsi="宋体"/>
                <w:szCs w:val="21"/>
              </w:rPr>
            </w:pPr>
            <w:r>
              <w:rPr>
                <w:rFonts w:ascii="宋体" w:hAnsi="宋体" w:hint="eastAsia"/>
                <w:szCs w:val="21"/>
              </w:rPr>
              <w:t>1</w:t>
            </w:r>
          </w:p>
        </w:tc>
        <w:tc>
          <w:tcPr>
            <w:tcW w:w="445" w:type="pct"/>
            <w:vAlign w:val="center"/>
          </w:tcPr>
          <w:p>
            <w:pPr>
              <w:rPr>
                <w:rFonts w:ascii="宋体" w:hAnsi="宋体"/>
                <w:szCs w:val="21"/>
              </w:rPr>
            </w:pPr>
            <w:r>
              <w:rPr>
                <w:rFonts w:ascii="宋体" w:hAnsi="宋体" w:hint="eastAsia"/>
                <w:szCs w:val="21"/>
              </w:rPr>
              <w:t>套</w:t>
            </w:r>
          </w:p>
        </w:tc>
      </w:tr>
      <w:tr>
        <w:tblPrEx>
          <w:tblW w:w="5094" w:type="pct"/>
          <w:tblInd w:w="0" w:type="dxa"/>
          <w:tblCellMar>
            <w:top w:w="0" w:type="dxa"/>
            <w:left w:w="108" w:type="dxa"/>
            <w:bottom w:w="0" w:type="dxa"/>
            <w:right w:w="108" w:type="dxa"/>
          </w:tblCellMar>
        </w:tblPrEx>
        <w:trPr>
          <w:trHeight w:val="520"/>
        </w:trPr>
        <w:tc>
          <w:tcPr>
            <w:tcW w:w="660" w:type="pct"/>
            <w:vAlign w:val="center"/>
          </w:tcPr>
          <w:p>
            <w:pPr>
              <w:pStyle w:val="12"/>
              <w:ind w:firstLine="0" w:firstLineChars="0"/>
              <w:contextualSpacing/>
              <w:rPr>
                <w:rFonts w:ascii="宋体" w:hAnsi="宋体"/>
              </w:rPr>
            </w:pPr>
            <w:r>
              <w:rPr>
                <w:rFonts w:ascii="宋体" w:hAnsi="宋体" w:cs="宋体" w:hint="eastAsia"/>
              </w:rPr>
              <w:t>舱体接地系统</w:t>
            </w:r>
          </w:p>
        </w:tc>
        <w:tc>
          <w:tcPr>
            <w:tcW w:w="3398" w:type="pct"/>
            <w:vAlign w:val="center"/>
          </w:tcPr>
          <w:p>
            <w:pPr>
              <w:rPr>
                <w:rFonts w:ascii="宋体" w:hAnsi="宋体"/>
                <w:szCs w:val="21"/>
              </w:rPr>
            </w:pPr>
            <w:r>
              <w:rPr>
                <w:rFonts w:ascii="宋体" w:hAnsi="宋体" w:hint="eastAsia"/>
                <w:szCs w:val="21"/>
              </w:rPr>
              <w:t>含接地桩、接地线，电源防浪涌装置。</w:t>
            </w:r>
          </w:p>
        </w:tc>
        <w:tc>
          <w:tcPr>
            <w:tcW w:w="497" w:type="pct"/>
            <w:vAlign w:val="center"/>
          </w:tcPr>
          <w:p>
            <w:pPr>
              <w:jc w:val="center"/>
              <w:rPr>
                <w:rFonts w:ascii="宋体" w:hAnsi="宋体"/>
                <w:szCs w:val="21"/>
              </w:rPr>
            </w:pPr>
            <w:r>
              <w:rPr>
                <w:rFonts w:ascii="宋体" w:hAnsi="宋体" w:hint="eastAsia"/>
                <w:szCs w:val="21"/>
              </w:rPr>
              <w:t>1</w:t>
            </w:r>
          </w:p>
        </w:tc>
        <w:tc>
          <w:tcPr>
            <w:tcW w:w="445" w:type="pct"/>
            <w:vAlign w:val="center"/>
          </w:tcPr>
          <w:p>
            <w:pPr>
              <w:rPr>
                <w:rFonts w:ascii="宋体" w:hAnsi="宋体"/>
                <w:szCs w:val="21"/>
              </w:rPr>
            </w:pPr>
            <w:r>
              <w:rPr>
                <w:rFonts w:ascii="宋体" w:hAnsi="宋体" w:hint="eastAsia"/>
                <w:szCs w:val="21"/>
              </w:rPr>
              <w:t>套</w:t>
            </w:r>
          </w:p>
        </w:tc>
      </w:tr>
      <w:tr>
        <w:tblPrEx>
          <w:tblW w:w="5094" w:type="pct"/>
          <w:tblInd w:w="0" w:type="dxa"/>
          <w:tblCellMar>
            <w:top w:w="0" w:type="dxa"/>
            <w:left w:w="108" w:type="dxa"/>
            <w:bottom w:w="0" w:type="dxa"/>
            <w:right w:w="108" w:type="dxa"/>
          </w:tblCellMar>
        </w:tblPrEx>
        <w:trPr>
          <w:trHeight w:val="280"/>
        </w:trPr>
        <w:tc>
          <w:tcPr>
            <w:tcW w:w="660" w:type="pct"/>
            <w:vAlign w:val="center"/>
          </w:tcPr>
          <w:p>
            <w:pPr>
              <w:rPr>
                <w:rFonts w:ascii="宋体" w:hAnsi="宋体"/>
                <w:szCs w:val="21"/>
              </w:rPr>
            </w:pPr>
            <w:r>
              <w:rPr>
                <w:rFonts w:ascii="宋体" w:hAnsi="宋体" w:hint="eastAsia"/>
                <w:szCs w:val="21"/>
              </w:rPr>
              <w:t>对外接口板</w:t>
            </w:r>
          </w:p>
        </w:tc>
        <w:tc>
          <w:tcPr>
            <w:tcW w:w="3398" w:type="pct"/>
            <w:vAlign w:val="center"/>
          </w:tcPr>
          <w:p>
            <w:pPr>
              <w:rPr>
                <w:rFonts w:ascii="宋体" w:hAnsi="宋体"/>
                <w:szCs w:val="21"/>
              </w:rPr>
            </w:pPr>
            <w:r>
              <w:rPr>
                <w:rFonts w:ascii="宋体" w:hAnsi="宋体" w:hint="eastAsia"/>
                <w:szCs w:val="21"/>
              </w:rPr>
              <w:t>含电源、数据传输接口。</w:t>
            </w:r>
          </w:p>
        </w:tc>
        <w:tc>
          <w:tcPr>
            <w:tcW w:w="497" w:type="pct"/>
            <w:vAlign w:val="center"/>
          </w:tcPr>
          <w:p>
            <w:pPr>
              <w:jc w:val="center"/>
              <w:rPr>
                <w:rFonts w:ascii="宋体" w:hAnsi="宋体"/>
                <w:szCs w:val="21"/>
              </w:rPr>
            </w:pPr>
            <w:r>
              <w:rPr>
                <w:rFonts w:ascii="宋体" w:hAnsi="宋体" w:hint="eastAsia"/>
                <w:szCs w:val="21"/>
              </w:rPr>
              <w:t>1</w:t>
            </w:r>
          </w:p>
        </w:tc>
        <w:tc>
          <w:tcPr>
            <w:tcW w:w="445" w:type="pct"/>
            <w:vAlign w:val="center"/>
          </w:tcPr>
          <w:p>
            <w:pPr>
              <w:rPr>
                <w:rFonts w:ascii="宋体" w:hAnsi="宋体"/>
                <w:szCs w:val="21"/>
              </w:rPr>
            </w:pPr>
            <w:r>
              <w:rPr>
                <w:rFonts w:ascii="宋体" w:hAnsi="宋体" w:hint="eastAsia"/>
                <w:szCs w:val="21"/>
              </w:rPr>
              <w:t>套</w:t>
            </w:r>
          </w:p>
        </w:tc>
      </w:tr>
    </w:tbl>
    <w:p>
      <w:pPr>
        <w:spacing w:line="360" w:lineRule="auto"/>
        <w:outlineLvl w:val="2"/>
        <w:rPr>
          <w:rFonts w:ascii="宋体" w:hAnsi="宋体"/>
          <w:b/>
          <w:bCs/>
          <w:szCs w:val="21"/>
        </w:rPr>
      </w:pPr>
      <w:r>
        <w:rPr>
          <w:rFonts w:ascii="宋体" w:hAnsi="宋体" w:hint="eastAsia"/>
          <w:b/>
          <w:bCs/>
          <w:szCs w:val="21"/>
        </w:rPr>
        <w:t>2.10视频采集及显示系统（数量2套）</w:t>
      </w:r>
    </w:p>
    <w:p>
      <w:pPr>
        <w:spacing w:line="360" w:lineRule="auto"/>
        <w:ind w:firstLine="420" w:firstLineChars="200"/>
        <w:rPr>
          <w:rFonts w:ascii="宋体" w:hAnsi="宋体"/>
          <w:szCs w:val="21"/>
        </w:rPr>
      </w:pPr>
      <w:r>
        <w:rPr>
          <w:rFonts w:ascii="宋体" w:hAnsi="宋体" w:hint="eastAsia"/>
          <w:szCs w:val="21"/>
        </w:rPr>
        <w:t>配备舱顶云台摄像机、舱内摄像机、硬盘录像机、大屏显示器、混切矩阵。</w:t>
      </w:r>
    </w:p>
    <w:tbl>
      <w:tblPr>
        <w:tblStyle w:val="TableNormal"/>
        <w:tblW w:w="5094"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145"/>
        <w:gridCol w:w="5899"/>
        <w:gridCol w:w="865"/>
        <w:gridCol w:w="773"/>
      </w:tblGrid>
      <w:tr>
        <w:tblPrEx>
          <w:tblW w:w="5094"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80"/>
        </w:trPr>
        <w:tc>
          <w:tcPr>
            <w:tcW w:w="660" w:type="pct"/>
            <w:vAlign w:val="center"/>
          </w:tcPr>
          <w:p>
            <w:pPr>
              <w:jc w:val="center"/>
              <w:rPr>
                <w:rFonts w:ascii="宋体" w:hAnsi="宋体" w:cs="宋体"/>
                <w:szCs w:val="21"/>
              </w:rPr>
            </w:pPr>
            <w:r>
              <w:rPr>
                <w:rFonts w:ascii="宋体" w:hAnsi="宋体" w:cs="宋体" w:hint="eastAsia"/>
                <w:szCs w:val="21"/>
              </w:rPr>
              <w:t>设备名称</w:t>
            </w:r>
          </w:p>
        </w:tc>
        <w:tc>
          <w:tcPr>
            <w:tcW w:w="3397" w:type="pct"/>
            <w:vAlign w:val="center"/>
          </w:tcPr>
          <w:p>
            <w:pPr>
              <w:widowControl/>
              <w:jc w:val="center"/>
              <w:rPr>
                <w:rFonts w:ascii="宋体" w:hAnsi="宋体" w:cs="宋体"/>
                <w:szCs w:val="21"/>
              </w:rPr>
            </w:pPr>
            <w:r>
              <w:rPr>
                <w:rFonts w:ascii="宋体" w:hAnsi="宋体" w:cs="宋体" w:hint="eastAsia"/>
                <w:szCs w:val="21"/>
              </w:rPr>
              <w:t>功能要求</w:t>
            </w:r>
          </w:p>
        </w:tc>
        <w:tc>
          <w:tcPr>
            <w:tcW w:w="498" w:type="pct"/>
            <w:vAlign w:val="center"/>
          </w:tcPr>
          <w:p>
            <w:pPr>
              <w:jc w:val="center"/>
              <w:rPr>
                <w:rFonts w:ascii="宋体" w:hAnsi="宋体" w:cs="宋体"/>
                <w:szCs w:val="21"/>
              </w:rPr>
            </w:pPr>
            <w:r>
              <w:rPr>
                <w:rFonts w:ascii="宋体" w:hAnsi="宋体" w:cs="宋体" w:hint="eastAsia"/>
                <w:szCs w:val="21"/>
              </w:rPr>
              <w:t>数量</w:t>
            </w:r>
          </w:p>
        </w:tc>
        <w:tc>
          <w:tcPr>
            <w:tcW w:w="445" w:type="pct"/>
            <w:vAlign w:val="center"/>
          </w:tcPr>
          <w:p>
            <w:pPr>
              <w:jc w:val="center"/>
              <w:rPr>
                <w:rFonts w:ascii="宋体" w:hAnsi="宋体" w:cs="宋体"/>
                <w:szCs w:val="21"/>
              </w:rPr>
            </w:pPr>
            <w:r>
              <w:rPr>
                <w:rFonts w:ascii="宋体" w:hAnsi="宋体" w:cs="宋体" w:hint="eastAsia"/>
                <w:szCs w:val="21"/>
              </w:rPr>
              <w:t>单位</w:t>
            </w:r>
          </w:p>
        </w:tc>
      </w:tr>
      <w:tr>
        <w:tblPrEx>
          <w:tblW w:w="5094" w:type="pct"/>
          <w:tblInd w:w="0" w:type="dxa"/>
          <w:tblCellMar>
            <w:top w:w="0" w:type="dxa"/>
            <w:left w:w="108" w:type="dxa"/>
            <w:bottom w:w="0" w:type="dxa"/>
            <w:right w:w="108" w:type="dxa"/>
          </w:tblCellMar>
        </w:tblPrEx>
        <w:trPr>
          <w:trHeight w:val="280"/>
        </w:trPr>
        <w:tc>
          <w:tcPr>
            <w:tcW w:w="660" w:type="pct"/>
            <w:vAlign w:val="center"/>
          </w:tcPr>
          <w:p>
            <w:pPr>
              <w:jc w:val="center"/>
              <w:rPr>
                <w:rFonts w:ascii="宋体" w:hAnsi="宋体" w:cs="宋体"/>
                <w:szCs w:val="21"/>
              </w:rPr>
            </w:pPr>
            <w:r>
              <w:rPr>
                <w:rFonts w:ascii="宋体" w:hAnsi="宋体" w:cs="宋体" w:hint="eastAsia"/>
                <w:szCs w:val="21"/>
              </w:rPr>
              <w:t>舱顶云台摄像机</w:t>
            </w:r>
          </w:p>
        </w:tc>
        <w:tc>
          <w:tcPr>
            <w:tcW w:w="3397" w:type="pct"/>
            <w:vAlign w:val="center"/>
          </w:tcPr>
          <w:p>
            <w:pPr>
              <w:widowControl/>
              <w:rPr>
                <w:rFonts w:ascii="宋体" w:hAnsi="宋体" w:cs="宋体"/>
                <w:szCs w:val="21"/>
              </w:rPr>
            </w:pPr>
            <w:r>
              <w:rPr>
                <w:rFonts w:ascii="宋体" w:hAnsi="宋体" w:cs="宋体"/>
                <w:szCs w:val="21"/>
              </w:rPr>
              <w:t>a)</w:t>
            </w:r>
            <w:r>
              <w:rPr>
                <w:rFonts w:ascii="宋体" w:hAnsi="宋体" w:cs="宋体" w:hint="eastAsia"/>
                <w:szCs w:val="21"/>
              </w:rPr>
              <w:t xml:space="preserve">图像传感器：1/2.8″2.0MP逐行扫描CMOS； </w:t>
            </w:r>
          </w:p>
          <w:p>
            <w:pPr>
              <w:widowControl/>
              <w:rPr>
                <w:rFonts w:ascii="宋体" w:hAnsi="宋体" w:cs="宋体"/>
                <w:szCs w:val="21"/>
              </w:rPr>
            </w:pPr>
            <w:r>
              <w:rPr>
                <w:rFonts w:ascii="宋体" w:hAnsi="宋体" w:cs="宋体"/>
                <w:szCs w:val="21"/>
              </w:rPr>
              <w:t>b)</w:t>
            </w:r>
            <w:r>
              <w:rPr>
                <w:rFonts w:ascii="宋体" w:hAnsi="宋体" w:cs="宋体" w:hint="eastAsia"/>
                <w:szCs w:val="21"/>
              </w:rPr>
              <w:t xml:space="preserve">镜头倍数：20倍光学变焦； </w:t>
            </w:r>
          </w:p>
          <w:p>
            <w:pPr>
              <w:widowControl/>
              <w:rPr>
                <w:rFonts w:ascii="宋体" w:hAnsi="宋体" w:cs="宋体"/>
                <w:szCs w:val="21"/>
              </w:rPr>
            </w:pPr>
            <w:r>
              <w:rPr>
                <w:rFonts w:ascii="宋体" w:hAnsi="宋体" w:cs="宋体"/>
                <w:szCs w:val="21"/>
              </w:rPr>
              <w:t>c)</w:t>
            </w:r>
            <w:r>
              <w:rPr>
                <w:rFonts w:ascii="宋体" w:hAnsi="宋体" w:cs="宋体" w:hint="eastAsia"/>
                <w:szCs w:val="21"/>
              </w:rPr>
              <w:t xml:space="preserve">焦距(mm)：f4.5～86mm； </w:t>
            </w:r>
          </w:p>
          <w:p>
            <w:pPr>
              <w:widowControl/>
              <w:rPr>
                <w:rFonts w:ascii="宋体" w:hAnsi="宋体" w:cs="宋体"/>
                <w:szCs w:val="21"/>
              </w:rPr>
            </w:pPr>
            <w:r>
              <w:rPr>
                <w:rFonts w:ascii="宋体" w:hAnsi="宋体" w:cs="宋体"/>
                <w:szCs w:val="21"/>
              </w:rPr>
              <w:t>d)</w:t>
            </w:r>
            <w:r>
              <w:rPr>
                <w:rFonts w:ascii="宋体" w:hAnsi="宋体" w:cs="宋体" w:hint="eastAsia"/>
                <w:szCs w:val="21"/>
              </w:rPr>
              <w:t>光圈：Fw1.6～Ft3.4；</w:t>
            </w:r>
          </w:p>
          <w:p>
            <w:pPr>
              <w:widowControl/>
              <w:rPr>
                <w:rFonts w:ascii="宋体" w:hAnsi="宋体" w:cs="宋体"/>
                <w:szCs w:val="21"/>
              </w:rPr>
            </w:pPr>
            <w:r>
              <w:rPr>
                <w:rFonts w:ascii="宋体" w:hAnsi="宋体" w:cs="宋体"/>
                <w:szCs w:val="21"/>
              </w:rPr>
              <w:t>e)</w:t>
            </w:r>
            <w:r>
              <w:rPr>
                <w:rFonts w:ascii="宋体" w:hAnsi="宋体" w:cs="宋体" w:hint="eastAsia"/>
                <w:szCs w:val="21"/>
              </w:rPr>
              <w:t>水平角度：360°无限位旋转；</w:t>
            </w:r>
          </w:p>
          <w:p>
            <w:pPr>
              <w:widowControl/>
              <w:rPr>
                <w:rFonts w:ascii="宋体" w:hAnsi="宋体" w:cs="宋体"/>
                <w:szCs w:val="21"/>
              </w:rPr>
            </w:pPr>
            <w:r>
              <w:rPr>
                <w:rFonts w:ascii="宋体" w:hAnsi="宋体" w:cs="宋体"/>
                <w:szCs w:val="21"/>
              </w:rPr>
              <w:t>f)</w:t>
            </w:r>
            <w:r>
              <w:rPr>
                <w:rFonts w:ascii="宋体" w:hAnsi="宋体" w:cs="宋体" w:hint="eastAsia"/>
                <w:szCs w:val="21"/>
              </w:rPr>
              <w:t xml:space="preserve">垂直角度：+90°～-90°； </w:t>
            </w:r>
          </w:p>
          <w:p>
            <w:pPr>
              <w:widowControl/>
              <w:rPr>
                <w:rFonts w:ascii="宋体" w:hAnsi="宋体" w:cs="宋体"/>
                <w:szCs w:val="21"/>
              </w:rPr>
            </w:pPr>
            <w:r>
              <w:rPr>
                <w:rFonts w:ascii="宋体" w:hAnsi="宋体" w:cs="宋体"/>
                <w:szCs w:val="21"/>
              </w:rPr>
              <w:t>g)</w:t>
            </w:r>
            <w:r>
              <w:rPr>
                <w:rFonts w:ascii="宋体" w:hAnsi="宋体" w:cs="宋体" w:hint="eastAsia"/>
                <w:szCs w:val="21"/>
              </w:rPr>
              <w:t xml:space="preserve">防护等级：≥IP66； </w:t>
            </w:r>
          </w:p>
          <w:p>
            <w:pPr>
              <w:widowControl/>
              <w:rPr>
                <w:rFonts w:ascii="宋体" w:hAnsi="宋体" w:cs="宋体"/>
                <w:szCs w:val="21"/>
              </w:rPr>
            </w:pPr>
            <w:r>
              <w:rPr>
                <w:rFonts w:ascii="宋体" w:hAnsi="宋体" w:cs="宋体"/>
                <w:szCs w:val="21"/>
              </w:rPr>
              <w:t>h)</w:t>
            </w:r>
            <w:r>
              <w:rPr>
                <w:rFonts w:ascii="宋体" w:hAnsi="宋体" w:cs="宋体" w:hint="eastAsia"/>
                <w:szCs w:val="21"/>
              </w:rPr>
              <w:t xml:space="preserve">电机带断电自锁功能； </w:t>
            </w:r>
          </w:p>
          <w:p>
            <w:pPr>
              <w:widowControl/>
              <w:rPr>
                <w:rFonts w:ascii="宋体" w:hAnsi="宋体" w:cs="宋体"/>
                <w:szCs w:val="21"/>
              </w:rPr>
            </w:pPr>
            <w:r>
              <w:rPr>
                <w:rFonts w:ascii="宋体" w:hAnsi="宋体" w:cs="宋体"/>
                <w:szCs w:val="21"/>
              </w:rPr>
              <w:t>i)</w:t>
            </w:r>
            <w:r>
              <w:rPr>
                <w:rFonts w:ascii="宋体" w:hAnsi="宋体" w:cs="宋体" w:hint="eastAsia"/>
                <w:szCs w:val="21"/>
              </w:rPr>
              <w:t>支持接入全车视频监控系统。</w:t>
            </w:r>
          </w:p>
        </w:tc>
        <w:tc>
          <w:tcPr>
            <w:tcW w:w="498" w:type="pct"/>
            <w:vAlign w:val="center"/>
          </w:tcPr>
          <w:p>
            <w:pPr>
              <w:jc w:val="center"/>
              <w:rPr>
                <w:rFonts w:ascii="宋体" w:hAnsi="宋体" w:cs="宋体"/>
                <w:szCs w:val="21"/>
              </w:rPr>
            </w:pPr>
            <w:r>
              <w:rPr>
                <w:rFonts w:ascii="宋体" w:hAnsi="宋体" w:cs="宋体" w:hint="eastAsia"/>
                <w:szCs w:val="21"/>
              </w:rPr>
              <w:t>1</w:t>
            </w:r>
          </w:p>
        </w:tc>
        <w:tc>
          <w:tcPr>
            <w:tcW w:w="445" w:type="pct"/>
            <w:vAlign w:val="center"/>
          </w:tcPr>
          <w:p>
            <w:pPr>
              <w:jc w:val="center"/>
              <w:rPr>
                <w:rFonts w:ascii="宋体" w:hAnsi="宋体" w:cs="宋体"/>
                <w:szCs w:val="21"/>
              </w:rPr>
            </w:pPr>
            <w:r>
              <w:rPr>
                <w:rFonts w:ascii="宋体" w:hAnsi="宋体" w:cs="宋体" w:hint="eastAsia"/>
                <w:szCs w:val="21"/>
              </w:rPr>
              <w:t>套</w:t>
            </w:r>
          </w:p>
        </w:tc>
      </w:tr>
      <w:tr>
        <w:tblPrEx>
          <w:tblW w:w="5094" w:type="pct"/>
          <w:tblInd w:w="0" w:type="dxa"/>
          <w:tblCellMar>
            <w:top w:w="0" w:type="dxa"/>
            <w:left w:w="108" w:type="dxa"/>
            <w:bottom w:w="0" w:type="dxa"/>
            <w:right w:w="108" w:type="dxa"/>
          </w:tblCellMar>
        </w:tblPrEx>
        <w:trPr>
          <w:trHeight w:val="280"/>
        </w:trPr>
        <w:tc>
          <w:tcPr>
            <w:tcW w:w="660" w:type="pct"/>
            <w:vAlign w:val="center"/>
          </w:tcPr>
          <w:p>
            <w:pPr>
              <w:jc w:val="center"/>
              <w:rPr>
                <w:rFonts w:ascii="宋体" w:hAnsi="宋体" w:cs="宋体"/>
                <w:szCs w:val="21"/>
              </w:rPr>
            </w:pPr>
            <w:r>
              <w:rPr>
                <w:rFonts w:ascii="宋体" w:hAnsi="宋体" w:cs="宋体" w:hint="eastAsia"/>
                <w:szCs w:val="21"/>
              </w:rPr>
              <w:t>舱内摄像机</w:t>
            </w:r>
          </w:p>
        </w:tc>
        <w:tc>
          <w:tcPr>
            <w:tcW w:w="3397" w:type="pct"/>
            <w:vAlign w:val="center"/>
          </w:tcPr>
          <w:p>
            <w:pPr>
              <w:widowControl/>
              <w:rPr>
                <w:rFonts w:ascii="宋体" w:hAnsi="宋体" w:cs="宋体"/>
                <w:szCs w:val="21"/>
              </w:rPr>
            </w:pPr>
            <w:r>
              <w:rPr>
                <w:rFonts w:ascii="宋体" w:hAnsi="宋体" w:cs="宋体"/>
                <w:szCs w:val="21"/>
              </w:rPr>
              <w:t>a)</w:t>
            </w:r>
            <w:r>
              <w:rPr>
                <w:rFonts w:ascii="宋体" w:hAnsi="宋体" w:cs="宋体" w:hint="eastAsia"/>
                <w:szCs w:val="21"/>
              </w:rPr>
              <w:t>POE半球摄像机；</w:t>
            </w:r>
          </w:p>
          <w:p>
            <w:pPr>
              <w:widowControl/>
              <w:rPr>
                <w:rFonts w:ascii="宋体" w:hAnsi="宋体" w:cs="宋体"/>
                <w:szCs w:val="21"/>
              </w:rPr>
            </w:pPr>
            <w:r>
              <w:rPr>
                <w:rFonts w:ascii="宋体" w:hAnsi="宋体" w:cs="宋体"/>
                <w:szCs w:val="21"/>
              </w:rPr>
              <w:t>b)</w:t>
            </w:r>
            <w:r>
              <w:rPr>
                <w:rFonts w:ascii="宋体" w:hAnsi="宋体" w:cs="宋体" w:hint="eastAsia"/>
                <w:szCs w:val="21"/>
              </w:rPr>
              <w:t>支持夜间补光；</w:t>
            </w:r>
          </w:p>
          <w:p>
            <w:pPr>
              <w:widowControl/>
              <w:rPr>
                <w:rFonts w:ascii="宋体" w:hAnsi="宋体" w:cs="宋体"/>
                <w:szCs w:val="21"/>
              </w:rPr>
            </w:pPr>
            <w:r>
              <w:rPr>
                <w:rFonts w:ascii="宋体" w:hAnsi="宋体" w:cs="宋体"/>
                <w:szCs w:val="21"/>
              </w:rPr>
              <w:t>c)</w:t>
            </w:r>
            <w:r>
              <w:rPr>
                <w:rFonts w:ascii="宋体" w:hAnsi="宋体" w:cs="宋体" w:hint="eastAsia"/>
                <w:szCs w:val="21"/>
              </w:rPr>
              <w:t>支持接入全车视频监控系统。</w:t>
            </w:r>
          </w:p>
        </w:tc>
        <w:tc>
          <w:tcPr>
            <w:tcW w:w="498" w:type="pct"/>
            <w:vAlign w:val="center"/>
          </w:tcPr>
          <w:p>
            <w:pPr>
              <w:jc w:val="center"/>
              <w:rPr>
                <w:rFonts w:ascii="宋体" w:hAnsi="宋体" w:cs="宋体"/>
                <w:szCs w:val="21"/>
              </w:rPr>
            </w:pPr>
            <w:r>
              <w:rPr>
                <w:rFonts w:ascii="宋体" w:hAnsi="宋体" w:cs="宋体" w:hint="eastAsia"/>
                <w:szCs w:val="21"/>
              </w:rPr>
              <w:t>1</w:t>
            </w:r>
          </w:p>
        </w:tc>
        <w:tc>
          <w:tcPr>
            <w:tcW w:w="445" w:type="pct"/>
            <w:vAlign w:val="center"/>
          </w:tcPr>
          <w:p>
            <w:pPr>
              <w:jc w:val="center"/>
              <w:rPr>
                <w:rFonts w:ascii="宋体" w:hAnsi="宋体" w:cs="宋体"/>
                <w:szCs w:val="21"/>
              </w:rPr>
            </w:pPr>
            <w:r>
              <w:rPr>
                <w:rFonts w:ascii="宋体" w:hAnsi="宋体" w:cs="宋体" w:hint="eastAsia"/>
                <w:szCs w:val="21"/>
              </w:rPr>
              <w:t>套</w:t>
            </w:r>
          </w:p>
        </w:tc>
      </w:tr>
      <w:tr>
        <w:tblPrEx>
          <w:tblW w:w="5094" w:type="pct"/>
          <w:tblInd w:w="0" w:type="dxa"/>
          <w:tblCellMar>
            <w:top w:w="0" w:type="dxa"/>
            <w:left w:w="108" w:type="dxa"/>
            <w:bottom w:w="0" w:type="dxa"/>
            <w:right w:w="108" w:type="dxa"/>
          </w:tblCellMar>
        </w:tblPrEx>
        <w:trPr>
          <w:trHeight w:val="280"/>
        </w:trPr>
        <w:tc>
          <w:tcPr>
            <w:tcW w:w="660" w:type="pct"/>
            <w:vAlign w:val="center"/>
          </w:tcPr>
          <w:p>
            <w:pPr>
              <w:jc w:val="center"/>
              <w:rPr>
                <w:rFonts w:ascii="宋体" w:hAnsi="宋体" w:cs="宋体"/>
                <w:szCs w:val="21"/>
              </w:rPr>
            </w:pPr>
            <w:r>
              <w:rPr>
                <w:rFonts w:ascii="宋体" w:hAnsi="宋体" w:cs="宋体" w:hint="eastAsia"/>
                <w:szCs w:val="21"/>
              </w:rPr>
              <w:t>硬盘录像机</w:t>
            </w:r>
          </w:p>
        </w:tc>
        <w:tc>
          <w:tcPr>
            <w:tcW w:w="3397" w:type="pct"/>
            <w:vAlign w:val="center"/>
          </w:tcPr>
          <w:p>
            <w:pPr>
              <w:widowControl/>
              <w:tabs>
                <w:tab w:val="left" w:pos="312"/>
              </w:tabs>
              <w:rPr>
                <w:rFonts w:ascii="宋体" w:hAnsi="宋体" w:cs="宋体"/>
                <w:szCs w:val="21"/>
              </w:rPr>
            </w:pPr>
            <w:r>
              <w:rPr>
                <w:rFonts w:ascii="宋体" w:hAnsi="宋体" w:cs="宋体"/>
                <w:szCs w:val="21"/>
              </w:rPr>
              <w:t>a)</w:t>
            </w:r>
            <w:r>
              <w:rPr>
                <w:rFonts w:ascii="宋体" w:hAnsi="宋体" w:cs="宋体" w:hint="eastAsia"/>
                <w:szCs w:val="21"/>
              </w:rPr>
              <w:t xml:space="preserve">支持4路1080P视频输入； </w:t>
            </w:r>
          </w:p>
          <w:p>
            <w:pPr>
              <w:widowControl/>
              <w:tabs>
                <w:tab w:val="left" w:pos="312"/>
              </w:tabs>
              <w:rPr>
                <w:rFonts w:ascii="宋体" w:hAnsi="宋体" w:cs="宋体"/>
                <w:szCs w:val="21"/>
              </w:rPr>
            </w:pPr>
            <w:r>
              <w:rPr>
                <w:rFonts w:ascii="宋体" w:hAnsi="宋体" w:cs="宋体"/>
                <w:szCs w:val="21"/>
              </w:rPr>
              <w:t>b)</w:t>
            </w:r>
            <w:r>
              <w:rPr>
                <w:rFonts w:ascii="宋体" w:hAnsi="宋体" w:cs="宋体" w:hint="eastAsia"/>
                <w:szCs w:val="21"/>
              </w:rPr>
              <w:t xml:space="preserve">存储容量≥1T； </w:t>
            </w:r>
          </w:p>
          <w:p>
            <w:pPr>
              <w:widowControl/>
              <w:tabs>
                <w:tab w:val="left" w:pos="312"/>
              </w:tabs>
              <w:rPr>
                <w:rFonts w:ascii="宋体" w:hAnsi="宋体" w:cs="宋体"/>
                <w:szCs w:val="21"/>
              </w:rPr>
            </w:pPr>
            <w:r>
              <w:rPr>
                <w:rFonts w:ascii="宋体" w:hAnsi="宋体" w:cs="宋体"/>
                <w:szCs w:val="21"/>
              </w:rPr>
              <w:t>c)</w:t>
            </w:r>
            <w:r>
              <w:rPr>
                <w:rFonts w:ascii="宋体" w:hAnsi="宋体" w:cs="宋体" w:hint="eastAsia"/>
                <w:szCs w:val="21"/>
              </w:rPr>
              <w:t>支持H.265/H.264压缩模式。</w:t>
            </w:r>
          </w:p>
        </w:tc>
        <w:tc>
          <w:tcPr>
            <w:tcW w:w="498" w:type="pct"/>
            <w:vAlign w:val="center"/>
          </w:tcPr>
          <w:p>
            <w:pPr>
              <w:jc w:val="center"/>
              <w:rPr>
                <w:rFonts w:ascii="宋体" w:hAnsi="宋体" w:cs="宋体"/>
                <w:szCs w:val="21"/>
              </w:rPr>
            </w:pPr>
            <w:r>
              <w:rPr>
                <w:rFonts w:ascii="宋体" w:hAnsi="宋体" w:cs="宋体" w:hint="eastAsia"/>
                <w:szCs w:val="21"/>
              </w:rPr>
              <w:t>1</w:t>
            </w:r>
          </w:p>
        </w:tc>
        <w:tc>
          <w:tcPr>
            <w:tcW w:w="445" w:type="pct"/>
            <w:vAlign w:val="center"/>
          </w:tcPr>
          <w:p>
            <w:pPr>
              <w:jc w:val="center"/>
              <w:rPr>
                <w:rFonts w:ascii="宋体" w:hAnsi="宋体" w:cs="宋体"/>
                <w:szCs w:val="21"/>
              </w:rPr>
            </w:pPr>
            <w:r>
              <w:rPr>
                <w:rFonts w:ascii="宋体" w:hAnsi="宋体" w:cs="宋体" w:hint="eastAsia"/>
                <w:szCs w:val="21"/>
              </w:rPr>
              <w:t>套</w:t>
            </w:r>
          </w:p>
        </w:tc>
      </w:tr>
      <w:tr>
        <w:tblPrEx>
          <w:tblW w:w="5094" w:type="pct"/>
          <w:tblInd w:w="0" w:type="dxa"/>
          <w:tblCellMar>
            <w:top w:w="0" w:type="dxa"/>
            <w:left w:w="108" w:type="dxa"/>
            <w:bottom w:w="0" w:type="dxa"/>
            <w:right w:w="108" w:type="dxa"/>
          </w:tblCellMar>
        </w:tblPrEx>
        <w:trPr>
          <w:trHeight w:val="280"/>
        </w:trPr>
        <w:tc>
          <w:tcPr>
            <w:tcW w:w="660" w:type="pct"/>
            <w:vAlign w:val="center"/>
          </w:tcPr>
          <w:p>
            <w:pPr>
              <w:jc w:val="center"/>
              <w:rPr>
                <w:rFonts w:ascii="宋体" w:hAnsi="宋体" w:cs="宋体"/>
                <w:szCs w:val="21"/>
              </w:rPr>
            </w:pPr>
            <w:r>
              <w:rPr>
                <w:rFonts w:ascii="宋体" w:hAnsi="宋体" w:cs="宋体" w:hint="eastAsia"/>
                <w:szCs w:val="21"/>
              </w:rPr>
              <w:t>大屏显示器</w:t>
            </w:r>
          </w:p>
        </w:tc>
        <w:tc>
          <w:tcPr>
            <w:tcW w:w="3397" w:type="pct"/>
            <w:vAlign w:val="center"/>
          </w:tcPr>
          <w:p>
            <w:pPr>
              <w:widowControl/>
              <w:tabs>
                <w:tab w:val="left" w:pos="312"/>
              </w:tabs>
              <w:rPr>
                <w:rFonts w:ascii="宋体" w:hAnsi="宋体" w:cs="宋体"/>
                <w:szCs w:val="21"/>
              </w:rPr>
            </w:pPr>
            <w:r>
              <w:rPr>
                <w:rFonts w:ascii="宋体" w:hAnsi="宋体" w:cs="宋体"/>
                <w:szCs w:val="21"/>
              </w:rPr>
              <w:t>a)</w:t>
            </w:r>
            <w:r>
              <w:rPr>
                <w:rFonts w:ascii="宋体" w:hAnsi="宋体" w:cs="宋体" w:hint="eastAsia"/>
                <w:szCs w:val="21"/>
              </w:rPr>
              <w:t xml:space="preserve">分辨率:不低于1080P； </w:t>
            </w:r>
          </w:p>
          <w:p>
            <w:pPr>
              <w:widowControl/>
              <w:tabs>
                <w:tab w:val="left" w:pos="312"/>
              </w:tabs>
              <w:rPr>
                <w:rFonts w:ascii="宋体" w:hAnsi="宋体" w:cs="宋体"/>
                <w:szCs w:val="21"/>
              </w:rPr>
            </w:pPr>
            <w:r>
              <w:rPr>
                <w:rFonts w:ascii="宋体" w:hAnsi="宋体" w:cs="宋体"/>
                <w:szCs w:val="21"/>
              </w:rPr>
              <w:t>b)</w:t>
            </w:r>
            <w:r>
              <w:rPr>
                <w:rFonts w:ascii="宋体" w:hAnsi="宋体" w:cs="宋体" w:hint="eastAsia"/>
                <w:szCs w:val="21"/>
              </w:rPr>
              <w:t>数量≥4台。</w:t>
            </w:r>
          </w:p>
        </w:tc>
        <w:tc>
          <w:tcPr>
            <w:tcW w:w="498" w:type="pct"/>
            <w:vAlign w:val="center"/>
          </w:tcPr>
          <w:p>
            <w:pPr>
              <w:jc w:val="center"/>
              <w:rPr>
                <w:rFonts w:ascii="宋体" w:hAnsi="宋体" w:cs="宋体"/>
                <w:szCs w:val="21"/>
              </w:rPr>
            </w:pPr>
            <w:r>
              <w:rPr>
                <w:rFonts w:ascii="宋体" w:hAnsi="宋体" w:cs="宋体" w:hint="eastAsia"/>
                <w:szCs w:val="21"/>
              </w:rPr>
              <w:t>1</w:t>
            </w:r>
          </w:p>
        </w:tc>
        <w:tc>
          <w:tcPr>
            <w:tcW w:w="445" w:type="pct"/>
            <w:vAlign w:val="center"/>
          </w:tcPr>
          <w:p>
            <w:pPr>
              <w:jc w:val="center"/>
              <w:rPr>
                <w:rFonts w:ascii="宋体" w:hAnsi="宋体" w:cs="宋体"/>
                <w:szCs w:val="21"/>
              </w:rPr>
            </w:pPr>
            <w:r>
              <w:rPr>
                <w:rFonts w:ascii="宋体" w:hAnsi="宋体" w:cs="宋体" w:hint="eastAsia"/>
                <w:szCs w:val="21"/>
              </w:rPr>
              <w:t>套</w:t>
            </w:r>
          </w:p>
        </w:tc>
      </w:tr>
      <w:tr>
        <w:tblPrEx>
          <w:tblW w:w="5094" w:type="pct"/>
          <w:tblInd w:w="0" w:type="dxa"/>
          <w:tblCellMar>
            <w:top w:w="0" w:type="dxa"/>
            <w:left w:w="108" w:type="dxa"/>
            <w:bottom w:w="0" w:type="dxa"/>
            <w:right w:w="108" w:type="dxa"/>
          </w:tblCellMar>
        </w:tblPrEx>
        <w:trPr>
          <w:trHeight w:val="280"/>
        </w:trPr>
        <w:tc>
          <w:tcPr>
            <w:tcW w:w="660" w:type="pct"/>
            <w:vAlign w:val="center"/>
          </w:tcPr>
          <w:p>
            <w:pPr>
              <w:jc w:val="center"/>
              <w:rPr>
                <w:rFonts w:ascii="宋体" w:hAnsi="宋体" w:cs="宋体"/>
                <w:szCs w:val="21"/>
              </w:rPr>
            </w:pPr>
            <w:r>
              <w:rPr>
                <w:rFonts w:ascii="宋体" w:hAnsi="宋体" w:cs="宋体" w:hint="eastAsia"/>
                <w:szCs w:val="21"/>
              </w:rPr>
              <w:t>混切矩阵</w:t>
            </w:r>
          </w:p>
        </w:tc>
        <w:tc>
          <w:tcPr>
            <w:tcW w:w="3397" w:type="pct"/>
            <w:vAlign w:val="center"/>
          </w:tcPr>
          <w:p>
            <w:pPr>
              <w:widowControl/>
              <w:rPr>
                <w:rFonts w:ascii="宋体" w:hAnsi="宋体" w:cs="宋体"/>
                <w:szCs w:val="21"/>
              </w:rPr>
            </w:pPr>
            <w:r>
              <w:rPr>
                <w:rFonts w:ascii="宋体" w:hAnsi="宋体" w:cs="宋体"/>
                <w:szCs w:val="21"/>
              </w:rPr>
              <w:t>a)</w:t>
            </w:r>
            <w:r>
              <w:rPr>
                <w:rFonts w:ascii="宋体" w:hAnsi="宋体" w:cs="宋体" w:hint="eastAsia"/>
                <w:szCs w:val="21"/>
              </w:rPr>
              <w:t xml:space="preserve">全数字化切换； </w:t>
            </w:r>
          </w:p>
          <w:p>
            <w:pPr>
              <w:widowControl/>
              <w:rPr>
                <w:rFonts w:ascii="宋体" w:hAnsi="宋体" w:cs="宋体"/>
                <w:szCs w:val="21"/>
              </w:rPr>
            </w:pPr>
            <w:r>
              <w:rPr>
                <w:rFonts w:ascii="宋体" w:hAnsi="宋体" w:cs="宋体"/>
                <w:szCs w:val="21"/>
              </w:rPr>
              <w:t>b)</w:t>
            </w:r>
            <w:r>
              <w:rPr>
                <w:rFonts w:ascii="宋体" w:hAnsi="宋体" w:cs="宋体" w:hint="eastAsia"/>
                <w:szCs w:val="21"/>
              </w:rPr>
              <w:t xml:space="preserve">输入不少于8路信号，输出不少于8路信号； </w:t>
            </w:r>
          </w:p>
          <w:p>
            <w:pPr>
              <w:widowControl/>
              <w:rPr>
                <w:rFonts w:ascii="宋体" w:hAnsi="宋体" w:cs="宋体"/>
                <w:szCs w:val="21"/>
              </w:rPr>
            </w:pPr>
            <w:r>
              <w:rPr>
                <w:rFonts w:ascii="宋体" w:hAnsi="宋体" w:cs="宋体"/>
                <w:szCs w:val="21"/>
              </w:rPr>
              <w:t>c)</w:t>
            </w:r>
            <w:r>
              <w:rPr>
                <w:rFonts w:ascii="宋体" w:hAnsi="宋体" w:cs="宋体" w:hint="eastAsia"/>
                <w:szCs w:val="21"/>
              </w:rPr>
              <w:t xml:space="preserve">任意信号输入输出； </w:t>
            </w:r>
          </w:p>
          <w:p>
            <w:pPr>
              <w:widowControl/>
              <w:rPr>
                <w:rFonts w:ascii="宋体" w:hAnsi="宋体" w:cs="宋体"/>
                <w:szCs w:val="21"/>
              </w:rPr>
            </w:pPr>
            <w:r>
              <w:rPr>
                <w:rFonts w:ascii="宋体" w:hAnsi="宋体" w:cs="宋体"/>
                <w:szCs w:val="21"/>
              </w:rPr>
              <w:t>d)</w:t>
            </w:r>
            <w:r>
              <w:rPr>
                <w:rFonts w:ascii="宋体" w:hAnsi="宋体" w:cs="宋体" w:hint="eastAsia"/>
                <w:szCs w:val="21"/>
              </w:rPr>
              <w:t xml:space="preserve">实时无缝切换； </w:t>
            </w:r>
          </w:p>
          <w:p>
            <w:pPr>
              <w:widowControl/>
              <w:rPr>
                <w:rFonts w:ascii="宋体" w:hAnsi="宋体" w:cs="宋体"/>
                <w:szCs w:val="21"/>
              </w:rPr>
            </w:pPr>
            <w:r>
              <w:rPr>
                <w:rFonts w:ascii="宋体" w:hAnsi="宋体" w:cs="宋体"/>
                <w:szCs w:val="21"/>
              </w:rPr>
              <w:t>e)</w:t>
            </w:r>
            <w:r>
              <w:rPr>
                <w:rFonts w:ascii="宋体" w:hAnsi="宋体" w:cs="宋体" w:hint="eastAsia"/>
                <w:szCs w:val="21"/>
              </w:rPr>
              <w:t xml:space="preserve">输入信号分辨率自适应，输出分辨率可调； </w:t>
            </w:r>
          </w:p>
          <w:p>
            <w:pPr>
              <w:widowControl/>
              <w:rPr>
                <w:rFonts w:ascii="宋体" w:hAnsi="宋体" w:cs="宋体"/>
                <w:szCs w:val="21"/>
              </w:rPr>
            </w:pPr>
            <w:r>
              <w:rPr>
                <w:rFonts w:ascii="宋体" w:hAnsi="宋体" w:cs="宋体"/>
                <w:szCs w:val="21"/>
              </w:rPr>
              <w:t>f)</w:t>
            </w:r>
            <w:r>
              <w:rPr>
                <w:rFonts w:ascii="宋体" w:hAnsi="宋体" w:cs="宋体" w:hint="eastAsia"/>
                <w:szCs w:val="21"/>
              </w:rPr>
              <w:t xml:space="preserve">支持模拟音频输入和输出； </w:t>
            </w:r>
          </w:p>
          <w:p>
            <w:pPr>
              <w:widowControl/>
              <w:rPr>
                <w:rFonts w:ascii="宋体" w:hAnsi="宋体" w:cs="宋体"/>
                <w:szCs w:val="21"/>
              </w:rPr>
            </w:pPr>
            <w:r>
              <w:rPr>
                <w:rFonts w:ascii="宋体" w:hAnsi="宋体" w:cs="宋体"/>
                <w:szCs w:val="21"/>
              </w:rPr>
              <w:t>g)</w:t>
            </w:r>
            <w:r>
              <w:rPr>
                <w:rFonts w:ascii="宋体" w:hAnsi="宋体" w:cs="宋体" w:hint="eastAsia"/>
                <w:szCs w:val="21"/>
              </w:rPr>
              <w:t xml:space="preserve">支持对外接口控制，开放控制协议，方便第三方串口控制； </w:t>
            </w:r>
          </w:p>
          <w:p>
            <w:pPr>
              <w:widowControl/>
              <w:rPr>
                <w:rFonts w:ascii="宋体" w:hAnsi="宋体" w:cs="宋体"/>
                <w:szCs w:val="21"/>
              </w:rPr>
            </w:pPr>
            <w:r>
              <w:rPr>
                <w:rFonts w:ascii="宋体" w:hAnsi="宋体" w:cs="宋体"/>
                <w:szCs w:val="21"/>
              </w:rPr>
              <w:t>h)</w:t>
            </w:r>
            <w:r>
              <w:rPr>
                <w:rFonts w:ascii="宋体" w:hAnsi="宋体" w:cs="宋体" w:hint="eastAsia"/>
                <w:szCs w:val="21"/>
              </w:rPr>
              <w:t xml:space="preserve">支持断电现场保护； </w:t>
            </w:r>
          </w:p>
          <w:p>
            <w:pPr>
              <w:widowControl/>
              <w:rPr>
                <w:rFonts w:ascii="宋体" w:hAnsi="宋体" w:cs="宋体"/>
                <w:szCs w:val="21"/>
              </w:rPr>
            </w:pPr>
            <w:r>
              <w:rPr>
                <w:rFonts w:ascii="宋体" w:hAnsi="宋体" w:cs="宋体"/>
                <w:szCs w:val="21"/>
              </w:rPr>
              <w:t>i)</w:t>
            </w:r>
            <w:r>
              <w:rPr>
                <w:rFonts w:ascii="宋体" w:hAnsi="宋体" w:cs="宋体" w:hint="eastAsia"/>
                <w:szCs w:val="21"/>
              </w:rPr>
              <w:t>标准插卡式工业机箱。</w:t>
            </w:r>
          </w:p>
          <w:p>
            <w:pPr>
              <w:widowControl/>
              <w:rPr>
                <w:rFonts w:ascii="宋体" w:hAnsi="宋体" w:cs="宋体"/>
                <w:szCs w:val="21"/>
              </w:rPr>
            </w:pPr>
            <w:r>
              <w:rPr>
                <w:rFonts w:ascii="宋体" w:hAnsi="宋体" w:cs="宋体"/>
                <w:szCs w:val="21"/>
              </w:rPr>
              <w:t>j)</w:t>
            </w:r>
            <w:r>
              <w:rPr>
                <w:rFonts w:ascii="宋体" w:hAnsi="宋体" w:cs="宋体" w:hint="eastAsia"/>
                <w:szCs w:val="21"/>
              </w:rPr>
              <w:t>▲接地和连接保护措施：满足GB 4943.1-2022 《音视频、信息技术和通信技术设备 第1部分：安全要求》的要求，提供第三方检验检测机构出具的检测报告；</w:t>
            </w:r>
          </w:p>
          <w:p>
            <w:pPr>
              <w:widowControl/>
              <w:rPr>
                <w:rFonts w:ascii="宋体" w:hAnsi="宋体" w:cs="宋体"/>
                <w:szCs w:val="21"/>
              </w:rPr>
            </w:pPr>
            <w:r>
              <w:rPr>
                <w:rFonts w:ascii="宋体" w:hAnsi="宋体" w:cs="宋体"/>
                <w:szCs w:val="21"/>
              </w:rPr>
              <w:t>k)</w:t>
            </w:r>
            <w:r>
              <w:rPr>
                <w:rFonts w:ascii="宋体" w:hAnsi="宋体" w:cs="宋体" w:hint="eastAsia"/>
                <w:szCs w:val="21"/>
              </w:rPr>
              <w:t>▲低温：满足GB/T 2423.1-2008 《电工电子产品环境试验 第2部分：试验方法 试验A：低温》的要求，低温-55℃；提供第三方检验检测机构出具的检测报告；</w:t>
            </w:r>
          </w:p>
          <w:p>
            <w:pPr>
              <w:widowControl/>
              <w:rPr>
                <w:rFonts w:ascii="宋体" w:hAnsi="宋体" w:cs="宋体"/>
                <w:szCs w:val="21"/>
              </w:rPr>
            </w:pPr>
            <w:r>
              <w:rPr>
                <w:rFonts w:ascii="宋体" w:hAnsi="宋体" w:cs="宋体"/>
                <w:szCs w:val="21"/>
              </w:rPr>
              <w:t>l)</w:t>
            </w:r>
            <w:r>
              <w:rPr>
                <w:rFonts w:ascii="宋体" w:hAnsi="宋体" w:cs="宋体" w:hint="eastAsia"/>
                <w:szCs w:val="21"/>
              </w:rPr>
              <w:t>▲高温：满足GB/T 2423.2-2008 《电工电子产品环境试验 第2部分：试验方法 试验B：高温》的要求，高温75℃；提供第三方检验检测机构出具的检测报告；</w:t>
            </w:r>
          </w:p>
          <w:p>
            <w:pPr>
              <w:widowControl/>
              <w:rPr>
                <w:rFonts w:ascii="宋体" w:hAnsi="宋体" w:cs="宋体"/>
                <w:szCs w:val="21"/>
              </w:rPr>
            </w:pPr>
            <w:r>
              <w:rPr>
                <w:rFonts w:ascii="宋体" w:hAnsi="宋体" w:cs="宋体"/>
                <w:szCs w:val="21"/>
              </w:rPr>
              <w:t>m)</w:t>
            </w:r>
            <w:r>
              <w:rPr>
                <w:rFonts w:ascii="宋体" w:hAnsi="宋体" w:cs="宋体" w:hint="eastAsia"/>
                <w:szCs w:val="21"/>
              </w:rPr>
              <w:t>▲冲击：满足GB/T 2423.5-2019 《环境试验 第2部分：试验方法 试验Ea和导则：冲击》的要求；须提供第三方检验检测机构出具的检测报告；</w:t>
            </w:r>
          </w:p>
          <w:p>
            <w:pPr>
              <w:widowControl/>
              <w:rPr>
                <w:rFonts w:ascii="宋体" w:hAnsi="宋体" w:cs="宋体"/>
                <w:szCs w:val="21"/>
              </w:rPr>
            </w:pPr>
            <w:r>
              <w:rPr>
                <w:rFonts w:ascii="宋体" w:hAnsi="宋体" w:cs="宋体"/>
                <w:szCs w:val="21"/>
              </w:rPr>
              <w:t>n)</w:t>
            </w:r>
            <w:r>
              <w:rPr>
                <w:rFonts w:ascii="宋体" w:hAnsi="宋体" w:cs="宋体" w:hint="eastAsia"/>
                <w:szCs w:val="21"/>
              </w:rPr>
              <w:t>▲振动：满足GB/T 2423.10-2019 《环境试验 第2部分：试验方法 试验Fc：振动（正弦）》的要求；提供第三方检验检测机构出具的检测报告；</w:t>
            </w:r>
          </w:p>
          <w:p>
            <w:pPr>
              <w:widowControl/>
              <w:rPr>
                <w:rFonts w:ascii="宋体" w:hAnsi="宋体" w:cs="宋体"/>
                <w:szCs w:val="21"/>
              </w:rPr>
            </w:pPr>
            <w:r>
              <w:rPr>
                <w:rFonts w:ascii="宋体" w:hAnsi="宋体" w:cs="宋体"/>
                <w:szCs w:val="21"/>
              </w:rPr>
              <w:t>0)</w:t>
            </w:r>
            <w:r>
              <w:rPr>
                <w:rFonts w:ascii="宋体" w:hAnsi="宋体" w:cs="宋体" w:hint="eastAsia"/>
                <w:szCs w:val="21"/>
              </w:rPr>
              <w:t>▲盐雾：满足GB/T 2423.17-2024 《《环境试验 第2部分：试验方法 试验Ka：盐雾》的要求；提供第三方检验检测机构出具的检测报告。</w:t>
            </w:r>
          </w:p>
        </w:tc>
        <w:tc>
          <w:tcPr>
            <w:tcW w:w="498" w:type="pct"/>
            <w:vAlign w:val="center"/>
          </w:tcPr>
          <w:p>
            <w:pPr>
              <w:jc w:val="center"/>
              <w:rPr>
                <w:rFonts w:ascii="宋体" w:hAnsi="宋体" w:cs="宋体"/>
                <w:szCs w:val="21"/>
              </w:rPr>
            </w:pPr>
            <w:r>
              <w:rPr>
                <w:rFonts w:ascii="宋体" w:hAnsi="宋体" w:cs="宋体" w:hint="eastAsia"/>
                <w:szCs w:val="21"/>
              </w:rPr>
              <w:t>1</w:t>
            </w:r>
          </w:p>
        </w:tc>
        <w:tc>
          <w:tcPr>
            <w:tcW w:w="445" w:type="pct"/>
            <w:vAlign w:val="center"/>
          </w:tcPr>
          <w:p>
            <w:pPr>
              <w:jc w:val="center"/>
              <w:rPr>
                <w:rFonts w:ascii="宋体" w:hAnsi="宋体" w:cs="宋体"/>
                <w:szCs w:val="21"/>
              </w:rPr>
            </w:pPr>
            <w:r>
              <w:rPr>
                <w:rFonts w:ascii="宋体" w:hAnsi="宋体" w:cs="宋体" w:hint="eastAsia"/>
                <w:szCs w:val="21"/>
              </w:rPr>
              <w:t>套</w:t>
            </w:r>
          </w:p>
        </w:tc>
      </w:tr>
    </w:tbl>
    <w:p>
      <w:pPr>
        <w:spacing w:line="360" w:lineRule="auto"/>
        <w:outlineLvl w:val="2"/>
        <w:rPr>
          <w:rFonts w:ascii="宋体" w:hAnsi="宋体"/>
          <w:b/>
          <w:bCs/>
          <w:szCs w:val="21"/>
        </w:rPr>
      </w:pPr>
      <w:r>
        <w:rPr>
          <w:rFonts w:ascii="宋体" w:hAnsi="宋体" w:hint="eastAsia"/>
          <w:b/>
          <w:bCs/>
          <w:szCs w:val="21"/>
        </w:rPr>
        <w:t>2.11空调系统（数量2套）</w:t>
      </w:r>
    </w:p>
    <w:p>
      <w:pPr>
        <w:spacing w:line="360" w:lineRule="auto"/>
        <w:ind w:firstLine="420" w:firstLineChars="200"/>
        <w:rPr>
          <w:rFonts w:ascii="宋体" w:hAnsi="宋体"/>
          <w:szCs w:val="21"/>
        </w:rPr>
      </w:pPr>
      <w:r>
        <w:rPr>
          <w:rFonts w:ascii="宋体" w:hAnsi="宋体" w:hint="eastAsia"/>
          <w:szCs w:val="21"/>
        </w:rPr>
        <w:t>配备冷暖空调≥1.5匹(空调制冷剂应使用不可燃冷媒或配备泄露检测系统)、暖风机1套满足工作舱环境使用要求，各省可根据舱体长度及空间实际大小选择在设备区配备冷暖空调1套、除湿机1套。</w:t>
      </w:r>
    </w:p>
    <w:p>
      <w:pPr>
        <w:spacing w:line="360" w:lineRule="auto"/>
        <w:outlineLvl w:val="2"/>
        <w:rPr>
          <w:rFonts w:ascii="宋体" w:hAnsi="宋体"/>
          <w:b/>
          <w:bCs/>
          <w:szCs w:val="21"/>
        </w:rPr>
      </w:pPr>
      <w:r>
        <w:rPr>
          <w:rFonts w:ascii="宋体" w:hAnsi="宋体" w:hint="eastAsia"/>
          <w:b/>
          <w:bCs/>
          <w:szCs w:val="21"/>
        </w:rPr>
        <w:t>2.12通信传输系统（数量2套）</w:t>
      </w:r>
    </w:p>
    <w:p>
      <w:pPr>
        <w:spacing w:line="360" w:lineRule="auto"/>
        <w:ind w:firstLine="420" w:firstLineChars="200"/>
        <w:rPr>
          <w:rFonts w:ascii="宋体" w:hAnsi="宋体"/>
          <w:szCs w:val="21"/>
        </w:rPr>
      </w:pPr>
      <w:r>
        <w:rPr>
          <w:rFonts w:ascii="宋体" w:hAnsi="宋体" w:hint="eastAsia"/>
          <w:szCs w:val="21"/>
        </w:rPr>
        <w:t>配备北斗全球导航定位系统、4G/5G移动通信、卫星通信等功能，具备与指挥模组近距离有线数据传输的能力。</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266"/>
        <w:gridCol w:w="5648"/>
        <w:gridCol w:w="849"/>
        <w:gridCol w:w="759"/>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80"/>
        </w:trPr>
        <w:tc>
          <w:tcPr>
            <w:tcW w:w="743" w:type="pct"/>
            <w:vAlign w:val="center"/>
          </w:tcPr>
          <w:p>
            <w:pPr>
              <w:jc w:val="center"/>
              <w:rPr>
                <w:rFonts w:ascii="宋体" w:hAnsi="宋体" w:cs="宋体"/>
                <w:szCs w:val="21"/>
              </w:rPr>
            </w:pPr>
            <w:r>
              <w:rPr>
                <w:rFonts w:ascii="宋体" w:hAnsi="宋体" w:cs="宋体" w:hint="eastAsia"/>
                <w:szCs w:val="21"/>
              </w:rPr>
              <w:t>设备名称</w:t>
            </w:r>
          </w:p>
        </w:tc>
        <w:tc>
          <w:tcPr>
            <w:tcW w:w="3314" w:type="pct"/>
            <w:vAlign w:val="center"/>
          </w:tcPr>
          <w:p>
            <w:pPr>
              <w:jc w:val="center"/>
              <w:rPr>
                <w:rFonts w:ascii="宋体" w:hAnsi="宋体" w:cs="宋体"/>
                <w:szCs w:val="21"/>
              </w:rPr>
            </w:pPr>
            <w:r>
              <w:rPr>
                <w:rFonts w:ascii="宋体" w:hAnsi="宋体" w:cs="宋体" w:hint="eastAsia"/>
                <w:szCs w:val="21"/>
              </w:rPr>
              <w:t>功能要求</w:t>
            </w:r>
          </w:p>
        </w:tc>
        <w:tc>
          <w:tcPr>
            <w:tcW w:w="498" w:type="pct"/>
            <w:vAlign w:val="center"/>
          </w:tcPr>
          <w:p>
            <w:pPr>
              <w:jc w:val="center"/>
              <w:rPr>
                <w:rFonts w:ascii="宋体" w:hAnsi="宋体" w:cs="宋体"/>
                <w:szCs w:val="21"/>
              </w:rPr>
            </w:pPr>
            <w:r>
              <w:rPr>
                <w:rFonts w:ascii="宋体" w:hAnsi="宋体" w:cs="宋体" w:hint="eastAsia"/>
                <w:szCs w:val="21"/>
              </w:rPr>
              <w:t>数量</w:t>
            </w:r>
          </w:p>
        </w:tc>
        <w:tc>
          <w:tcPr>
            <w:tcW w:w="445" w:type="pct"/>
            <w:vAlign w:val="center"/>
          </w:tcPr>
          <w:p>
            <w:pPr>
              <w:jc w:val="center"/>
              <w:rPr>
                <w:rFonts w:ascii="宋体" w:hAnsi="宋体" w:cs="宋体"/>
                <w:szCs w:val="21"/>
              </w:rPr>
            </w:pPr>
            <w:r>
              <w:rPr>
                <w:rFonts w:ascii="宋体" w:hAnsi="宋体" w:cs="宋体" w:hint="eastAsia"/>
                <w:szCs w:val="21"/>
              </w:rPr>
              <w:t>单位</w:t>
            </w:r>
          </w:p>
        </w:tc>
      </w:tr>
      <w:tr>
        <w:tblPrEx>
          <w:tblW w:w="5000" w:type="pct"/>
          <w:tblInd w:w="0" w:type="dxa"/>
          <w:tblCellMar>
            <w:top w:w="0" w:type="dxa"/>
            <w:left w:w="108" w:type="dxa"/>
            <w:bottom w:w="0" w:type="dxa"/>
            <w:right w:w="108" w:type="dxa"/>
          </w:tblCellMar>
        </w:tblPrEx>
        <w:trPr>
          <w:trHeight w:val="280"/>
        </w:trPr>
        <w:tc>
          <w:tcPr>
            <w:tcW w:w="743" w:type="pct"/>
            <w:vAlign w:val="center"/>
          </w:tcPr>
          <w:p>
            <w:pPr>
              <w:rPr>
                <w:rFonts w:ascii="宋体" w:hAnsi="宋体" w:cs="宋体"/>
                <w:szCs w:val="21"/>
              </w:rPr>
            </w:pPr>
            <w:bookmarkStart w:id="86" w:name="_Hlk225190313"/>
            <w:r>
              <w:rPr>
                <w:rFonts w:ascii="宋体" w:hAnsi="宋体" w:cs="宋体" w:hint="eastAsia"/>
                <w:szCs w:val="21"/>
              </w:rPr>
              <w:t>北斗传输设备</w:t>
            </w:r>
          </w:p>
        </w:tc>
        <w:tc>
          <w:tcPr>
            <w:tcW w:w="3314" w:type="pct"/>
            <w:vAlign w:val="center"/>
          </w:tcPr>
          <w:p>
            <w:pPr>
              <w:widowControl/>
              <w:rPr>
                <w:rFonts w:ascii="宋体" w:hAnsi="宋体" w:cs="宋体"/>
                <w:szCs w:val="21"/>
              </w:rPr>
            </w:pPr>
            <w:r>
              <w:rPr>
                <w:rFonts w:ascii="宋体" w:hAnsi="宋体" w:cs="宋体"/>
                <w:szCs w:val="21"/>
              </w:rPr>
              <w:t>a)</w:t>
            </w:r>
            <w:r>
              <w:rPr>
                <w:rFonts w:ascii="宋体" w:hAnsi="宋体" w:cs="宋体" w:hint="eastAsia"/>
                <w:szCs w:val="21"/>
              </w:rPr>
              <w:t xml:space="preserve">定位功能：具备支持单独使用北斗定位功能； </w:t>
            </w:r>
          </w:p>
          <w:p>
            <w:pPr>
              <w:widowControl/>
              <w:rPr>
                <w:rFonts w:ascii="宋体" w:hAnsi="宋体" w:cs="宋体"/>
                <w:szCs w:val="21"/>
              </w:rPr>
            </w:pPr>
            <w:r>
              <w:rPr>
                <w:rFonts w:ascii="宋体" w:hAnsi="宋体" w:cs="宋体"/>
                <w:szCs w:val="21"/>
              </w:rPr>
              <w:t>b)</w:t>
            </w:r>
            <w:r>
              <w:rPr>
                <w:rFonts w:ascii="宋体" w:hAnsi="宋体" w:cs="宋体" w:hint="eastAsia"/>
                <w:szCs w:val="21"/>
              </w:rPr>
              <w:t>定位精度：≤5m；测速精度：≤0.2m/s；</w:t>
            </w:r>
          </w:p>
          <w:p>
            <w:pPr>
              <w:widowControl/>
              <w:rPr>
                <w:rFonts w:ascii="宋体" w:hAnsi="宋体" w:cs="宋体"/>
                <w:szCs w:val="21"/>
              </w:rPr>
            </w:pPr>
            <w:r>
              <w:rPr>
                <w:rFonts w:ascii="宋体" w:hAnsi="宋体" w:cs="宋体"/>
                <w:szCs w:val="21"/>
              </w:rPr>
              <w:t>c)</w:t>
            </w:r>
            <w:r>
              <w:rPr>
                <w:rFonts w:ascii="宋体" w:hAnsi="宋体" w:cs="宋体" w:hint="eastAsia"/>
                <w:szCs w:val="21"/>
              </w:rPr>
              <w:t xml:space="preserve">首次定位时间：冷启动≤120秒，热启动≤10秒； </w:t>
            </w:r>
          </w:p>
          <w:p>
            <w:pPr>
              <w:widowControl/>
              <w:rPr>
                <w:rFonts w:ascii="宋体" w:hAnsi="宋体" w:cs="宋体"/>
                <w:szCs w:val="21"/>
              </w:rPr>
            </w:pPr>
            <w:r>
              <w:rPr>
                <w:rFonts w:ascii="宋体" w:hAnsi="宋体" w:cs="宋体"/>
                <w:szCs w:val="21"/>
              </w:rPr>
              <w:t>d)</w:t>
            </w:r>
            <w:r>
              <w:rPr>
                <w:rFonts w:ascii="宋体" w:hAnsi="宋体" w:cs="宋体" w:hint="eastAsia"/>
                <w:szCs w:val="21"/>
              </w:rPr>
              <w:t>接收频率：支持北斗B1频段；</w:t>
            </w:r>
          </w:p>
          <w:p>
            <w:pPr>
              <w:widowControl/>
              <w:rPr>
                <w:rFonts w:ascii="宋体" w:hAnsi="宋体" w:cs="宋体"/>
                <w:szCs w:val="21"/>
              </w:rPr>
            </w:pPr>
            <w:r>
              <w:rPr>
                <w:rFonts w:ascii="宋体" w:hAnsi="宋体" w:cs="宋体"/>
                <w:szCs w:val="21"/>
              </w:rPr>
              <w:t>e)</w:t>
            </w:r>
            <w:r>
              <w:rPr>
                <w:rFonts w:ascii="宋体" w:hAnsi="宋体" w:cs="宋体" w:hint="eastAsia"/>
                <w:szCs w:val="21"/>
              </w:rPr>
              <w:t xml:space="preserve">捕获灵敏度：≤-133dBm；跟踪灵敏度：≤-147dBm； </w:t>
            </w:r>
          </w:p>
          <w:p>
            <w:pPr>
              <w:widowControl/>
              <w:rPr>
                <w:rFonts w:ascii="宋体" w:hAnsi="宋体" w:cs="宋体"/>
                <w:szCs w:val="21"/>
              </w:rPr>
            </w:pPr>
            <w:r>
              <w:rPr>
                <w:rFonts w:ascii="宋体" w:hAnsi="宋体" w:cs="宋体"/>
                <w:szCs w:val="21"/>
              </w:rPr>
              <w:t>f)</w:t>
            </w:r>
            <w:r>
              <w:rPr>
                <w:rFonts w:ascii="宋体" w:hAnsi="宋体" w:cs="宋体" w:hint="eastAsia"/>
                <w:szCs w:val="21"/>
              </w:rPr>
              <w:t>接收波束个数：北斗二号≥10个，北斗三号≥14个；</w:t>
            </w:r>
          </w:p>
          <w:p>
            <w:pPr>
              <w:widowControl/>
              <w:rPr>
                <w:rFonts w:ascii="宋体" w:hAnsi="宋体" w:cs="宋体"/>
                <w:szCs w:val="21"/>
              </w:rPr>
            </w:pPr>
            <w:r>
              <w:rPr>
                <w:rFonts w:ascii="宋体" w:hAnsi="宋体" w:cs="宋体"/>
                <w:szCs w:val="21"/>
              </w:rPr>
              <w:t>g)</w:t>
            </w:r>
            <w:r>
              <w:rPr>
                <w:rFonts w:ascii="宋体" w:hAnsi="宋体" w:cs="宋体" w:hint="eastAsia"/>
                <w:szCs w:val="21"/>
              </w:rPr>
              <w:t xml:space="preserve">发射频点：Lf1、Lf2； </w:t>
            </w:r>
          </w:p>
          <w:p>
            <w:pPr>
              <w:widowControl/>
              <w:rPr>
                <w:rFonts w:ascii="宋体" w:hAnsi="宋体" w:cs="宋体"/>
                <w:szCs w:val="21"/>
              </w:rPr>
            </w:pPr>
            <w:r>
              <w:rPr>
                <w:rFonts w:ascii="宋体" w:hAnsi="宋体" w:cs="宋体"/>
                <w:szCs w:val="21"/>
              </w:rPr>
              <w:t>h)</w:t>
            </w:r>
            <w:r>
              <w:rPr>
                <w:rFonts w:ascii="宋体" w:hAnsi="宋体" w:cs="宋体" w:hint="eastAsia"/>
                <w:szCs w:val="21"/>
              </w:rPr>
              <w:t>支持北斗三号系统，支持北斗三号区域短报文通信服务；</w:t>
            </w:r>
          </w:p>
          <w:p>
            <w:pPr>
              <w:widowControl/>
              <w:rPr>
                <w:rFonts w:ascii="宋体" w:hAnsi="宋体" w:cs="宋体"/>
                <w:szCs w:val="21"/>
              </w:rPr>
            </w:pPr>
            <w:r>
              <w:rPr>
                <w:rFonts w:ascii="宋体" w:hAnsi="宋体" w:cs="宋体"/>
                <w:szCs w:val="21"/>
              </w:rPr>
              <w:t>i)</w:t>
            </w:r>
            <w:r>
              <w:rPr>
                <w:rFonts w:ascii="宋体" w:hAnsi="宋体" w:cs="宋体" w:hint="eastAsia"/>
                <w:szCs w:val="21"/>
              </w:rPr>
              <w:t>防护等级：≥IP67。</w:t>
            </w:r>
          </w:p>
        </w:tc>
        <w:tc>
          <w:tcPr>
            <w:tcW w:w="498" w:type="pct"/>
            <w:vAlign w:val="center"/>
          </w:tcPr>
          <w:p>
            <w:pPr>
              <w:jc w:val="center"/>
              <w:rPr>
                <w:rFonts w:ascii="宋体" w:hAnsi="宋体" w:cs="宋体"/>
                <w:szCs w:val="21"/>
              </w:rPr>
            </w:pPr>
            <w:r>
              <w:rPr>
                <w:rFonts w:ascii="宋体" w:hAnsi="宋体" w:cs="宋体" w:hint="eastAsia"/>
                <w:szCs w:val="21"/>
              </w:rPr>
              <w:t>1</w:t>
            </w:r>
          </w:p>
        </w:tc>
        <w:tc>
          <w:tcPr>
            <w:tcW w:w="445" w:type="pct"/>
            <w:vAlign w:val="center"/>
          </w:tcPr>
          <w:p>
            <w:pPr>
              <w:jc w:val="center"/>
              <w:rPr>
                <w:rFonts w:ascii="宋体" w:hAnsi="宋体" w:cs="宋体"/>
                <w:szCs w:val="21"/>
              </w:rPr>
            </w:pPr>
            <w:r>
              <w:rPr>
                <w:rFonts w:ascii="宋体" w:hAnsi="宋体" w:cs="宋体" w:hint="eastAsia"/>
                <w:szCs w:val="21"/>
              </w:rPr>
              <w:t>套</w:t>
            </w:r>
          </w:p>
        </w:tc>
      </w:tr>
      <w:bookmarkEnd w:id="86"/>
      <w:tr>
        <w:tblPrEx>
          <w:tblW w:w="5000" w:type="pct"/>
          <w:tblInd w:w="0" w:type="dxa"/>
          <w:tblCellMar>
            <w:top w:w="0" w:type="dxa"/>
            <w:left w:w="108" w:type="dxa"/>
            <w:bottom w:w="0" w:type="dxa"/>
            <w:right w:w="108" w:type="dxa"/>
          </w:tblCellMar>
        </w:tblPrEx>
        <w:trPr>
          <w:trHeight w:val="280"/>
        </w:trPr>
        <w:tc>
          <w:tcPr>
            <w:tcW w:w="743" w:type="pct"/>
            <w:vAlign w:val="center"/>
          </w:tcPr>
          <w:p>
            <w:pPr>
              <w:rPr>
                <w:rFonts w:ascii="宋体" w:hAnsi="宋体" w:cs="宋体"/>
                <w:szCs w:val="21"/>
              </w:rPr>
            </w:pPr>
            <w:r>
              <w:rPr>
                <w:rFonts w:ascii="宋体" w:hAnsi="宋体" w:cs="宋体" w:hint="eastAsia"/>
                <w:szCs w:val="21"/>
              </w:rPr>
              <w:t>4G/5G传输设备</w:t>
            </w:r>
          </w:p>
        </w:tc>
        <w:tc>
          <w:tcPr>
            <w:tcW w:w="3314" w:type="pct"/>
            <w:vAlign w:val="center"/>
          </w:tcPr>
          <w:p>
            <w:pPr>
              <w:rPr>
                <w:rFonts w:ascii="宋体" w:hAnsi="宋体" w:cs="宋体"/>
                <w:szCs w:val="21"/>
              </w:rPr>
            </w:pPr>
            <w:r>
              <w:rPr>
                <w:rFonts w:ascii="宋体" w:hAnsi="宋体" w:cs="宋体" w:hint="eastAsia"/>
                <w:szCs w:val="21"/>
              </w:rPr>
              <w:t xml:space="preserve">a)理论带宽（上行）： NRSA独立组网：≥Max.1Gbps NRNSA非独立组网：≥Max.575Mbps LTE：≥150Mbps </w:t>
            </w:r>
          </w:p>
          <w:p>
            <w:pPr>
              <w:rPr>
                <w:rFonts w:ascii="宋体" w:hAnsi="宋体" w:cs="宋体"/>
                <w:szCs w:val="21"/>
              </w:rPr>
            </w:pPr>
            <w:r>
              <w:rPr>
                <w:rFonts w:ascii="宋体" w:hAnsi="宋体" w:cs="宋体" w:hint="eastAsia"/>
                <w:szCs w:val="21"/>
              </w:rPr>
              <w:t>b)2x2MIMO，双频(2.4GHz+5GHz)，外置可拆卸天线;5G:4x4MIMO(Sub-6GHz)，外置可拆卸天线。</w:t>
            </w:r>
          </w:p>
        </w:tc>
        <w:tc>
          <w:tcPr>
            <w:tcW w:w="498" w:type="pct"/>
            <w:vAlign w:val="center"/>
          </w:tcPr>
          <w:p>
            <w:pPr>
              <w:jc w:val="center"/>
              <w:rPr>
                <w:rFonts w:ascii="宋体" w:hAnsi="宋体" w:cs="宋体"/>
                <w:szCs w:val="21"/>
              </w:rPr>
            </w:pPr>
            <w:r>
              <w:rPr>
                <w:rFonts w:ascii="宋体" w:hAnsi="宋体" w:cs="宋体" w:hint="eastAsia"/>
                <w:szCs w:val="21"/>
              </w:rPr>
              <w:t>1</w:t>
            </w:r>
          </w:p>
        </w:tc>
        <w:tc>
          <w:tcPr>
            <w:tcW w:w="445" w:type="pct"/>
            <w:vAlign w:val="center"/>
          </w:tcPr>
          <w:p>
            <w:pPr>
              <w:jc w:val="center"/>
              <w:rPr>
                <w:rFonts w:ascii="宋体" w:hAnsi="宋体" w:cs="宋体"/>
                <w:szCs w:val="21"/>
              </w:rPr>
            </w:pPr>
            <w:r>
              <w:rPr>
                <w:rFonts w:ascii="宋体" w:hAnsi="宋体" w:cs="宋体" w:hint="eastAsia"/>
                <w:szCs w:val="21"/>
              </w:rPr>
              <w:t>套</w:t>
            </w:r>
          </w:p>
        </w:tc>
      </w:tr>
      <w:tr>
        <w:tblPrEx>
          <w:tblW w:w="5000" w:type="pct"/>
          <w:tblInd w:w="0" w:type="dxa"/>
          <w:tblCellMar>
            <w:top w:w="0" w:type="dxa"/>
            <w:left w:w="108" w:type="dxa"/>
            <w:bottom w:w="0" w:type="dxa"/>
            <w:right w:w="108" w:type="dxa"/>
          </w:tblCellMar>
        </w:tblPrEx>
        <w:trPr>
          <w:trHeight w:val="280"/>
        </w:trPr>
        <w:tc>
          <w:tcPr>
            <w:tcW w:w="743" w:type="pct"/>
            <w:vAlign w:val="center"/>
          </w:tcPr>
          <w:p>
            <w:pPr>
              <w:rPr>
                <w:rFonts w:ascii="宋体" w:hAnsi="宋体" w:cs="宋体"/>
                <w:szCs w:val="21"/>
              </w:rPr>
            </w:pPr>
            <w:r>
              <w:rPr>
                <w:rFonts w:ascii="宋体" w:hAnsi="宋体" w:cs="宋体" w:hint="eastAsia"/>
                <w:szCs w:val="21"/>
              </w:rPr>
              <w:t>千兆交换机（含光模 块）</w:t>
            </w:r>
          </w:p>
        </w:tc>
        <w:tc>
          <w:tcPr>
            <w:tcW w:w="3314" w:type="pct"/>
            <w:vAlign w:val="center"/>
          </w:tcPr>
          <w:p>
            <w:pPr>
              <w:rPr>
                <w:rFonts w:ascii="宋体" w:hAnsi="宋体" w:cs="宋体"/>
                <w:szCs w:val="21"/>
              </w:rPr>
            </w:pPr>
            <w:r>
              <w:rPr>
                <w:rFonts w:ascii="宋体" w:hAnsi="宋体" w:cs="宋体" w:hint="eastAsia"/>
                <w:szCs w:val="21"/>
              </w:rPr>
              <w:t>支持不少于24个10/100/1000Base-TX 以太网端口，4个千兆SFP；IP 路由：支持IPv4和IPv6的三层路由功能。</w:t>
            </w:r>
          </w:p>
        </w:tc>
        <w:tc>
          <w:tcPr>
            <w:tcW w:w="498" w:type="pct"/>
            <w:vAlign w:val="center"/>
          </w:tcPr>
          <w:p>
            <w:pPr>
              <w:jc w:val="center"/>
              <w:rPr>
                <w:rFonts w:ascii="宋体" w:hAnsi="宋体" w:cs="宋体"/>
                <w:szCs w:val="21"/>
              </w:rPr>
            </w:pPr>
            <w:r>
              <w:rPr>
                <w:rFonts w:ascii="宋体" w:hAnsi="宋体" w:cs="宋体" w:hint="eastAsia"/>
                <w:szCs w:val="21"/>
              </w:rPr>
              <w:t>1</w:t>
            </w:r>
          </w:p>
        </w:tc>
        <w:tc>
          <w:tcPr>
            <w:tcW w:w="445" w:type="pct"/>
            <w:vAlign w:val="center"/>
          </w:tcPr>
          <w:p>
            <w:pPr>
              <w:jc w:val="center"/>
              <w:rPr>
                <w:rFonts w:ascii="宋体" w:hAnsi="宋体" w:cs="宋体"/>
                <w:szCs w:val="21"/>
              </w:rPr>
            </w:pPr>
            <w:r>
              <w:rPr>
                <w:rFonts w:ascii="宋体" w:hAnsi="宋体" w:cs="宋体" w:hint="eastAsia"/>
                <w:szCs w:val="21"/>
              </w:rPr>
              <w:t>套</w:t>
            </w:r>
          </w:p>
        </w:tc>
      </w:tr>
      <w:tr>
        <w:tblPrEx>
          <w:tblW w:w="5000" w:type="pct"/>
          <w:tblInd w:w="0" w:type="dxa"/>
          <w:tblCellMar>
            <w:top w:w="0" w:type="dxa"/>
            <w:left w:w="108" w:type="dxa"/>
            <w:bottom w:w="0" w:type="dxa"/>
            <w:right w:w="108" w:type="dxa"/>
          </w:tblCellMar>
        </w:tblPrEx>
        <w:trPr>
          <w:trHeight w:val="280"/>
        </w:trPr>
        <w:tc>
          <w:tcPr>
            <w:tcW w:w="743" w:type="pct"/>
            <w:vAlign w:val="center"/>
          </w:tcPr>
          <w:p>
            <w:pPr>
              <w:jc w:val="center"/>
              <w:rPr>
                <w:rFonts w:ascii="宋体" w:hAnsi="宋体" w:cs="宋体"/>
                <w:szCs w:val="21"/>
              </w:rPr>
            </w:pPr>
            <w:r>
              <w:rPr>
                <w:rFonts w:ascii="宋体" w:hAnsi="宋体" w:cs="宋体" w:hint="eastAsia"/>
                <w:szCs w:val="21"/>
              </w:rPr>
              <w:t>卫星通信系统</w:t>
            </w:r>
          </w:p>
        </w:tc>
        <w:tc>
          <w:tcPr>
            <w:tcW w:w="5817" w:type="dxa"/>
            <w:vAlign w:val="center"/>
          </w:tcPr>
          <w:p>
            <w:pPr>
              <w:widowControl/>
              <w:numPr>
                <w:ilvl w:val="0"/>
                <w:numId w:val="12"/>
              </w:numPr>
              <w:rPr>
                <w:rFonts w:ascii="宋体" w:hAnsi="宋体" w:cs="宋体"/>
                <w:szCs w:val="21"/>
              </w:rPr>
            </w:pPr>
            <w:r>
              <w:rPr>
                <w:rFonts w:ascii="宋体" w:hAnsi="宋体" w:cs="宋体" w:hint="eastAsia"/>
                <w:szCs w:val="21"/>
              </w:rPr>
              <w:t>具备气象“专网”和“高通量互联网”双网模式；</w:t>
            </w:r>
          </w:p>
          <w:p>
            <w:pPr>
              <w:widowControl/>
              <w:numPr>
                <w:ilvl w:val="0"/>
                <w:numId w:val="12"/>
              </w:numPr>
              <w:rPr>
                <w:rFonts w:ascii="宋体" w:hAnsi="宋体" w:cs="宋体"/>
                <w:szCs w:val="21"/>
              </w:rPr>
            </w:pPr>
            <w:r>
              <w:rPr>
                <w:rFonts w:ascii="宋体" w:hAnsi="宋体" w:cs="宋体" w:hint="eastAsia"/>
                <w:szCs w:val="21"/>
              </w:rPr>
              <w:t xml:space="preserve">卫星在“高通量互联网”模式下实现上行速率≥4Mbps，下行速率≥9Mbps； </w:t>
            </w:r>
          </w:p>
          <w:p>
            <w:pPr>
              <w:widowControl/>
              <w:numPr>
                <w:ilvl w:val="0"/>
                <w:numId w:val="12"/>
              </w:numPr>
              <w:rPr>
                <w:rFonts w:ascii="宋体" w:hAnsi="宋体" w:cs="宋体"/>
                <w:szCs w:val="21"/>
              </w:rPr>
            </w:pPr>
            <w:r>
              <w:rPr>
                <w:rFonts w:ascii="宋体" w:hAnsi="宋体" w:cs="宋体" w:hint="eastAsia"/>
                <w:szCs w:val="21"/>
              </w:rPr>
              <w:t xml:space="preserve">采用Ku波段卫星天线； </w:t>
            </w:r>
          </w:p>
          <w:p>
            <w:pPr>
              <w:widowControl/>
              <w:numPr>
                <w:ilvl w:val="0"/>
                <w:numId w:val="12"/>
              </w:numPr>
              <w:rPr>
                <w:rFonts w:ascii="宋体" w:hAnsi="宋体" w:cs="宋体"/>
                <w:szCs w:val="21"/>
              </w:rPr>
            </w:pPr>
            <w:r>
              <w:rPr>
                <w:rFonts w:ascii="宋体" w:hAnsi="宋体" w:cs="宋体" w:hint="eastAsia"/>
                <w:szCs w:val="21"/>
              </w:rPr>
              <w:t>配会议终端、会议摄像机、拾音系统和扬声器，用于卫星条件下现场音视频会商。</w:t>
            </w:r>
          </w:p>
        </w:tc>
        <w:tc>
          <w:tcPr>
            <w:tcW w:w="498" w:type="pct"/>
            <w:vAlign w:val="center"/>
          </w:tcPr>
          <w:p>
            <w:pPr>
              <w:jc w:val="center"/>
              <w:rPr>
                <w:rFonts w:ascii="宋体" w:hAnsi="宋体" w:cs="宋体"/>
                <w:szCs w:val="21"/>
              </w:rPr>
            </w:pPr>
            <w:r>
              <w:rPr>
                <w:rFonts w:ascii="宋体" w:hAnsi="宋体" w:cs="宋体" w:hint="eastAsia"/>
                <w:szCs w:val="21"/>
              </w:rPr>
              <w:t>1</w:t>
            </w:r>
          </w:p>
        </w:tc>
        <w:tc>
          <w:tcPr>
            <w:tcW w:w="445" w:type="pct"/>
            <w:vAlign w:val="center"/>
          </w:tcPr>
          <w:p>
            <w:pPr>
              <w:jc w:val="center"/>
              <w:rPr>
                <w:rFonts w:ascii="宋体" w:hAnsi="宋体" w:cs="宋体"/>
                <w:szCs w:val="21"/>
              </w:rPr>
            </w:pPr>
            <w:r>
              <w:rPr>
                <w:rFonts w:ascii="宋体" w:hAnsi="宋体" w:cs="宋体" w:hint="eastAsia"/>
                <w:szCs w:val="21"/>
              </w:rPr>
              <w:t>套</w:t>
            </w:r>
          </w:p>
        </w:tc>
      </w:tr>
    </w:tbl>
    <w:p>
      <w:pPr>
        <w:spacing w:line="360" w:lineRule="auto"/>
        <w:outlineLvl w:val="2"/>
        <w:rPr>
          <w:rFonts w:ascii="宋体" w:hAnsi="宋体"/>
          <w:b/>
          <w:bCs/>
          <w:szCs w:val="21"/>
        </w:rPr>
      </w:pPr>
      <w:r>
        <w:rPr>
          <w:rFonts w:ascii="宋体" w:hAnsi="宋体" w:hint="eastAsia"/>
          <w:b/>
          <w:bCs/>
          <w:szCs w:val="21"/>
        </w:rPr>
        <w:t>2.13气象信息处理和显控席位（数量2套）</w:t>
      </w:r>
    </w:p>
    <w:p>
      <w:pPr>
        <w:spacing w:line="360" w:lineRule="auto"/>
        <w:rPr>
          <w:rFonts w:ascii="宋体" w:hAnsi="宋体"/>
          <w:b/>
          <w:bCs/>
          <w:szCs w:val="21"/>
        </w:rPr>
      </w:pPr>
      <w:r>
        <w:rPr>
          <w:rFonts w:ascii="宋体" w:hAnsi="宋体" w:hint="eastAsia"/>
          <w:b/>
          <w:bCs/>
          <w:szCs w:val="21"/>
        </w:rPr>
        <w:t>（1）</w:t>
      </w:r>
      <w:r>
        <w:rPr>
          <w:rFonts w:ascii="宋体" w:hAnsi="宋体"/>
          <w:b/>
          <w:bCs/>
          <w:szCs w:val="21"/>
        </w:rPr>
        <w:t>无人机探测数据处理及显控席位</w:t>
      </w:r>
    </w:p>
    <w:p>
      <w:pPr>
        <w:spacing w:line="360" w:lineRule="auto"/>
        <w:rPr>
          <w:rFonts w:ascii="宋体" w:hAnsi="宋体"/>
          <w:szCs w:val="21"/>
        </w:rPr>
      </w:pPr>
      <w:r>
        <w:rPr>
          <w:rFonts w:ascii="宋体" w:hAnsi="宋体" w:hint="eastAsia"/>
          <w:szCs w:val="21"/>
        </w:rPr>
        <w:t>无人机飞行轨迹数据处理及显控席位实现对无人机飞行轨迹数据和气象参数(温度、湿度、气压等)的实时采集、处理存储和可视化显示，并搭载无人机指挥系统，可对无人机作业进行实时操控指挥。系统将支持实时数据显示和历史数据回放等功能，满足无人机探测任务的需求。</w:t>
      </w:r>
    </w:p>
    <w:p>
      <w:pPr>
        <w:spacing w:line="360" w:lineRule="auto"/>
        <w:rPr>
          <w:rFonts w:ascii="宋体" w:hAnsi="宋体"/>
          <w:szCs w:val="21"/>
        </w:rPr>
      </w:pPr>
      <w:r>
        <w:rPr>
          <w:rFonts w:ascii="宋体" w:hAnsi="宋体" w:hint="eastAsia"/>
          <w:szCs w:val="21"/>
        </w:rPr>
        <w:t>数据采集模块负责从无人机传感器实时接收数据。数据包括经纬度、高度、速度信息、温度、湿度和气压数据。数据通过通信传输到地面站。数据存储模块将处理后的数据存储到数据库或文件中。支持数据存储和历史数据回放的需求。</w:t>
      </w:r>
    </w:p>
    <w:p>
      <w:pPr>
        <w:spacing w:line="360" w:lineRule="auto"/>
        <w:rPr>
          <w:rFonts w:ascii="宋体" w:hAnsi="宋体"/>
          <w:szCs w:val="21"/>
        </w:rPr>
      </w:pPr>
      <w:r>
        <w:rPr>
          <w:rFonts w:ascii="宋体" w:hAnsi="宋体" w:hint="eastAsia"/>
          <w:szCs w:val="21"/>
        </w:rPr>
        <w:t>显控席位包括图形工作站和显示器，用于显示无人机飞行轨迹以及温度、湿度、气压等气象参数数据。</w:t>
      </w:r>
    </w:p>
    <w:p>
      <w:pPr>
        <w:spacing w:line="360" w:lineRule="auto"/>
        <w:rPr>
          <w:rFonts w:ascii="宋体" w:hAnsi="宋体"/>
          <w:b/>
          <w:bCs/>
          <w:szCs w:val="21"/>
        </w:rPr>
      </w:pPr>
      <w:r>
        <w:rPr>
          <w:rFonts w:ascii="宋体" w:hAnsi="宋体" w:hint="eastAsia"/>
          <w:b/>
          <w:bCs/>
          <w:szCs w:val="21"/>
        </w:rPr>
        <w:t>（2）</w:t>
      </w:r>
      <w:r>
        <w:rPr>
          <w:rFonts w:ascii="宋体" w:hAnsi="宋体"/>
          <w:b/>
          <w:bCs/>
          <w:szCs w:val="21"/>
        </w:rPr>
        <w:t xml:space="preserve">自动观测设备信息处理及显控席位 </w:t>
      </w:r>
    </w:p>
    <w:p>
      <w:pPr>
        <w:spacing w:line="360" w:lineRule="auto"/>
        <w:rPr>
          <w:rFonts w:ascii="宋体" w:hAnsi="宋体"/>
          <w:szCs w:val="21"/>
        </w:rPr>
      </w:pPr>
      <w:r>
        <w:rPr>
          <w:rFonts w:ascii="宋体" w:hAnsi="宋体"/>
          <w:szCs w:val="21"/>
        </w:rPr>
        <w:t>收集并处理自动观测资料，包括温度、湿度、气压、风向、风速、降水气象要素数据。使用图形化的形式展示实时数据，支持动态更新，确保数据实时性，提供时间范围选择功能，支持查询历史数据。</w:t>
      </w:r>
    </w:p>
    <w:p>
      <w:pPr>
        <w:spacing w:line="360" w:lineRule="auto"/>
        <w:rPr>
          <w:rFonts w:ascii="宋体" w:hAnsi="宋体"/>
          <w:b/>
          <w:bCs/>
          <w:szCs w:val="21"/>
        </w:rPr>
      </w:pPr>
      <w:r>
        <w:rPr>
          <w:rFonts w:ascii="宋体" w:hAnsi="宋体" w:hint="eastAsia"/>
          <w:b/>
          <w:bCs/>
          <w:szCs w:val="21"/>
        </w:rPr>
        <w:t>（3）</w:t>
      </w:r>
      <w:r>
        <w:rPr>
          <w:rFonts w:ascii="宋体" w:hAnsi="宋体"/>
          <w:b/>
          <w:bCs/>
          <w:szCs w:val="21"/>
        </w:rPr>
        <w:t xml:space="preserve">雷达信息处理及显控席位 </w:t>
      </w:r>
    </w:p>
    <w:p>
      <w:pPr>
        <w:spacing w:line="360" w:lineRule="auto"/>
        <w:rPr>
          <w:rFonts w:ascii="宋体" w:hAnsi="宋体"/>
          <w:szCs w:val="21"/>
        </w:rPr>
      </w:pPr>
      <w:r>
        <w:rPr>
          <w:rFonts w:ascii="宋体" w:hAnsi="宋体"/>
          <w:szCs w:val="21"/>
        </w:rPr>
        <w:t>显控终端通过网络实现与雷达主机和其他设备之间的通讯连接和信息交互，显控终端实现对雷达数据的可视化展示，并实现对雷达资料进行标准化处理和初级质量控制，生成标准化数据。通过人工干预发送雷达天线控制（PPI、体扫等）、发射控制、标定控制、接收控制、信号处理控制、雷达参数设置等。将采集到的回波数据实时显示到屏幕，支持多屏显示。</w:t>
      </w:r>
    </w:p>
    <w:p>
      <w:pPr>
        <w:spacing w:line="360" w:lineRule="auto"/>
        <w:outlineLvl w:val="2"/>
        <w:rPr>
          <w:rFonts w:ascii="宋体" w:hAnsi="宋体"/>
          <w:b/>
          <w:bCs/>
          <w:szCs w:val="21"/>
        </w:rPr>
      </w:pPr>
      <w:r>
        <w:rPr>
          <w:rFonts w:ascii="宋体" w:hAnsi="宋体" w:hint="eastAsia"/>
          <w:b/>
          <w:bCs/>
          <w:szCs w:val="21"/>
        </w:rPr>
        <w:t>2.4人工影响天气决策支持数据接收处理分析平台（数量2套）</w:t>
      </w:r>
    </w:p>
    <w:p>
      <w:pPr>
        <w:spacing w:line="360" w:lineRule="auto"/>
        <w:rPr>
          <w:rFonts w:ascii="宋体" w:hAnsi="宋体"/>
          <w:b/>
          <w:bCs/>
          <w:szCs w:val="21"/>
        </w:rPr>
      </w:pPr>
      <w:r>
        <w:rPr>
          <w:rFonts w:ascii="宋体" w:hAnsi="宋体" w:hint="eastAsia"/>
          <w:b/>
          <w:bCs/>
          <w:szCs w:val="21"/>
        </w:rPr>
        <w:t>（1）多源数据接收</w:t>
      </w:r>
    </w:p>
    <w:p>
      <w:pPr>
        <w:spacing w:line="360" w:lineRule="auto"/>
        <w:ind w:firstLine="420" w:firstLineChars="200"/>
        <w:rPr>
          <w:rFonts w:ascii="宋体" w:hAnsi="宋体"/>
          <w:szCs w:val="21"/>
        </w:rPr>
      </w:pPr>
      <w:r>
        <w:rPr>
          <w:rFonts w:ascii="宋体" w:hAnsi="宋体" w:hint="eastAsia"/>
          <w:szCs w:val="21"/>
        </w:rPr>
        <w:t>支持通过“天工”平台数据接口，以高速、稳定的数据传输链路实时接收自动观测设备、X 波段天气雷达、测云雷达等雷达数据、卫星数据、探空数据以及探空数据和特种设备监测数据、机载探测设备等多源数据，具备强大的数据接入能力，能够无缝接入观测方舱数据以及周边 400 公里范围内的常规观测资料和其他观测数据，实现多源数据采集。针对探空数据的时间和空间的密度不够问题，能够引入EC模式预报的温度分布，通过与探空数据对比修正，形成三维分布的温度场产品。</w:t>
      </w:r>
    </w:p>
    <w:p>
      <w:pPr>
        <w:spacing w:line="360" w:lineRule="auto"/>
        <w:rPr>
          <w:rFonts w:ascii="宋体" w:hAnsi="宋体"/>
          <w:b/>
          <w:bCs/>
          <w:szCs w:val="21"/>
        </w:rPr>
      </w:pPr>
      <w:r>
        <w:rPr>
          <w:rFonts w:ascii="宋体" w:hAnsi="宋体" w:hint="eastAsia"/>
          <w:b/>
          <w:bCs/>
          <w:szCs w:val="21"/>
        </w:rPr>
        <w:t>（2）</w:t>
      </w:r>
      <w:r>
        <w:rPr>
          <w:rFonts w:ascii="宋体" w:hAnsi="宋体"/>
          <w:b/>
          <w:bCs/>
          <w:szCs w:val="21"/>
        </w:rPr>
        <w:t>多源数据质控</w:t>
      </w:r>
    </w:p>
    <w:p>
      <w:pPr>
        <w:spacing w:line="360" w:lineRule="auto"/>
        <w:ind w:firstLine="420" w:firstLineChars="200"/>
        <w:rPr>
          <w:rFonts w:ascii="宋体" w:hAnsi="宋体"/>
          <w:b/>
          <w:bCs/>
          <w:szCs w:val="21"/>
        </w:rPr>
      </w:pPr>
      <w:r>
        <w:rPr>
          <w:rFonts w:ascii="宋体" w:hAnsi="宋体"/>
          <w:szCs w:val="21"/>
        </w:rPr>
        <w:t>能够对采集到的海量、多源、异构数据进行深度质量控制</w:t>
      </w:r>
      <w:r>
        <w:rPr>
          <w:rFonts w:ascii="宋体" w:hAnsi="宋体" w:hint="eastAsia"/>
          <w:szCs w:val="21"/>
        </w:rPr>
        <w:t>,</w:t>
      </w:r>
      <w:r>
        <w:rPr>
          <w:rFonts w:ascii="宋体" w:hAnsi="宋体"/>
          <w:szCs w:val="21"/>
        </w:rPr>
        <w:t>具备自动识别和处理异常数据、缺失数据的能力。平台能够依据相应的标准对接收数据的完整性和逻辑一致性进行合理性检查，显示检查结果，供操作员作进一步的判断，从而严格控制数据质量。地面气象要素值的质量控制以实时检查为主，平台能够实现气候学界限值检查、气候极值检查、数据内部一致性检查和数据时间一致性检查等数据检查方法。</w:t>
      </w:r>
    </w:p>
    <w:p>
      <w:pPr>
        <w:spacing w:line="360" w:lineRule="auto"/>
        <w:rPr>
          <w:rFonts w:ascii="宋体" w:hAnsi="宋体"/>
          <w:b/>
          <w:bCs/>
          <w:szCs w:val="21"/>
        </w:rPr>
      </w:pPr>
      <w:r>
        <w:rPr>
          <w:rFonts w:ascii="宋体" w:hAnsi="宋体" w:hint="eastAsia"/>
          <w:b/>
          <w:bCs/>
          <w:szCs w:val="21"/>
        </w:rPr>
        <w:t>（3）</w:t>
      </w:r>
      <w:r>
        <w:rPr>
          <w:rFonts w:ascii="宋体" w:hAnsi="宋体"/>
          <w:b/>
          <w:bCs/>
          <w:szCs w:val="21"/>
        </w:rPr>
        <w:t>多源数据融合</w:t>
      </w:r>
    </w:p>
    <w:p>
      <w:pPr>
        <w:spacing w:line="360" w:lineRule="auto"/>
        <w:rPr>
          <w:rFonts w:ascii="宋体" w:hAnsi="宋体"/>
          <w:szCs w:val="21"/>
        </w:rPr>
      </w:pPr>
      <w:r>
        <w:rPr>
          <w:rFonts w:ascii="宋体" w:hAnsi="宋体"/>
          <w:szCs w:val="21"/>
        </w:rPr>
        <w:t>平台内置多种数据解析处理方法，能够对引接的自动观测设备、X 波段天气雷达、测云雷达等雷达数据、卫星数据、探空数据以及探空数据和特种设备监测数据进行数据融合分析。</w:t>
      </w:r>
    </w:p>
    <w:p>
      <w:pPr>
        <w:spacing w:line="360" w:lineRule="auto"/>
        <w:rPr>
          <w:rFonts w:ascii="宋体" w:hAnsi="宋体"/>
          <w:szCs w:val="21"/>
        </w:rPr>
      </w:pPr>
      <w:r>
        <w:rPr>
          <w:rFonts w:ascii="宋体" w:hAnsi="宋体"/>
          <w:szCs w:val="21"/>
        </w:rPr>
        <w:t xml:space="preserve">1）云场 </w:t>
      </w:r>
    </w:p>
    <w:p>
      <w:pPr>
        <w:spacing w:line="360" w:lineRule="auto"/>
        <w:rPr>
          <w:rFonts w:ascii="宋体" w:hAnsi="宋体"/>
          <w:szCs w:val="21"/>
        </w:rPr>
      </w:pPr>
      <w:r>
        <w:rPr>
          <w:rFonts w:ascii="宋体" w:hAnsi="宋体"/>
          <w:szCs w:val="21"/>
        </w:rPr>
        <w:t xml:space="preserve">①云高、云厚产品 </w:t>
      </w:r>
    </w:p>
    <w:p>
      <w:pPr>
        <w:spacing w:line="360" w:lineRule="auto"/>
        <w:rPr>
          <w:rFonts w:ascii="宋体" w:hAnsi="宋体"/>
          <w:szCs w:val="21"/>
        </w:rPr>
      </w:pPr>
      <w:r>
        <w:rPr>
          <w:rFonts w:ascii="宋体" w:hAnsi="宋体"/>
          <w:szCs w:val="21"/>
        </w:rPr>
        <w:t>通过多源数据融合，能够形成云高、云厚变化叠加图，平台界面直观显示云高、云厚数据，支持做对比分析；当有多层云存在时，能够分开显示不同云层的云高、云厚数据。</w:t>
      </w:r>
    </w:p>
    <w:p>
      <w:pPr>
        <w:spacing w:line="360" w:lineRule="auto"/>
        <w:rPr>
          <w:rFonts w:ascii="宋体" w:hAnsi="宋体"/>
          <w:szCs w:val="21"/>
        </w:rPr>
      </w:pPr>
      <w:r>
        <w:rPr>
          <w:rFonts w:ascii="宋体" w:hAnsi="宋体"/>
          <w:szCs w:val="21"/>
        </w:rPr>
        <w:t xml:space="preserve">②云垂直结构 </w:t>
      </w:r>
    </w:p>
    <w:p>
      <w:pPr>
        <w:spacing w:line="360" w:lineRule="auto"/>
        <w:rPr>
          <w:rFonts w:ascii="宋体" w:hAnsi="宋体"/>
          <w:szCs w:val="21"/>
        </w:rPr>
      </w:pPr>
      <w:r>
        <w:rPr>
          <w:rFonts w:ascii="宋体" w:hAnsi="宋体"/>
          <w:szCs w:val="21"/>
        </w:rPr>
        <w:t>通过多源数据融合，能够形成云垂直结构产品。支持判定不同相态的云所处的高度;能够结合雷达反射率因子数据，观测不同降水阶段，不同云相态雷达回波的强弱，并分辨出主要的降水云系。</w:t>
      </w:r>
    </w:p>
    <w:p>
      <w:pPr>
        <w:spacing w:line="360" w:lineRule="auto"/>
        <w:rPr>
          <w:rFonts w:ascii="宋体" w:hAnsi="宋体"/>
          <w:szCs w:val="21"/>
        </w:rPr>
      </w:pPr>
      <w:r>
        <w:rPr>
          <w:rFonts w:ascii="宋体" w:hAnsi="宋体"/>
          <w:szCs w:val="21"/>
        </w:rPr>
        <w:t xml:space="preserve">③垂直积分液态水 </w:t>
      </w:r>
    </w:p>
    <w:p>
      <w:pPr>
        <w:spacing w:line="360" w:lineRule="auto"/>
        <w:rPr>
          <w:rFonts w:ascii="宋体" w:hAnsi="宋体"/>
          <w:szCs w:val="21"/>
        </w:rPr>
      </w:pPr>
      <w:r>
        <w:rPr>
          <w:rFonts w:ascii="宋体" w:hAnsi="宋体"/>
          <w:szCs w:val="21"/>
        </w:rPr>
        <w:t>通过多源数据融合，能够形成固定区域垂直积分液态水含量随时间的变化图，平台界面直观显示在一定时间内垂直积分液态水含量的空间分布图。</w:t>
      </w:r>
    </w:p>
    <w:p>
      <w:pPr>
        <w:spacing w:line="360" w:lineRule="auto"/>
        <w:rPr>
          <w:rFonts w:ascii="宋体" w:hAnsi="宋体"/>
          <w:szCs w:val="21"/>
        </w:rPr>
      </w:pPr>
      <w:r>
        <w:rPr>
          <w:rFonts w:ascii="宋体" w:hAnsi="宋体"/>
          <w:szCs w:val="21"/>
        </w:rPr>
        <w:t>2）粒子波谱</w:t>
      </w:r>
    </w:p>
    <w:p>
      <w:pPr>
        <w:spacing w:line="360" w:lineRule="auto"/>
        <w:rPr>
          <w:rFonts w:ascii="宋体" w:hAnsi="宋体"/>
          <w:szCs w:val="21"/>
        </w:rPr>
      </w:pPr>
      <w:r>
        <w:rPr>
          <w:rFonts w:ascii="宋体" w:hAnsi="宋体"/>
          <w:szCs w:val="21"/>
        </w:rPr>
        <w:t xml:space="preserve">①雷达反射率因子 </w:t>
      </w:r>
    </w:p>
    <w:p>
      <w:pPr>
        <w:spacing w:line="360" w:lineRule="auto"/>
        <w:rPr>
          <w:rFonts w:ascii="宋体" w:hAnsi="宋体"/>
          <w:szCs w:val="21"/>
        </w:rPr>
      </w:pPr>
      <w:r>
        <w:rPr>
          <w:rFonts w:ascii="宋体" w:hAnsi="宋体"/>
          <w:szCs w:val="21"/>
        </w:rPr>
        <w:t>通过多源数据融合，能反演出雷达反射率因子等数据，支持做时间变化对比分析。可叠加云高和零度层高度数据，观测其上/下区域物理特征的差异）；支持在固定时间的条件下，展示三维空间内雷达反射率因子的大小。</w:t>
      </w:r>
    </w:p>
    <w:p>
      <w:pPr>
        <w:spacing w:line="360" w:lineRule="auto"/>
        <w:rPr>
          <w:rFonts w:ascii="宋体" w:hAnsi="宋体"/>
          <w:szCs w:val="21"/>
        </w:rPr>
      </w:pPr>
      <w:r>
        <w:rPr>
          <w:rFonts w:ascii="宋体" w:hAnsi="宋体"/>
          <w:szCs w:val="21"/>
        </w:rPr>
        <w:t xml:space="preserve">②液态水含量 </w:t>
      </w:r>
    </w:p>
    <w:p>
      <w:pPr>
        <w:spacing w:line="360" w:lineRule="auto"/>
        <w:rPr>
          <w:rFonts w:ascii="宋体" w:hAnsi="宋体"/>
          <w:szCs w:val="21"/>
        </w:rPr>
      </w:pPr>
      <w:r>
        <w:rPr>
          <w:rFonts w:ascii="宋体" w:hAnsi="宋体"/>
          <w:szCs w:val="21"/>
        </w:rPr>
        <w:t>通过多源数据融合，能反演出液态水含量等数据，可叠加展示不同高度液态水含量时间变化图；能够从时间变化中发现不同高度层液态水含量的变化，识别降水可能的发展趋势；可叠加云高与零度层高度数据，观测云系上/下或零度层上/下液态水含量的差异；支持在固定时间的条件下，展示三维空间内液态水含量的分布。</w:t>
      </w:r>
    </w:p>
    <w:p>
      <w:pPr>
        <w:spacing w:line="360" w:lineRule="auto"/>
        <w:rPr>
          <w:rFonts w:ascii="宋体" w:hAnsi="宋体"/>
          <w:szCs w:val="21"/>
        </w:rPr>
      </w:pPr>
      <w:r>
        <w:rPr>
          <w:rFonts w:ascii="宋体" w:hAnsi="宋体"/>
          <w:szCs w:val="21"/>
        </w:rPr>
        <w:t xml:space="preserve">③垂直速度 </w:t>
      </w:r>
    </w:p>
    <w:p>
      <w:pPr>
        <w:spacing w:line="360" w:lineRule="auto"/>
        <w:rPr>
          <w:rFonts w:ascii="宋体" w:hAnsi="宋体"/>
          <w:szCs w:val="21"/>
        </w:rPr>
      </w:pPr>
      <w:r>
        <w:rPr>
          <w:rFonts w:ascii="宋体" w:hAnsi="宋体"/>
          <w:szCs w:val="21"/>
        </w:rPr>
        <w:t>通过多源数据融合，能反演出粒子垂直速度数据，支持做时间变化对比；可叠加云高与零度层高度数据，利用雷达探测零度层附近粒子是否存在强烈上升运动等，以及不同高度层粒子垂直运动状况；支持在固定时间的条件下，展示三维空间内垂直速度的分布。</w:t>
      </w:r>
    </w:p>
    <w:p>
      <w:pPr>
        <w:spacing w:line="360" w:lineRule="auto"/>
        <w:rPr>
          <w:rFonts w:ascii="宋体" w:hAnsi="宋体"/>
          <w:szCs w:val="21"/>
        </w:rPr>
      </w:pPr>
      <w:r>
        <w:rPr>
          <w:rFonts w:ascii="宋体" w:hAnsi="宋体"/>
          <w:szCs w:val="21"/>
        </w:rPr>
        <w:t xml:space="preserve">④滴谱图 </w:t>
      </w:r>
    </w:p>
    <w:p>
      <w:pPr>
        <w:spacing w:line="360" w:lineRule="auto"/>
        <w:rPr>
          <w:rFonts w:ascii="宋体" w:hAnsi="宋体"/>
          <w:szCs w:val="21"/>
        </w:rPr>
      </w:pPr>
      <w:r>
        <w:rPr>
          <w:rFonts w:ascii="宋体" w:hAnsi="宋体"/>
          <w:szCs w:val="21"/>
        </w:rPr>
        <w:t>通过多源数据融合，能够反演出雨滴谱图、粒子浓度-粒径变化图和粒子浓度-粒子速度变化图。能够利用地面雨滴谱仪观测的粒子浓度、粒子直径和粒子速度数据，反演出总数浓度分布图。</w:t>
      </w:r>
    </w:p>
    <w:p>
      <w:pPr>
        <w:spacing w:line="360" w:lineRule="auto"/>
        <w:rPr>
          <w:rFonts w:ascii="宋体" w:hAnsi="宋体"/>
          <w:szCs w:val="21"/>
        </w:rPr>
      </w:pPr>
      <w:r>
        <w:rPr>
          <w:rFonts w:ascii="宋体" w:hAnsi="宋体"/>
          <w:szCs w:val="21"/>
        </w:rPr>
        <w:t xml:space="preserve">⑤粒子物理量时间图 </w:t>
      </w:r>
    </w:p>
    <w:p>
      <w:pPr>
        <w:spacing w:line="360" w:lineRule="auto"/>
        <w:rPr>
          <w:rFonts w:ascii="宋体" w:hAnsi="宋体"/>
          <w:szCs w:val="21"/>
        </w:rPr>
      </w:pPr>
      <w:r>
        <w:rPr>
          <w:rFonts w:ascii="宋体" w:hAnsi="宋体"/>
          <w:szCs w:val="21"/>
        </w:rPr>
        <w:t>通过多源数据融合，能够形成粒子物理量时间图，平台界面直观展示粒子垂直速度-粒子浓度随时间变化和粒子直径-粒子浓度随时间的变化；支持叠加同时段雨强变化进行分析。</w:t>
      </w:r>
    </w:p>
    <w:p>
      <w:pPr>
        <w:spacing w:line="360" w:lineRule="auto"/>
        <w:rPr>
          <w:rFonts w:ascii="宋体" w:hAnsi="宋体"/>
          <w:szCs w:val="21"/>
        </w:rPr>
      </w:pPr>
      <w:r>
        <w:rPr>
          <w:rFonts w:ascii="宋体" w:hAnsi="宋体"/>
          <w:szCs w:val="21"/>
        </w:rPr>
        <w:t xml:space="preserve">⑥微雨雷达与雨滴谱仪融合数据 </w:t>
      </w:r>
    </w:p>
    <w:p>
      <w:pPr>
        <w:spacing w:line="360" w:lineRule="auto"/>
        <w:rPr>
          <w:rFonts w:ascii="宋体" w:hAnsi="宋体"/>
          <w:szCs w:val="21"/>
        </w:rPr>
      </w:pPr>
      <w:r>
        <w:rPr>
          <w:rFonts w:ascii="宋体" w:hAnsi="宋体"/>
          <w:szCs w:val="21"/>
        </w:rPr>
        <w:t>支持将地面雨滴谱仪和 0.1-3.1Km 微雨雷达的粒子浓度、粒子直径、粒子垂直速度和雨强数据进行高度上的融合，在平台界面上展示微雨雷达与雨滴谱仪融合数据。</w:t>
      </w:r>
    </w:p>
    <w:p>
      <w:pPr>
        <w:spacing w:line="360" w:lineRule="auto"/>
        <w:rPr>
          <w:rFonts w:ascii="宋体" w:hAnsi="宋体"/>
          <w:szCs w:val="21"/>
        </w:rPr>
      </w:pPr>
      <w:r>
        <w:rPr>
          <w:rFonts w:ascii="宋体" w:hAnsi="宋体"/>
          <w:szCs w:val="21"/>
        </w:rPr>
        <w:t xml:space="preserve">⑦粒子物理量汇总 </w:t>
      </w:r>
    </w:p>
    <w:p>
      <w:pPr>
        <w:spacing w:line="360" w:lineRule="auto"/>
        <w:rPr>
          <w:rFonts w:ascii="宋体" w:hAnsi="宋体"/>
          <w:b/>
          <w:bCs/>
          <w:szCs w:val="21"/>
        </w:rPr>
      </w:pPr>
      <w:r>
        <w:rPr>
          <w:rFonts w:ascii="宋体" w:hAnsi="宋体"/>
          <w:szCs w:val="21"/>
        </w:rPr>
        <w:t xml:space="preserve">能够汇总形成地面雨滴谱仪、微雨雷达（100m、200m、300m）观测的物理量随时间的变化图，在平台界面上进行直观展示。 </w:t>
      </w:r>
    </w:p>
    <w:p>
      <w:pPr>
        <w:spacing w:line="360" w:lineRule="auto"/>
        <w:rPr>
          <w:rFonts w:ascii="宋体" w:hAnsi="宋体"/>
          <w:szCs w:val="21"/>
        </w:rPr>
      </w:pPr>
      <w:r>
        <w:rPr>
          <w:rFonts w:ascii="宋体" w:hAnsi="宋体"/>
          <w:szCs w:val="21"/>
        </w:rPr>
        <w:t xml:space="preserve">3）廓线产品 </w:t>
      </w:r>
    </w:p>
    <w:p>
      <w:pPr>
        <w:spacing w:line="360" w:lineRule="auto"/>
        <w:rPr>
          <w:rFonts w:ascii="宋体" w:hAnsi="宋体"/>
          <w:szCs w:val="21"/>
        </w:rPr>
      </w:pPr>
      <w:r>
        <w:rPr>
          <w:rFonts w:ascii="宋体" w:hAnsi="宋体"/>
          <w:szCs w:val="21"/>
        </w:rPr>
        <w:t xml:space="preserve">通过多源数据融合，能够以廓线的形式展示不同高度的温度、相对湿度、水汽密度等，可动画播放。在平台界面上以廓线的形式展示不同高度的温度、相对湿度、水汽密度等。 </w:t>
      </w:r>
    </w:p>
    <w:p>
      <w:pPr>
        <w:spacing w:line="360" w:lineRule="auto"/>
        <w:rPr>
          <w:rFonts w:ascii="宋体" w:hAnsi="宋体"/>
          <w:szCs w:val="21"/>
        </w:rPr>
      </w:pPr>
      <w:r>
        <w:rPr>
          <w:rFonts w:ascii="宋体" w:hAnsi="宋体"/>
          <w:szCs w:val="21"/>
        </w:rPr>
        <w:t xml:space="preserve">4）降水场 </w:t>
      </w:r>
    </w:p>
    <w:p>
      <w:pPr>
        <w:spacing w:line="360" w:lineRule="auto"/>
        <w:rPr>
          <w:rFonts w:ascii="宋体" w:hAnsi="宋体"/>
          <w:szCs w:val="21"/>
        </w:rPr>
      </w:pPr>
      <w:r>
        <w:rPr>
          <w:rFonts w:ascii="宋体" w:hAnsi="宋体"/>
          <w:szCs w:val="21"/>
        </w:rPr>
        <w:t xml:space="preserve">①降水强度 </w:t>
      </w:r>
    </w:p>
    <w:p>
      <w:pPr>
        <w:spacing w:line="360" w:lineRule="auto"/>
        <w:rPr>
          <w:rFonts w:ascii="宋体" w:hAnsi="宋体"/>
          <w:szCs w:val="21"/>
        </w:rPr>
      </w:pPr>
      <w:r>
        <w:rPr>
          <w:rFonts w:ascii="宋体" w:hAnsi="宋体"/>
          <w:szCs w:val="21"/>
        </w:rPr>
        <w:t>通过多源数据融合，平台能计算出雨滴谱仪（地面）、微雨雷达（100/200/300m）的降水强度数据，能够进行对比分析，看二者反演的降水强度数据差异，以及降水强度的变化。</w:t>
      </w:r>
    </w:p>
    <w:p>
      <w:pPr>
        <w:spacing w:line="360" w:lineRule="auto"/>
        <w:rPr>
          <w:rFonts w:ascii="宋体" w:hAnsi="宋体"/>
          <w:szCs w:val="21"/>
        </w:rPr>
      </w:pPr>
      <w:r>
        <w:rPr>
          <w:rFonts w:ascii="宋体" w:hAnsi="宋体"/>
          <w:szCs w:val="21"/>
        </w:rPr>
        <w:t>支持叠加云底高度数据，展示从一定时间内的降水强度与高度的对应关系，可方便直观地观察出时间段内不同高度下降水强度的变化，以及主要降水与云高的关系。数据类型包括逐小时降水、3 小时降水、24 小时降水。可对比不同仪器观测同时段不同降水数据的差异。</w:t>
      </w:r>
    </w:p>
    <w:p>
      <w:pPr>
        <w:spacing w:line="360" w:lineRule="auto"/>
        <w:rPr>
          <w:rFonts w:ascii="宋体" w:hAnsi="宋体"/>
          <w:b/>
          <w:bCs/>
          <w:szCs w:val="21"/>
        </w:rPr>
      </w:pPr>
      <w:r>
        <w:rPr>
          <w:rFonts w:ascii="宋体" w:hAnsi="宋体" w:hint="eastAsia"/>
          <w:b/>
          <w:bCs/>
          <w:szCs w:val="21"/>
        </w:rPr>
        <w:t>（4）</w:t>
      </w:r>
      <w:r>
        <w:rPr>
          <w:rFonts w:ascii="宋体" w:hAnsi="宋体"/>
          <w:b/>
          <w:bCs/>
          <w:szCs w:val="21"/>
        </w:rPr>
        <w:t>作业决策支持</w:t>
      </w:r>
    </w:p>
    <w:p>
      <w:pPr>
        <w:spacing w:line="360" w:lineRule="auto"/>
        <w:rPr>
          <w:rFonts w:ascii="宋体" w:hAnsi="宋体"/>
          <w:szCs w:val="21"/>
        </w:rPr>
      </w:pPr>
      <w:r>
        <w:rPr>
          <w:rFonts w:ascii="宋体" w:hAnsi="宋体"/>
          <w:szCs w:val="21"/>
        </w:rPr>
        <w:t>基于数据处理分析结果，能够提供智能化作业决策支持。结合预设作业条件、气象阈值以及实时天气形势，能够智能生成人工影响天气作业方案，方案内容涵盖作业时间、作业地点、作业方式、弹药用量（催化剂量）等关键参数，并能够根据不同天气条件和作业目标进行动态优化调整。具备作业效果模拟功能，能够模拟作业实施后的天气变化情况，直观展示作业对降水、云层等气象要素的预计影响，为作业决策提供量化评估判据，助力优化作业决策，提高作业效果。</w:t>
      </w:r>
    </w:p>
    <w:p>
      <w:pPr>
        <w:spacing w:line="360" w:lineRule="auto"/>
        <w:rPr>
          <w:rFonts w:ascii="宋体" w:hAnsi="宋体"/>
          <w:b/>
          <w:bCs/>
          <w:szCs w:val="21"/>
        </w:rPr>
      </w:pPr>
      <w:r>
        <w:rPr>
          <w:rFonts w:ascii="宋体" w:hAnsi="宋体" w:hint="eastAsia"/>
          <w:b/>
          <w:bCs/>
          <w:szCs w:val="21"/>
        </w:rPr>
        <w:t>（5）</w:t>
      </w:r>
      <w:r>
        <w:rPr>
          <w:rFonts w:ascii="宋体" w:hAnsi="宋体"/>
          <w:b/>
          <w:bCs/>
          <w:szCs w:val="21"/>
        </w:rPr>
        <w:t>作业计划生成</w:t>
      </w:r>
    </w:p>
    <w:p>
      <w:pPr>
        <w:spacing w:line="360" w:lineRule="auto"/>
        <w:rPr>
          <w:rFonts w:ascii="宋体" w:hAnsi="宋体"/>
          <w:szCs w:val="21"/>
        </w:rPr>
      </w:pPr>
      <w:r>
        <w:rPr>
          <w:rFonts w:ascii="宋体" w:hAnsi="宋体"/>
          <w:szCs w:val="21"/>
        </w:rPr>
        <w:t>具备独立作业计划生成功能。能够依据实时气象数据、预设作业目标以及历史作业信息，通过内置的高性能算法和模型，智能制定作业计划，计划内容包括作业时间窗口、作业具体地点、弹药用量（催化剂量）精确计算以及作业实施方式等多个关键要素，并可根据实时天气变化进行动态调整和优化。具备灵活的作业计划组织能力，能够根据实际需求对局部地区开展作业进行有效安排和协调，并通知到具体执行人员。</w:t>
      </w:r>
    </w:p>
    <w:p>
      <w:pPr>
        <w:spacing w:line="360" w:lineRule="auto"/>
        <w:rPr>
          <w:rFonts w:ascii="宋体" w:hAnsi="宋体"/>
          <w:b/>
          <w:bCs/>
          <w:szCs w:val="21"/>
        </w:rPr>
      </w:pPr>
      <w:r>
        <w:rPr>
          <w:rFonts w:ascii="宋体" w:hAnsi="宋体" w:hint="eastAsia"/>
          <w:b/>
          <w:bCs/>
          <w:szCs w:val="21"/>
        </w:rPr>
        <w:t>（6）</w:t>
      </w:r>
      <w:r>
        <w:rPr>
          <w:rFonts w:ascii="宋体" w:hAnsi="宋体"/>
          <w:b/>
          <w:bCs/>
          <w:szCs w:val="21"/>
        </w:rPr>
        <w:t>无人机作业指挥</w:t>
      </w:r>
    </w:p>
    <w:p>
      <w:pPr>
        <w:spacing w:line="360" w:lineRule="auto"/>
        <w:rPr>
          <w:rFonts w:ascii="宋体" w:hAnsi="宋体"/>
          <w:szCs w:val="21"/>
        </w:rPr>
      </w:pPr>
      <w:r>
        <w:rPr>
          <w:rFonts w:ascii="宋体" w:hAnsi="宋体"/>
          <w:szCs w:val="21"/>
        </w:rPr>
        <w:t>平台具备独立的无人机作业指挥功能，实现对无人机作业单元的的全程指挥与监控</w:t>
      </w:r>
      <w:r>
        <w:rPr>
          <w:rFonts w:ascii="宋体" w:hAnsi="宋体" w:hint="eastAsia"/>
          <w:szCs w:val="21"/>
        </w:rPr>
        <w:t>，主要包括以下功能：</w:t>
      </w:r>
    </w:p>
    <w:p>
      <w:pPr>
        <w:spacing w:line="360" w:lineRule="auto"/>
        <w:rPr>
          <w:rFonts w:ascii="宋体" w:hAnsi="宋体"/>
          <w:szCs w:val="21"/>
        </w:rPr>
      </w:pPr>
      <w:r>
        <w:rPr>
          <w:rFonts w:ascii="宋体" w:hAnsi="宋体"/>
          <w:szCs w:val="21"/>
        </w:rPr>
        <w:t xml:space="preserve">1）综合大屏 </w:t>
      </w:r>
    </w:p>
    <w:p>
      <w:pPr>
        <w:spacing w:line="360" w:lineRule="auto"/>
        <w:rPr>
          <w:rFonts w:ascii="宋体" w:hAnsi="宋体"/>
          <w:szCs w:val="21"/>
        </w:rPr>
      </w:pPr>
      <w:r>
        <w:rPr>
          <w:rFonts w:ascii="宋体" w:hAnsi="宋体"/>
          <w:szCs w:val="21"/>
        </w:rPr>
        <w:t>基于 GIS 地图，自动播放叠加无人机飞行轨迹及播撒动画</w:t>
      </w:r>
      <w:r>
        <w:rPr>
          <w:rFonts w:ascii="宋体" w:hAnsi="宋体" w:hint="eastAsia"/>
          <w:szCs w:val="21"/>
        </w:rPr>
        <w:t>，</w:t>
      </w:r>
      <w:r>
        <w:rPr>
          <w:rFonts w:ascii="宋体" w:hAnsi="宋体"/>
          <w:szCs w:val="21"/>
        </w:rPr>
        <w:t xml:space="preserve">如飞机飞行的历史个例数据，飞机飞行的页面特效，点击可切换至实时飞机。大屏显示作业信息统计、作业次数、类型等，时间轴在控制飞机飞行位置时，能够将历史的载荷数据进行关联查询展示。 </w:t>
      </w:r>
    </w:p>
    <w:p>
      <w:pPr>
        <w:spacing w:line="360" w:lineRule="auto"/>
        <w:rPr>
          <w:rFonts w:ascii="宋体" w:hAnsi="宋体"/>
          <w:szCs w:val="21"/>
        </w:rPr>
      </w:pPr>
      <w:r>
        <w:rPr>
          <w:rFonts w:ascii="宋体" w:hAnsi="宋体"/>
          <w:szCs w:val="21"/>
        </w:rPr>
        <w:t xml:space="preserve">2）监测预警 </w:t>
      </w:r>
    </w:p>
    <w:p>
      <w:pPr>
        <w:spacing w:line="360" w:lineRule="auto"/>
        <w:rPr>
          <w:rFonts w:ascii="宋体" w:hAnsi="宋体"/>
          <w:szCs w:val="21"/>
        </w:rPr>
      </w:pPr>
      <w:r>
        <w:rPr>
          <w:rFonts w:ascii="宋体" w:hAnsi="宋体"/>
          <w:szCs w:val="21"/>
        </w:rPr>
        <w:t xml:space="preserve">①雷达 </w:t>
      </w:r>
    </w:p>
    <w:p>
      <w:pPr>
        <w:spacing w:line="360" w:lineRule="auto"/>
        <w:rPr>
          <w:rFonts w:ascii="宋体" w:hAnsi="宋体"/>
          <w:szCs w:val="21"/>
        </w:rPr>
      </w:pPr>
      <w:r>
        <w:rPr>
          <w:rFonts w:ascii="宋体" w:hAnsi="宋体"/>
          <w:szCs w:val="21"/>
        </w:rPr>
        <w:t>能够接入单站和组网雷达数据，将数据在页面进行展示，图层可显示隐藏。</w:t>
      </w:r>
    </w:p>
    <w:p>
      <w:pPr>
        <w:spacing w:line="360" w:lineRule="auto"/>
        <w:rPr>
          <w:rFonts w:ascii="宋体" w:hAnsi="宋体"/>
          <w:szCs w:val="21"/>
        </w:rPr>
      </w:pPr>
      <w:r>
        <w:rPr>
          <w:rFonts w:ascii="宋体" w:hAnsi="宋体"/>
          <w:szCs w:val="21"/>
        </w:rPr>
        <w:t xml:space="preserve">②卫星 </w:t>
      </w:r>
    </w:p>
    <w:p>
      <w:pPr>
        <w:spacing w:line="360" w:lineRule="auto"/>
        <w:rPr>
          <w:rFonts w:ascii="宋体" w:hAnsi="宋体"/>
          <w:szCs w:val="21"/>
        </w:rPr>
      </w:pPr>
      <w:r>
        <w:rPr>
          <w:rFonts w:ascii="宋体" w:hAnsi="宋体"/>
          <w:szCs w:val="21"/>
        </w:rPr>
        <w:t>能够接入卫星产品，包括但不限于云覆盖率（CFR）、云量（CLA）、云分类（CLC）、云检测（CLD）、云检测（CLM）、云相态（CLP）等卫星产品数据，用于观测辅助。</w:t>
      </w:r>
    </w:p>
    <w:p>
      <w:pPr>
        <w:spacing w:line="360" w:lineRule="auto"/>
        <w:rPr>
          <w:rFonts w:ascii="宋体" w:hAnsi="宋体"/>
          <w:szCs w:val="21"/>
        </w:rPr>
      </w:pPr>
      <w:r>
        <w:rPr>
          <w:rFonts w:ascii="宋体" w:hAnsi="宋体"/>
          <w:szCs w:val="21"/>
        </w:rPr>
        <w:t xml:space="preserve">③自动站 </w:t>
      </w:r>
    </w:p>
    <w:p>
      <w:pPr>
        <w:spacing w:line="360" w:lineRule="auto"/>
        <w:rPr>
          <w:rFonts w:ascii="宋体" w:hAnsi="宋体"/>
          <w:szCs w:val="21"/>
        </w:rPr>
      </w:pPr>
      <w:r>
        <w:rPr>
          <w:rFonts w:ascii="宋体" w:hAnsi="宋体"/>
          <w:szCs w:val="21"/>
        </w:rPr>
        <w:t xml:space="preserve">支持显示自动站 1 小时降水、温度、气压、湿度、风速、风 向展示，支持色斑图、等值线、站点值等方式渲染显示。 </w:t>
      </w:r>
    </w:p>
    <w:p>
      <w:pPr>
        <w:spacing w:line="360" w:lineRule="auto"/>
        <w:rPr>
          <w:rFonts w:ascii="宋体" w:hAnsi="宋体"/>
          <w:szCs w:val="21"/>
        </w:rPr>
      </w:pPr>
      <w:r>
        <w:rPr>
          <w:rFonts w:ascii="宋体" w:hAnsi="宋体"/>
          <w:szCs w:val="21"/>
        </w:rPr>
        <w:t xml:space="preserve">④实况格点 </w:t>
      </w:r>
    </w:p>
    <w:p>
      <w:pPr>
        <w:spacing w:line="360" w:lineRule="auto"/>
        <w:rPr>
          <w:rFonts w:ascii="宋体" w:hAnsi="宋体"/>
          <w:szCs w:val="21"/>
        </w:rPr>
      </w:pPr>
      <w:r>
        <w:rPr>
          <w:rFonts w:ascii="宋体" w:hAnsi="宋体"/>
          <w:szCs w:val="21"/>
        </w:rPr>
        <w:t xml:space="preserve">支持省级订正 SPCC 模式数据展示，点击任意点可弹窗显示其位置的温度、UV 风、湿度等要素数据展示，只显示历史和实时数据即可。 </w:t>
      </w:r>
    </w:p>
    <w:p>
      <w:pPr>
        <w:spacing w:line="360" w:lineRule="auto"/>
        <w:rPr>
          <w:rFonts w:ascii="宋体" w:hAnsi="宋体"/>
          <w:szCs w:val="21"/>
        </w:rPr>
      </w:pPr>
      <w:r>
        <w:rPr>
          <w:rFonts w:ascii="宋体" w:hAnsi="宋体"/>
          <w:szCs w:val="21"/>
        </w:rPr>
        <w:t xml:space="preserve">⑤预警信息 </w:t>
      </w:r>
    </w:p>
    <w:p>
      <w:pPr>
        <w:spacing w:line="360" w:lineRule="auto"/>
        <w:rPr>
          <w:rFonts w:ascii="宋体" w:hAnsi="宋体"/>
          <w:szCs w:val="21"/>
        </w:rPr>
      </w:pPr>
      <w:r>
        <w:rPr>
          <w:rFonts w:ascii="宋体" w:hAnsi="宋体"/>
          <w:szCs w:val="21"/>
        </w:rPr>
        <w:t xml:space="preserve">支持强对流、强回波识别并展示，短临、雷暴数据展示，通过图标动态展示危险区域。 </w:t>
      </w:r>
    </w:p>
    <w:p>
      <w:pPr>
        <w:spacing w:line="360" w:lineRule="auto"/>
        <w:rPr>
          <w:rFonts w:ascii="宋体" w:hAnsi="宋体"/>
          <w:szCs w:val="21"/>
        </w:rPr>
      </w:pPr>
      <w:r>
        <w:rPr>
          <w:rFonts w:ascii="宋体" w:hAnsi="宋体"/>
          <w:szCs w:val="21"/>
        </w:rPr>
        <w:t xml:space="preserve">⑥视频会商 </w:t>
      </w:r>
    </w:p>
    <w:p>
      <w:pPr>
        <w:spacing w:line="360" w:lineRule="auto"/>
        <w:rPr>
          <w:rFonts w:ascii="宋体" w:hAnsi="宋体"/>
          <w:szCs w:val="21"/>
        </w:rPr>
      </w:pPr>
      <w:r>
        <w:rPr>
          <w:rFonts w:ascii="宋体" w:hAnsi="宋体"/>
          <w:szCs w:val="21"/>
        </w:rPr>
        <w:t xml:space="preserve">通过创建线上房间的方式，指挥人员和飞手可以同时加入房间，可实现在线通话。 </w:t>
      </w:r>
    </w:p>
    <w:p>
      <w:pPr>
        <w:spacing w:line="360" w:lineRule="auto"/>
        <w:rPr>
          <w:rFonts w:ascii="宋体" w:hAnsi="宋体"/>
          <w:szCs w:val="21"/>
        </w:rPr>
      </w:pPr>
      <w:r>
        <w:rPr>
          <w:rFonts w:ascii="宋体" w:hAnsi="宋体"/>
          <w:szCs w:val="21"/>
        </w:rPr>
        <w:t xml:space="preserve">⑦数值模式 </w:t>
      </w:r>
    </w:p>
    <w:p>
      <w:pPr>
        <w:spacing w:line="360" w:lineRule="auto"/>
        <w:rPr>
          <w:rFonts w:ascii="宋体" w:hAnsi="宋体"/>
          <w:szCs w:val="21"/>
        </w:rPr>
      </w:pPr>
      <w:r>
        <w:rPr>
          <w:rFonts w:ascii="宋体" w:hAnsi="宋体"/>
          <w:szCs w:val="21"/>
        </w:rPr>
        <w:t xml:space="preserve">接入数值模式产品，点击数值模式，可将数值产品通过经纬度叠加至 GIS 地图。支持通过选择预报时效，查看未来产品多个时刻产品。 </w:t>
      </w:r>
    </w:p>
    <w:p>
      <w:pPr>
        <w:spacing w:line="360" w:lineRule="auto"/>
        <w:rPr>
          <w:rFonts w:ascii="宋体" w:hAnsi="宋体"/>
          <w:szCs w:val="21"/>
        </w:rPr>
      </w:pPr>
      <w:r>
        <w:rPr>
          <w:rFonts w:ascii="宋体" w:hAnsi="宋体"/>
          <w:szCs w:val="21"/>
        </w:rPr>
        <w:t xml:space="preserve">⑧空域区划图 </w:t>
      </w:r>
    </w:p>
    <w:p>
      <w:pPr>
        <w:spacing w:line="360" w:lineRule="auto"/>
        <w:rPr>
          <w:rFonts w:ascii="宋体" w:hAnsi="宋体"/>
          <w:szCs w:val="21"/>
        </w:rPr>
      </w:pPr>
      <w:r>
        <w:rPr>
          <w:rFonts w:ascii="宋体" w:hAnsi="宋体"/>
          <w:szCs w:val="21"/>
        </w:rPr>
        <w:t xml:space="preserve">页面叠加空域区划图图层，显示其图例。通过图层可控制该图层的显示影藏。 </w:t>
      </w:r>
    </w:p>
    <w:p>
      <w:pPr>
        <w:spacing w:line="360" w:lineRule="auto"/>
        <w:rPr>
          <w:rFonts w:ascii="宋体" w:hAnsi="宋体"/>
          <w:szCs w:val="21"/>
        </w:rPr>
      </w:pPr>
      <w:r>
        <w:rPr>
          <w:rFonts w:ascii="宋体" w:hAnsi="宋体"/>
          <w:szCs w:val="21"/>
        </w:rPr>
        <w:t xml:space="preserve">⑨预飞航线 </w:t>
      </w:r>
    </w:p>
    <w:p>
      <w:pPr>
        <w:spacing w:line="360" w:lineRule="auto"/>
        <w:rPr>
          <w:rFonts w:ascii="宋体" w:hAnsi="宋体"/>
          <w:szCs w:val="21"/>
        </w:rPr>
      </w:pPr>
      <w:r>
        <w:rPr>
          <w:rFonts w:ascii="宋体" w:hAnsi="宋体"/>
          <w:szCs w:val="21"/>
        </w:rPr>
        <w:t xml:space="preserve">当页面正在显示实时或者历史飞机作业轨迹时，支持预设轨迹新增导入；支持导入预飞航线的基础信息，通过后台数据匹配，实现在 GIS 页面上显示预飞航线。可对预飞航线进行删除和重新导入操作。 </w:t>
      </w:r>
    </w:p>
    <w:p>
      <w:pPr>
        <w:spacing w:line="360" w:lineRule="auto"/>
        <w:rPr>
          <w:rFonts w:ascii="宋体" w:hAnsi="宋体"/>
          <w:szCs w:val="21"/>
        </w:rPr>
      </w:pPr>
      <w:r>
        <w:rPr>
          <w:rFonts w:ascii="宋体" w:hAnsi="宋体"/>
          <w:szCs w:val="21"/>
        </w:rPr>
        <w:t xml:space="preserve">⑩飞机作业方案 </w:t>
      </w:r>
    </w:p>
    <w:p>
      <w:pPr>
        <w:spacing w:line="360" w:lineRule="auto"/>
        <w:rPr>
          <w:rFonts w:ascii="宋体" w:hAnsi="宋体"/>
          <w:szCs w:val="21"/>
        </w:rPr>
      </w:pPr>
      <w:r>
        <w:rPr>
          <w:rFonts w:ascii="宋体" w:hAnsi="宋体"/>
          <w:szCs w:val="21"/>
        </w:rPr>
        <w:t xml:space="preserve">支持生成飞机作业方案，支持生成飞机作业方案，可编辑和删除；可在 GIS 地图上进行航线轨迹绘制，航线绘制与警戒区是否存在相交则无法保存提交。航线绘制时，支持增加气象干旱指数、农业气象干旱指数等图片信息叠加展示进行参考绘制。支持增加禁飞区区域展示。 </w:t>
      </w:r>
    </w:p>
    <w:p>
      <w:pPr>
        <w:spacing w:line="360" w:lineRule="auto"/>
        <w:rPr>
          <w:rFonts w:ascii="宋体" w:hAnsi="宋体"/>
          <w:szCs w:val="21"/>
        </w:rPr>
      </w:pPr>
      <w:r>
        <w:rPr>
          <w:rFonts w:ascii="Cambria Math" w:hAnsi="Cambria Math" w:cs="Cambria Math"/>
          <w:szCs w:val="21"/>
        </w:rPr>
        <w:t>⑪</w:t>
      </w:r>
      <w:r>
        <w:rPr>
          <w:rFonts w:ascii="宋体" w:hAnsi="宋体"/>
          <w:szCs w:val="21"/>
        </w:rPr>
        <w:t xml:space="preserve">历史飞行轨迹 </w:t>
      </w:r>
    </w:p>
    <w:p>
      <w:pPr>
        <w:spacing w:line="360" w:lineRule="auto"/>
        <w:rPr>
          <w:rFonts w:ascii="宋体" w:hAnsi="宋体"/>
          <w:szCs w:val="21"/>
        </w:rPr>
      </w:pPr>
      <w:r>
        <w:rPr>
          <w:rFonts w:ascii="宋体" w:hAnsi="宋体"/>
          <w:szCs w:val="21"/>
        </w:rPr>
        <w:t xml:space="preserve">点击历史数据，打开日历弹窗，弹窗显示到年-月-日，若该日存在飞行记录，则在日历框中叠加飞机图标。点击该日历弹窗，获取历史飞行轨迹信息，通过 GIS 地图叠加实时飞行轨迹，可动态显示该飞机在历史时间处于哪个位置。 </w:t>
      </w:r>
    </w:p>
    <w:p>
      <w:pPr>
        <w:spacing w:line="360" w:lineRule="auto"/>
        <w:rPr>
          <w:rFonts w:ascii="宋体" w:hAnsi="宋体"/>
          <w:szCs w:val="21"/>
        </w:rPr>
      </w:pPr>
      <w:r>
        <w:rPr>
          <w:rFonts w:ascii="Cambria Math" w:hAnsi="Cambria Math" w:cs="Cambria Math"/>
          <w:szCs w:val="21"/>
        </w:rPr>
        <w:t>⑫</w:t>
      </w:r>
      <w:r>
        <w:rPr>
          <w:rFonts w:ascii="宋体" w:hAnsi="宋体"/>
          <w:szCs w:val="21"/>
        </w:rPr>
        <w:t xml:space="preserve">历史剖面动画 </w:t>
      </w:r>
    </w:p>
    <w:p>
      <w:pPr>
        <w:spacing w:line="360" w:lineRule="auto"/>
        <w:rPr>
          <w:rFonts w:ascii="宋体" w:hAnsi="宋体"/>
          <w:szCs w:val="21"/>
        </w:rPr>
      </w:pPr>
      <w:r>
        <w:rPr>
          <w:rFonts w:ascii="宋体" w:hAnsi="宋体"/>
          <w:szCs w:val="21"/>
        </w:rPr>
        <w:t xml:space="preserve">通过多轴图表展示历史剖面数据，可显示飞机高低、地面高程、雷达不同高度的 dBZ 强度数据。 </w:t>
      </w:r>
    </w:p>
    <w:p>
      <w:pPr>
        <w:spacing w:line="360" w:lineRule="auto"/>
        <w:rPr>
          <w:rFonts w:ascii="宋体" w:hAnsi="宋体"/>
          <w:szCs w:val="21"/>
        </w:rPr>
      </w:pPr>
      <w:r>
        <w:rPr>
          <w:rFonts w:ascii="宋体" w:hAnsi="宋体"/>
          <w:szCs w:val="21"/>
        </w:rPr>
        <w:t xml:space="preserve">3）指挥监控 </w:t>
      </w:r>
    </w:p>
    <w:p>
      <w:pPr>
        <w:spacing w:line="360" w:lineRule="auto"/>
        <w:rPr>
          <w:rFonts w:ascii="宋体" w:hAnsi="宋体"/>
          <w:szCs w:val="21"/>
        </w:rPr>
      </w:pPr>
      <w:r>
        <w:rPr>
          <w:rFonts w:ascii="宋体" w:hAnsi="宋体"/>
          <w:szCs w:val="21"/>
        </w:rPr>
        <w:t xml:space="preserve">①地图服务 </w:t>
      </w:r>
    </w:p>
    <w:p>
      <w:pPr>
        <w:spacing w:line="360" w:lineRule="auto"/>
        <w:rPr>
          <w:rFonts w:ascii="宋体" w:hAnsi="宋体"/>
          <w:szCs w:val="21"/>
        </w:rPr>
      </w:pPr>
      <w:r>
        <w:rPr>
          <w:rFonts w:ascii="宋体" w:hAnsi="宋体"/>
          <w:szCs w:val="21"/>
        </w:rPr>
        <w:t xml:space="preserve">基于 GIS 地图展示飞机飞行轨迹、播撒路径和各类雷达、卫星产品、T-lnp 图，同时可下发临时作业点位。GIS 地图上实时展示飞机的飞行轨迹，可查看作业飞机的预设航线，可在 GIS 地图上标记出危险区域、临时飞行点、作业催化潜力弹框（支持快捷下发）。GIS 地图上可查看雷达组合反射率、垂直积水液态水含量，卫星降水估测、大气水汽总量、云监测、云顶高度、云相态、云顶气压、云类型、云顶温度，可通过时间轴的选择控制展示历史产品数据。雷达风场使用光流算法对雷达数据进行风场反演，计算回波的光流场变化而得到运动矢量场；根据探空数据生成 T-lnp 图，进行弹窗显示，可以时次和探空站进行选择，展示对应 T-lnp 图数据。具备 GIS 地图辅助功能，包括测距，测面、图层展示等功能。支持地图放大缩小操作。 </w:t>
      </w:r>
    </w:p>
    <w:p>
      <w:pPr>
        <w:spacing w:line="360" w:lineRule="auto"/>
        <w:rPr>
          <w:rFonts w:ascii="宋体" w:hAnsi="宋体"/>
          <w:szCs w:val="21"/>
        </w:rPr>
      </w:pPr>
      <w:r>
        <w:rPr>
          <w:rFonts w:ascii="宋体" w:hAnsi="宋体"/>
          <w:szCs w:val="21"/>
        </w:rPr>
        <w:t xml:space="preserve">②作业信息 </w:t>
      </w:r>
    </w:p>
    <w:p>
      <w:pPr>
        <w:spacing w:line="360" w:lineRule="auto"/>
        <w:rPr>
          <w:rFonts w:ascii="宋体" w:hAnsi="宋体"/>
          <w:szCs w:val="21"/>
        </w:rPr>
      </w:pPr>
      <w:r>
        <w:rPr>
          <w:rFonts w:ascii="宋体" w:hAnsi="宋体"/>
          <w:szCs w:val="21"/>
        </w:rPr>
        <w:t>在界面上选择实时作业信息或历史作业信息进行查看。实时作业信息中，点击飞机作业弹出作业方案进行关联，选择对应的作业方案进行关联，绑定作业方案的基础信息至飞行数据，获取对应的探测数据以及气象数据进行页面渲染。</w:t>
      </w:r>
    </w:p>
    <w:p>
      <w:pPr>
        <w:spacing w:line="360" w:lineRule="auto"/>
        <w:rPr>
          <w:rFonts w:ascii="宋体" w:hAnsi="宋体"/>
          <w:szCs w:val="21"/>
        </w:rPr>
      </w:pPr>
      <w:r>
        <w:rPr>
          <w:rFonts w:ascii="宋体" w:hAnsi="宋体"/>
          <w:szCs w:val="21"/>
        </w:rPr>
        <w:t xml:space="preserve">历史作业信息中，选择历史信息后，通过时间轴动态控制飞机飞行时间，根据对应时间获取探测数据，气象数据以及宏观记录。支持控制历史飞行视频的播放进度。 </w:t>
      </w:r>
    </w:p>
    <w:p>
      <w:pPr>
        <w:spacing w:line="360" w:lineRule="auto"/>
        <w:rPr>
          <w:rFonts w:ascii="宋体" w:hAnsi="宋体"/>
          <w:szCs w:val="21"/>
        </w:rPr>
      </w:pPr>
      <w:r>
        <w:rPr>
          <w:rFonts w:ascii="宋体" w:hAnsi="宋体"/>
          <w:szCs w:val="21"/>
        </w:rPr>
        <w:t xml:space="preserve">③实时视频 </w:t>
      </w:r>
    </w:p>
    <w:p>
      <w:pPr>
        <w:spacing w:line="360" w:lineRule="auto"/>
        <w:rPr>
          <w:rFonts w:ascii="宋体" w:hAnsi="宋体"/>
          <w:szCs w:val="21"/>
        </w:rPr>
      </w:pPr>
      <w:r>
        <w:rPr>
          <w:rFonts w:ascii="宋体" w:hAnsi="宋体"/>
          <w:szCs w:val="21"/>
        </w:rPr>
        <w:t xml:space="preserve">有实时作业的飞机时，展示实时作业的飞机监控视频。无实时作业的飞机时展示历史作业最新一条作业监控视频。视频内容主要展示探测数据中的经度、纬度、海拔高度航速、航向、大气温度、探测温度、探测湿度、结冰状态等信息。 </w:t>
      </w:r>
    </w:p>
    <w:p>
      <w:pPr>
        <w:spacing w:line="360" w:lineRule="auto"/>
        <w:rPr>
          <w:rFonts w:ascii="宋体" w:hAnsi="宋体"/>
          <w:szCs w:val="21"/>
        </w:rPr>
      </w:pPr>
      <w:r>
        <w:rPr>
          <w:rFonts w:ascii="宋体" w:hAnsi="宋体"/>
          <w:szCs w:val="21"/>
        </w:rPr>
        <w:t xml:space="preserve">④数值模式 </w:t>
      </w:r>
    </w:p>
    <w:p>
      <w:pPr>
        <w:spacing w:line="360" w:lineRule="auto"/>
        <w:rPr>
          <w:rFonts w:ascii="宋体" w:hAnsi="宋体"/>
          <w:szCs w:val="21"/>
        </w:rPr>
      </w:pPr>
      <w:r>
        <w:rPr>
          <w:rFonts w:ascii="宋体" w:hAnsi="宋体"/>
          <w:szCs w:val="21"/>
        </w:rPr>
        <w:t>弹框展示数值模式预报产品，包括云宏观场、云微观场、垂直结构、降水场产品。通过预报数值模式图展示产品各要素的预报色斑图，在产品图片上实时叠加飞机经纬度信息、飞机编号，方便直观的掌握作业的最佳条件信息。</w:t>
      </w:r>
    </w:p>
    <w:p>
      <w:pPr>
        <w:spacing w:line="360" w:lineRule="auto"/>
        <w:rPr>
          <w:rFonts w:ascii="宋体" w:hAnsi="宋体"/>
          <w:szCs w:val="21"/>
        </w:rPr>
      </w:pPr>
      <w:r>
        <w:rPr>
          <w:rFonts w:ascii="宋体" w:hAnsi="宋体"/>
          <w:szCs w:val="21"/>
        </w:rPr>
        <w:t>其中，云宏观场要素包括垂直累计液态水、垂直累计过冷水、云顶温度、云顶高度；云微观场要素包括总水成物场+风场+湿度、云水比含量、雨水比含量、冰晶比含量、雪比含水量、霰比含水量、冰晶数浓度、雨滴数浓度、雪数浓度、霰数浓度，产品分不同层次展示；垂直结构要素包括 Qc、Ni、T 垂直剖面、Qs+Qg、Qr 垂直剖面，产品分不同纬度展示；降水场要素包括逐小时降水、3 小时降水、6 小时降水、12 小时降水、24 小时降水。</w:t>
      </w:r>
    </w:p>
    <w:p>
      <w:pPr>
        <w:spacing w:line="360" w:lineRule="auto"/>
        <w:rPr>
          <w:rFonts w:ascii="宋体" w:hAnsi="宋体"/>
          <w:szCs w:val="21"/>
        </w:rPr>
      </w:pPr>
      <w:r>
        <w:rPr>
          <w:rFonts w:ascii="宋体" w:hAnsi="宋体"/>
          <w:szCs w:val="21"/>
        </w:rPr>
        <w:t xml:space="preserve">⑤DMT 探测 </w:t>
      </w:r>
    </w:p>
    <w:p>
      <w:pPr>
        <w:spacing w:line="360" w:lineRule="auto"/>
        <w:rPr>
          <w:rFonts w:ascii="宋体" w:hAnsi="宋体"/>
          <w:szCs w:val="21"/>
        </w:rPr>
      </w:pPr>
      <w:r>
        <w:rPr>
          <w:rFonts w:ascii="宋体" w:hAnsi="宋体"/>
          <w:szCs w:val="21"/>
        </w:rPr>
        <w:t>定时读取指定目录下的文件，获取返回的飞机机载探测数据，通过解析实时渲染显示飞机飞行时的探测数据。探测数据包括云粒子普仪、总水吊舱的探测数据，实时对探测的有效直径、含水量、数浓度等数据进行展示，数据图支持下载，同步刷新操作。</w:t>
      </w:r>
    </w:p>
    <w:p>
      <w:pPr>
        <w:spacing w:line="360" w:lineRule="auto"/>
        <w:rPr>
          <w:rFonts w:ascii="宋体" w:hAnsi="宋体"/>
          <w:szCs w:val="21"/>
        </w:rPr>
      </w:pPr>
      <w:r>
        <w:rPr>
          <w:rFonts w:ascii="宋体" w:hAnsi="宋体"/>
          <w:szCs w:val="21"/>
        </w:rPr>
        <w:t xml:space="preserve">⑥宏观记录 </w:t>
      </w:r>
    </w:p>
    <w:p>
      <w:pPr>
        <w:spacing w:line="360" w:lineRule="auto"/>
        <w:rPr>
          <w:rFonts w:ascii="宋体" w:hAnsi="宋体"/>
          <w:szCs w:val="21"/>
        </w:rPr>
      </w:pPr>
      <w:r>
        <w:rPr>
          <w:rFonts w:ascii="宋体" w:hAnsi="宋体"/>
          <w:szCs w:val="21"/>
        </w:rPr>
        <w:t>根据飞机飞行状态，在各阶段自动记录飞机飞行时的操作内容及操作时间。</w:t>
      </w:r>
    </w:p>
    <w:p>
      <w:pPr>
        <w:spacing w:line="360" w:lineRule="auto"/>
        <w:rPr>
          <w:rFonts w:ascii="宋体" w:hAnsi="宋体"/>
          <w:szCs w:val="21"/>
        </w:rPr>
      </w:pPr>
      <w:r>
        <w:rPr>
          <w:rFonts w:ascii="宋体" w:hAnsi="宋体"/>
          <w:szCs w:val="21"/>
        </w:rPr>
        <w:t xml:space="preserve">根据快捷指令生成记录表，记录完成后可以生成相关记录表，两分钟之内的指令点击算作一次作业记录。 </w:t>
      </w:r>
    </w:p>
    <w:p>
      <w:pPr>
        <w:spacing w:line="360" w:lineRule="auto"/>
        <w:rPr>
          <w:rFonts w:ascii="宋体" w:hAnsi="宋体"/>
          <w:szCs w:val="21"/>
        </w:rPr>
      </w:pPr>
      <w:r>
        <w:rPr>
          <w:rFonts w:ascii="宋体" w:hAnsi="宋体"/>
          <w:szCs w:val="21"/>
        </w:rPr>
        <w:t xml:space="preserve">⑦雷达剖面 </w:t>
      </w:r>
    </w:p>
    <w:p>
      <w:pPr>
        <w:spacing w:line="360" w:lineRule="auto"/>
        <w:rPr>
          <w:rFonts w:ascii="宋体" w:hAnsi="宋体"/>
          <w:szCs w:val="21"/>
        </w:rPr>
      </w:pPr>
      <w:r>
        <w:rPr>
          <w:rFonts w:ascii="宋体" w:hAnsi="宋体"/>
          <w:szCs w:val="21"/>
        </w:rPr>
        <w:t xml:space="preserve">对飞机飞行时的雷达、地形和飞行高度进行实时剖面叠加分析。展示飞机飞行时的雷达剖面图，结合飞机飞行高度、高程数据，飞机高度数据取值于飞机坐标数据，地面高度数据取值于高程文件，雷达数据取覆盖该区域的雷达数据。 </w:t>
      </w:r>
    </w:p>
    <w:p>
      <w:pPr>
        <w:spacing w:line="360" w:lineRule="auto"/>
        <w:rPr>
          <w:rFonts w:ascii="宋体" w:hAnsi="宋体"/>
          <w:szCs w:val="21"/>
        </w:rPr>
      </w:pPr>
      <w:r>
        <w:rPr>
          <w:rFonts w:ascii="宋体" w:hAnsi="宋体"/>
          <w:szCs w:val="21"/>
        </w:rPr>
        <w:t xml:space="preserve">⑧快捷指令当有实时飞机作业时，可对快捷下发飞机指令，可动态配置常用指令，通过在界面点击快捷指令来快速的下发操作指令指挥飞机测状态。当无实时作业飞机时，联动历史作业记录，选择历史作业后，展示此次作业的飞行记录。 </w:t>
      </w:r>
    </w:p>
    <w:p>
      <w:pPr>
        <w:spacing w:line="360" w:lineRule="auto"/>
        <w:rPr>
          <w:rFonts w:ascii="宋体" w:hAnsi="宋体"/>
          <w:szCs w:val="21"/>
        </w:rPr>
      </w:pPr>
      <w:r>
        <w:rPr>
          <w:rFonts w:ascii="宋体" w:hAnsi="宋体"/>
          <w:szCs w:val="21"/>
        </w:rPr>
        <w:t xml:space="preserve">⑨危险区标记 </w:t>
      </w:r>
    </w:p>
    <w:p>
      <w:pPr>
        <w:spacing w:line="360" w:lineRule="auto"/>
        <w:rPr>
          <w:rFonts w:ascii="宋体" w:hAnsi="宋体"/>
          <w:szCs w:val="21"/>
        </w:rPr>
      </w:pPr>
      <w:r>
        <w:rPr>
          <w:rFonts w:ascii="宋体" w:hAnsi="宋体"/>
          <w:szCs w:val="21"/>
        </w:rPr>
        <w:t xml:space="preserve">基于实时气象数据、视频图像，结合人工智能技术建立危险天气预测功能，用户可根据系统提示，查看在飞机航线中可能出现对飞机飞行有影响的区域，进行危险区标记并及时传递给飞机操作人员，及时调整飞机的飞行航线。 </w:t>
      </w:r>
    </w:p>
    <w:p>
      <w:pPr>
        <w:spacing w:line="360" w:lineRule="auto"/>
        <w:rPr>
          <w:rFonts w:ascii="宋体" w:hAnsi="宋体"/>
          <w:szCs w:val="21"/>
        </w:rPr>
      </w:pPr>
      <w:r>
        <w:rPr>
          <w:rFonts w:ascii="宋体" w:hAnsi="宋体"/>
          <w:szCs w:val="21"/>
        </w:rPr>
        <w:t xml:space="preserve">⑩临时作业点 </w:t>
      </w:r>
    </w:p>
    <w:p>
      <w:pPr>
        <w:spacing w:line="360" w:lineRule="auto"/>
        <w:rPr>
          <w:rFonts w:ascii="宋体" w:hAnsi="宋体"/>
          <w:szCs w:val="21"/>
        </w:rPr>
      </w:pPr>
      <w:r>
        <w:rPr>
          <w:rFonts w:ascii="宋体" w:hAnsi="宋体"/>
          <w:szCs w:val="21"/>
        </w:rPr>
        <w:t xml:space="preserve">根据作业潜力区预报信息，用户可通过设置临时作业点来实现飞机航线的实时在线订正。 </w:t>
      </w:r>
    </w:p>
    <w:p>
      <w:pPr>
        <w:spacing w:line="360" w:lineRule="auto"/>
        <w:rPr>
          <w:rFonts w:ascii="宋体" w:hAnsi="宋体"/>
          <w:szCs w:val="21"/>
        </w:rPr>
      </w:pPr>
      <w:r>
        <w:rPr>
          <w:rFonts w:ascii="宋体" w:hAnsi="宋体"/>
          <w:szCs w:val="21"/>
        </w:rPr>
        <w:t xml:space="preserve">（4）飞行个例 </w:t>
      </w:r>
    </w:p>
    <w:p>
      <w:pPr>
        <w:spacing w:line="360" w:lineRule="auto"/>
        <w:rPr>
          <w:rFonts w:ascii="宋体" w:hAnsi="宋体"/>
          <w:szCs w:val="21"/>
        </w:rPr>
      </w:pPr>
      <w:r>
        <w:rPr>
          <w:rFonts w:ascii="宋体" w:hAnsi="宋体"/>
          <w:szCs w:val="21"/>
        </w:rPr>
        <w:t xml:space="preserve">①飞行个例 </w:t>
      </w:r>
    </w:p>
    <w:p>
      <w:pPr>
        <w:spacing w:line="360" w:lineRule="auto"/>
        <w:rPr>
          <w:rFonts w:ascii="宋体" w:hAnsi="宋体"/>
          <w:szCs w:val="21"/>
        </w:rPr>
      </w:pPr>
      <w:r>
        <w:rPr>
          <w:rFonts w:ascii="宋体" w:hAnsi="宋体"/>
          <w:szCs w:val="21"/>
        </w:rPr>
        <w:t>通过表格记录并展示飞机作业个例信息，支持查询、新增、个例展示等操作。</w:t>
      </w:r>
    </w:p>
    <w:p>
      <w:pPr>
        <w:spacing w:line="360" w:lineRule="auto"/>
        <w:rPr>
          <w:rFonts w:ascii="宋体" w:hAnsi="宋体"/>
          <w:szCs w:val="21"/>
        </w:rPr>
      </w:pPr>
      <w:r>
        <w:rPr>
          <w:rFonts w:ascii="宋体" w:hAnsi="宋体"/>
          <w:szCs w:val="21"/>
        </w:rPr>
        <w:t xml:space="preserve">个例信息包括个例名称、开始时间、结束时间、创建人、创建时间，表格可按创建时间、个例名称关键字搜索查询，可通过填写个例名称、开始时间、结束时间等信息完成个例新增。 </w:t>
      </w:r>
    </w:p>
    <w:p>
      <w:pPr>
        <w:spacing w:line="360" w:lineRule="auto"/>
        <w:rPr>
          <w:rFonts w:ascii="宋体" w:hAnsi="宋体"/>
          <w:szCs w:val="21"/>
        </w:rPr>
      </w:pPr>
      <w:r>
        <w:rPr>
          <w:rFonts w:ascii="宋体" w:hAnsi="宋体"/>
          <w:szCs w:val="21"/>
        </w:rPr>
        <w:t xml:space="preserve">②个例展示 </w:t>
      </w:r>
    </w:p>
    <w:p>
      <w:pPr>
        <w:spacing w:line="360" w:lineRule="auto"/>
        <w:rPr>
          <w:rFonts w:ascii="宋体" w:hAnsi="宋体"/>
          <w:szCs w:val="21"/>
        </w:rPr>
      </w:pPr>
      <w:r>
        <w:rPr>
          <w:rFonts w:ascii="宋体" w:hAnsi="宋体"/>
          <w:szCs w:val="21"/>
        </w:rPr>
        <w:t xml:space="preserve">支持展示飞机作业时的飞行轨迹和飞行数据。在 GIS 地图上回放飞机作业时的飞行轨迹，如有多个飞机，可切换个例进行展示，可查看飞机飞行作业时的飞行参数、DMT 探测、雷达剖面，回放时可查看飞机作业时的雷达风场、雷达、卫星产品等，可通过时间轴控制回放的时间，实时展示飞行时的经度、纬度、海拔高度随时间的变化情况。 </w:t>
      </w:r>
    </w:p>
    <w:p>
      <w:pPr>
        <w:spacing w:line="360" w:lineRule="auto"/>
        <w:rPr>
          <w:rFonts w:ascii="宋体" w:hAnsi="宋体"/>
          <w:szCs w:val="21"/>
        </w:rPr>
      </w:pPr>
      <w:r>
        <w:rPr>
          <w:rFonts w:ascii="宋体" w:hAnsi="宋体"/>
          <w:szCs w:val="21"/>
        </w:rPr>
        <w:t xml:space="preserve">（5）综合管理 </w:t>
      </w:r>
    </w:p>
    <w:p>
      <w:pPr>
        <w:spacing w:line="360" w:lineRule="auto"/>
        <w:rPr>
          <w:rFonts w:ascii="宋体" w:hAnsi="宋体"/>
          <w:szCs w:val="21"/>
        </w:rPr>
      </w:pPr>
      <w:r>
        <w:rPr>
          <w:rFonts w:ascii="宋体" w:hAnsi="宋体"/>
          <w:szCs w:val="21"/>
        </w:rPr>
        <w:t xml:space="preserve">综合管理提供作业信息、作业方案、空域申请、作业快报、统计检验报告、作业统计等功能。 </w:t>
      </w:r>
    </w:p>
    <w:p>
      <w:pPr>
        <w:spacing w:line="360" w:lineRule="auto"/>
        <w:rPr>
          <w:rFonts w:ascii="宋体" w:hAnsi="宋体"/>
          <w:szCs w:val="21"/>
        </w:rPr>
      </w:pPr>
      <w:r>
        <w:rPr>
          <w:rFonts w:ascii="宋体" w:hAnsi="宋体"/>
          <w:szCs w:val="21"/>
        </w:rPr>
        <w:t xml:space="preserve">①作业信息 </w:t>
      </w:r>
    </w:p>
    <w:p>
      <w:pPr>
        <w:spacing w:line="360" w:lineRule="auto"/>
        <w:rPr>
          <w:rFonts w:ascii="宋体" w:hAnsi="宋体"/>
          <w:szCs w:val="21"/>
        </w:rPr>
      </w:pPr>
      <w:r>
        <w:rPr>
          <w:rFonts w:ascii="宋体" w:hAnsi="宋体"/>
          <w:szCs w:val="21"/>
        </w:rPr>
        <w:t xml:space="preserve">通过表格记录飞机的飞行作业信息，支可对作业信息查询查看，编辑、支持模板下载和导入。管理飞机作业的基本信息，可通过手动输入和导入两种方式对飞机作业的基本信息进行管理；支持根据作业时间、作业架次查询作业数据，并可直接将飞机作业信息上报省局和上报国家局。支持飞机作业信息的查询、新增、编辑、删除、导入、模板下载、上报省局、上报国家局、查看催化剂详情、下载飞机作业信息等功能。 </w:t>
      </w:r>
    </w:p>
    <w:p>
      <w:pPr>
        <w:spacing w:line="360" w:lineRule="auto"/>
        <w:rPr>
          <w:rFonts w:ascii="宋体" w:hAnsi="宋体"/>
          <w:szCs w:val="21"/>
        </w:rPr>
      </w:pPr>
      <w:r>
        <w:rPr>
          <w:rFonts w:ascii="宋体" w:hAnsi="宋体"/>
          <w:szCs w:val="21"/>
        </w:rPr>
        <w:t xml:space="preserve">②作业方案 </w:t>
      </w:r>
    </w:p>
    <w:p>
      <w:pPr>
        <w:spacing w:line="360" w:lineRule="auto"/>
        <w:rPr>
          <w:rFonts w:ascii="宋体" w:hAnsi="宋体"/>
          <w:szCs w:val="21"/>
        </w:rPr>
      </w:pPr>
      <w:r>
        <w:rPr>
          <w:rFonts w:ascii="宋体" w:hAnsi="宋体"/>
          <w:szCs w:val="21"/>
        </w:rPr>
        <w:t xml:space="preserve">通过手动在地图上进行飞行轨迹描点或者通过预设的飞行轨迹点进行选点，绘制出飞机作业预飞轨迹；可查看飞行轨迹图并根据数据导出 pdf 文档；具备飞机作业方案上报、上传、下载以及生成飞机作业方案等功能。支持查询、刷新、新增、编辑、删除、模板下载、导入等功能操作。 </w:t>
      </w:r>
    </w:p>
    <w:p>
      <w:pPr>
        <w:spacing w:line="360" w:lineRule="auto"/>
        <w:rPr>
          <w:rFonts w:ascii="宋体" w:hAnsi="宋体"/>
          <w:szCs w:val="21"/>
        </w:rPr>
      </w:pPr>
      <w:r>
        <w:rPr>
          <w:rFonts w:ascii="宋体" w:hAnsi="宋体"/>
          <w:szCs w:val="21"/>
        </w:rPr>
        <w:t xml:space="preserve">③空域申请对空域申请中的使用计划表和空域申请表进行管理，可对表进行详情查看。 </w:t>
      </w:r>
    </w:p>
    <w:p>
      <w:pPr>
        <w:spacing w:line="360" w:lineRule="auto"/>
        <w:rPr>
          <w:rFonts w:ascii="宋体" w:hAnsi="宋体"/>
          <w:szCs w:val="21"/>
        </w:rPr>
      </w:pPr>
      <w:r>
        <w:rPr>
          <w:rFonts w:ascii="宋体" w:hAnsi="宋体"/>
          <w:szCs w:val="21"/>
        </w:rPr>
        <w:t xml:space="preserve">④作业统计 </w:t>
      </w:r>
    </w:p>
    <w:p>
      <w:pPr>
        <w:spacing w:line="360" w:lineRule="auto"/>
        <w:rPr>
          <w:rFonts w:ascii="宋体" w:hAnsi="宋体"/>
          <w:szCs w:val="21"/>
        </w:rPr>
      </w:pPr>
      <w:r>
        <w:rPr>
          <w:rFonts w:ascii="宋体" w:hAnsi="宋体"/>
          <w:szCs w:val="21"/>
        </w:rPr>
        <w:t xml:space="preserve">通过表格记录展示各地区的作业信息统计，表格包括所在地区、执飞架次、作业次数、总里程和催化剂用量，催化剂用量分为碘化银烟条、碘化银焰弹、液氮、液态二氧化碳、干冰个其他催化剂，可查询统计出所有种类的催化剂用量总数。支持按开始时间、结束时间、飞机编号查询，表格信息支持导出。 </w:t>
      </w:r>
    </w:p>
    <w:p>
      <w:pPr>
        <w:spacing w:line="360" w:lineRule="auto"/>
        <w:rPr>
          <w:rFonts w:ascii="宋体" w:hAnsi="宋体"/>
          <w:szCs w:val="21"/>
        </w:rPr>
      </w:pPr>
      <w:r>
        <w:rPr>
          <w:rFonts w:ascii="宋体" w:hAnsi="宋体"/>
          <w:szCs w:val="21"/>
        </w:rPr>
        <w:t xml:space="preserve">⑤作业快报 </w:t>
      </w:r>
    </w:p>
    <w:p>
      <w:pPr>
        <w:spacing w:line="360" w:lineRule="auto"/>
        <w:rPr>
          <w:rFonts w:ascii="宋体" w:hAnsi="宋体"/>
          <w:szCs w:val="21"/>
        </w:rPr>
      </w:pPr>
      <w:r>
        <w:rPr>
          <w:rFonts w:ascii="宋体" w:hAnsi="宋体"/>
          <w:szCs w:val="21"/>
        </w:rPr>
        <w:t xml:space="preserve">支持快速生成作业快报，以列表形式进行展示，预设快报模板。支持展示文档列表和文档详情，作业快报可通过选择作业日期手动生成作业快报，文档列表可通过时间筛选查询，选择文档列表中的文档后，展示对应选择文档详情。 </w:t>
      </w:r>
    </w:p>
    <w:p>
      <w:pPr>
        <w:spacing w:line="360" w:lineRule="auto"/>
        <w:rPr>
          <w:rFonts w:ascii="宋体" w:hAnsi="宋体"/>
          <w:szCs w:val="21"/>
        </w:rPr>
      </w:pPr>
      <w:r>
        <w:rPr>
          <w:rFonts w:ascii="宋体" w:hAnsi="宋体"/>
          <w:szCs w:val="21"/>
        </w:rPr>
        <w:t xml:space="preserve">⑥统计检验报告 </w:t>
      </w:r>
    </w:p>
    <w:p>
      <w:pPr>
        <w:spacing w:line="360" w:lineRule="auto"/>
        <w:rPr>
          <w:rFonts w:ascii="宋体" w:hAnsi="宋体"/>
          <w:szCs w:val="21"/>
        </w:rPr>
      </w:pPr>
      <w:r>
        <w:rPr>
          <w:rFonts w:ascii="宋体" w:hAnsi="宋体"/>
          <w:szCs w:val="21"/>
        </w:rPr>
        <w:t xml:space="preserve">根据统计检验结果自动生成统计检验报告，可根据时间倒序查询已生成的评估报告。支持预览、重新生成、下载、修改、上传。 </w:t>
      </w:r>
    </w:p>
    <w:p>
      <w:pPr>
        <w:spacing w:line="360" w:lineRule="auto"/>
        <w:rPr>
          <w:rFonts w:ascii="宋体" w:hAnsi="宋体"/>
          <w:szCs w:val="21"/>
        </w:rPr>
      </w:pPr>
      <w:r>
        <w:rPr>
          <w:rFonts w:ascii="宋体" w:hAnsi="宋体"/>
          <w:szCs w:val="21"/>
        </w:rPr>
        <w:t xml:space="preserve">⑦作业统计 </w:t>
      </w:r>
    </w:p>
    <w:p>
      <w:pPr>
        <w:spacing w:line="360" w:lineRule="auto"/>
        <w:rPr>
          <w:rFonts w:ascii="宋体" w:hAnsi="宋体"/>
          <w:szCs w:val="21"/>
        </w:rPr>
      </w:pPr>
      <w:r>
        <w:rPr>
          <w:rFonts w:ascii="宋体" w:hAnsi="宋体"/>
          <w:szCs w:val="21"/>
        </w:rPr>
        <w:t xml:space="preserve">通过作业统计页面完成不同区域飞机作业的次数、催化剂用量数据；可通过查询条件（日期、飞机标号）查看指定条件的统计数据，支持对指定条件的查询数据进行导出操作。 </w:t>
      </w:r>
    </w:p>
    <w:p>
      <w:pPr>
        <w:spacing w:line="360" w:lineRule="auto"/>
        <w:rPr>
          <w:rFonts w:ascii="宋体" w:hAnsi="宋体"/>
          <w:szCs w:val="21"/>
        </w:rPr>
      </w:pPr>
      <w:r>
        <w:rPr>
          <w:rFonts w:ascii="宋体" w:hAnsi="宋体"/>
          <w:szCs w:val="21"/>
        </w:rPr>
        <w:t>⑧飞机管理</w:t>
      </w:r>
    </w:p>
    <w:p>
      <w:pPr>
        <w:spacing w:line="360" w:lineRule="auto"/>
        <w:rPr>
          <w:rFonts w:ascii="宋体" w:hAnsi="宋体"/>
          <w:szCs w:val="21"/>
        </w:rPr>
      </w:pPr>
      <w:r>
        <w:rPr>
          <w:rFonts w:ascii="宋体" w:hAnsi="宋体"/>
          <w:szCs w:val="21"/>
        </w:rPr>
        <w:t xml:space="preserve">飞机管理列表管理展示飞机信息，包括所属单位、飞机编号、飞机型号等信息，新增飞机时填写信息，完成后提交即可新增飞机，支持编辑和删除飞机。 </w:t>
      </w:r>
    </w:p>
    <w:p>
      <w:pPr>
        <w:spacing w:line="360" w:lineRule="auto"/>
        <w:rPr>
          <w:rFonts w:ascii="宋体" w:hAnsi="宋体"/>
          <w:szCs w:val="21"/>
        </w:rPr>
      </w:pPr>
      <w:r>
        <w:rPr>
          <w:rFonts w:ascii="宋体" w:hAnsi="宋体"/>
          <w:szCs w:val="21"/>
        </w:rPr>
        <w:t xml:space="preserve">⑨探测设备管理 </w:t>
      </w:r>
    </w:p>
    <w:p>
      <w:pPr>
        <w:spacing w:line="360" w:lineRule="auto"/>
        <w:rPr>
          <w:rFonts w:ascii="宋体" w:hAnsi="宋体"/>
          <w:szCs w:val="21"/>
        </w:rPr>
      </w:pPr>
      <w:r>
        <w:rPr>
          <w:rFonts w:ascii="宋体" w:hAnsi="宋体"/>
          <w:szCs w:val="21"/>
        </w:rPr>
        <w:t xml:space="preserve">对飞机携带的机载探头等设备进行管理，包括增加或删除机载探头的类型、探测要素等。 </w:t>
      </w:r>
    </w:p>
    <w:p>
      <w:pPr>
        <w:spacing w:line="360" w:lineRule="auto"/>
        <w:rPr>
          <w:rFonts w:ascii="宋体" w:hAnsi="宋体"/>
          <w:szCs w:val="21"/>
        </w:rPr>
      </w:pPr>
      <w:r>
        <w:rPr>
          <w:rFonts w:ascii="宋体" w:hAnsi="宋体"/>
          <w:szCs w:val="21"/>
        </w:rPr>
        <w:t xml:space="preserve">⑩催化潜力配置 </w:t>
      </w:r>
    </w:p>
    <w:p>
      <w:pPr>
        <w:spacing w:line="360" w:lineRule="auto"/>
        <w:rPr>
          <w:rFonts w:ascii="宋体" w:hAnsi="宋体"/>
          <w:szCs w:val="21"/>
        </w:rPr>
      </w:pPr>
      <w:r>
        <w:rPr>
          <w:rFonts w:ascii="宋体" w:hAnsi="宋体"/>
          <w:szCs w:val="21"/>
        </w:rPr>
        <w:t>分别配置冷暖云在各催化条件下的云滴浓度数、冰晶浓度数，催化条件分为无、低、中、良、优。配置在不同催化条件下单侧冷云烟条、单侧冷云焰弹、液氮档位、液氮播撒条件，配置完成后即可保存为飞机增减雨作业提供作业条件和催化剂用量提供依据。</w:t>
      </w:r>
    </w:p>
    <w:p>
      <w:pPr>
        <w:spacing w:line="360" w:lineRule="auto"/>
        <w:rPr>
          <w:rFonts w:ascii="宋体" w:hAnsi="宋体"/>
          <w:szCs w:val="21"/>
        </w:rPr>
      </w:pPr>
    </w:p>
    <w:p>
      <w:pPr>
        <w:spacing w:line="360" w:lineRule="auto"/>
        <w:outlineLvl w:val="1"/>
        <w:rPr>
          <w:rFonts w:ascii="宋体" w:hAnsi="宋体"/>
          <w:b/>
          <w:bCs/>
          <w:szCs w:val="21"/>
        </w:rPr>
      </w:pPr>
      <w:r>
        <w:rPr>
          <w:rFonts w:ascii="宋体" w:hAnsi="宋体" w:hint="eastAsia"/>
          <w:b/>
          <w:bCs/>
          <w:szCs w:val="21"/>
        </w:rPr>
        <w:t>3.作业模组</w:t>
      </w:r>
    </w:p>
    <w:p>
      <w:pPr>
        <w:spacing w:line="360" w:lineRule="auto"/>
        <w:outlineLvl w:val="2"/>
        <w:rPr>
          <w:rFonts w:ascii="宋体" w:hAnsi="宋体"/>
          <w:b/>
          <w:bCs/>
          <w:szCs w:val="21"/>
        </w:rPr>
      </w:pPr>
      <w:r>
        <w:rPr>
          <w:rFonts w:ascii="宋体" w:hAnsi="宋体" w:hint="eastAsia"/>
          <w:b/>
          <w:bCs/>
          <w:szCs w:val="21"/>
        </w:rPr>
        <w:t>3.1作业模组方舱（数量2套）</w:t>
      </w:r>
    </w:p>
    <w:p>
      <w:pPr>
        <w:spacing w:line="360" w:lineRule="auto"/>
        <w:outlineLvl w:val="3"/>
        <w:rPr>
          <w:rFonts w:ascii="宋体" w:hAnsi="宋体"/>
          <w:b/>
          <w:bCs/>
          <w:szCs w:val="21"/>
        </w:rPr>
      </w:pPr>
      <w:r>
        <w:rPr>
          <w:rFonts w:ascii="宋体" w:hAnsi="宋体" w:hint="eastAsia"/>
          <w:b/>
          <w:bCs/>
          <w:szCs w:val="21"/>
        </w:rPr>
        <w:t>3.1.1方舱主箱体（数量2套）</w:t>
      </w:r>
    </w:p>
    <w:p>
      <w:pPr>
        <w:spacing w:line="360" w:lineRule="auto"/>
        <w:ind w:firstLine="420" w:firstLineChars="200"/>
        <w:rPr>
          <w:rFonts w:ascii="宋体" w:hAnsi="宋体"/>
          <w:szCs w:val="21"/>
        </w:rPr>
      </w:pPr>
      <w:r>
        <w:rPr>
          <w:rFonts w:ascii="宋体" w:hAnsi="宋体" w:hint="eastAsia"/>
          <w:szCs w:val="21"/>
        </w:rPr>
        <w:t>采用直角方舱，外形宽度≤2438mm，配备8个角安装方舱角件，厢体按钢骨架铝合金蒙皮进行制作，外蒙皮选用厚度≥2mm铝板，选用高密度的阻燃聚氨酯泡沫作为夹芯层(隔热芯材)，大板中所用的骨架为钢骨架焊接而成，内外蒙皮与骨架粘接固定，厢体骨架整体防腐处理，以保证骨架的防腐能力。内饰型材及外包型材、门结构采用铝型材。各开孔和承重处均设置骨架的预埋件，满足车厢的承重要求和安装要求。</w:t>
      </w:r>
    </w:p>
    <w:p>
      <w:pPr>
        <w:spacing w:line="360" w:lineRule="auto"/>
        <w:outlineLvl w:val="3"/>
        <w:rPr>
          <w:rFonts w:ascii="宋体" w:hAnsi="宋体"/>
          <w:b/>
          <w:bCs/>
          <w:szCs w:val="21"/>
        </w:rPr>
      </w:pPr>
      <w:r>
        <w:rPr>
          <w:rFonts w:ascii="宋体" w:hAnsi="宋体" w:hint="eastAsia"/>
          <w:b/>
          <w:bCs/>
          <w:szCs w:val="21"/>
        </w:rPr>
        <w:t>3.1.2方舱主箱体配套设施（数量2套）</w:t>
      </w:r>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256"/>
        <w:gridCol w:w="5025"/>
        <w:gridCol w:w="882"/>
        <w:gridCol w:w="1133"/>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256" w:type="dxa"/>
            <w:vAlign w:val="center"/>
          </w:tcPr>
          <w:p>
            <w:pPr>
              <w:jc w:val="center"/>
              <w:rPr>
                <w:rFonts w:ascii="宋体" w:hAnsi="宋体" w:cs="宋体"/>
                <w:szCs w:val="21"/>
              </w:rPr>
            </w:pPr>
            <w:r>
              <w:rPr>
                <w:rFonts w:ascii="宋体" w:hAnsi="宋体" w:hint="eastAsia"/>
                <w:szCs w:val="21"/>
              </w:rPr>
              <w:t>设施名称</w:t>
            </w:r>
          </w:p>
        </w:tc>
        <w:tc>
          <w:tcPr>
            <w:tcW w:w="5025" w:type="dxa"/>
            <w:vAlign w:val="center"/>
          </w:tcPr>
          <w:p>
            <w:pPr>
              <w:rPr>
                <w:rFonts w:ascii="宋体" w:hAnsi="宋体" w:cs="宋体"/>
                <w:szCs w:val="21"/>
              </w:rPr>
            </w:pPr>
            <w:r>
              <w:rPr>
                <w:rFonts w:ascii="宋体" w:hAnsi="宋体" w:hint="eastAsia"/>
                <w:szCs w:val="21"/>
              </w:rPr>
              <w:t>功能要求</w:t>
            </w:r>
          </w:p>
        </w:tc>
        <w:tc>
          <w:tcPr>
            <w:tcW w:w="882" w:type="dxa"/>
            <w:vAlign w:val="center"/>
          </w:tcPr>
          <w:p>
            <w:pPr>
              <w:jc w:val="center"/>
              <w:rPr>
                <w:rFonts w:ascii="宋体" w:hAnsi="宋体" w:cs="宋体"/>
                <w:szCs w:val="21"/>
              </w:rPr>
            </w:pPr>
            <w:r>
              <w:rPr>
                <w:rFonts w:ascii="宋体" w:hAnsi="宋体" w:hint="eastAsia"/>
                <w:szCs w:val="21"/>
              </w:rPr>
              <w:t>数量</w:t>
            </w:r>
          </w:p>
        </w:tc>
        <w:tc>
          <w:tcPr>
            <w:tcW w:w="1133" w:type="dxa"/>
            <w:vAlign w:val="center"/>
          </w:tcPr>
          <w:p>
            <w:pPr>
              <w:jc w:val="center"/>
              <w:rPr>
                <w:rFonts w:ascii="宋体" w:hAnsi="宋体" w:cs="宋体"/>
                <w:szCs w:val="21"/>
              </w:rPr>
            </w:pPr>
            <w:r>
              <w:rPr>
                <w:rFonts w:ascii="宋体" w:hAnsi="宋体" w:hint="eastAsia"/>
                <w:szCs w:val="21"/>
              </w:rPr>
              <w:t>单位</w:t>
            </w:r>
          </w:p>
        </w:tc>
      </w:tr>
      <w:tr>
        <w:tblPrEx>
          <w:tblW w:w="0" w:type="auto"/>
          <w:tblInd w:w="0" w:type="dxa"/>
          <w:tblCellMar>
            <w:top w:w="0" w:type="dxa"/>
            <w:left w:w="108" w:type="dxa"/>
            <w:bottom w:w="0" w:type="dxa"/>
            <w:right w:w="108" w:type="dxa"/>
          </w:tblCellMar>
        </w:tblPrEx>
        <w:tc>
          <w:tcPr>
            <w:tcW w:w="1256" w:type="dxa"/>
            <w:vAlign w:val="center"/>
          </w:tcPr>
          <w:p>
            <w:pPr>
              <w:jc w:val="center"/>
              <w:rPr>
                <w:rFonts w:ascii="宋体" w:hAnsi="宋体" w:cs="宋体"/>
                <w:szCs w:val="21"/>
              </w:rPr>
            </w:pPr>
            <w:bookmarkStart w:id="87" w:name="_Hlk225325196"/>
            <w:r>
              <w:rPr>
                <w:rFonts w:ascii="宋体" w:hAnsi="宋体" w:cs="宋体"/>
                <w:szCs w:val="21"/>
              </w:rPr>
              <w:t>舱体自卸举升机构</w:t>
            </w:r>
          </w:p>
        </w:tc>
        <w:tc>
          <w:tcPr>
            <w:tcW w:w="5025" w:type="dxa"/>
            <w:vAlign w:val="center"/>
          </w:tcPr>
          <w:p>
            <w:pPr>
              <w:rPr>
                <w:rFonts w:ascii="宋体" w:hAnsi="宋体" w:cs="宋体"/>
                <w:szCs w:val="21"/>
              </w:rPr>
            </w:pPr>
            <w:r>
              <w:rPr>
                <w:rFonts w:ascii="宋体" w:hAnsi="宋体" w:cs="宋体"/>
                <w:szCs w:val="21"/>
              </w:rPr>
              <w:t xml:space="preserve">配备 1 套舱体电动自卸举升机构。 </w:t>
            </w:r>
          </w:p>
          <w:p>
            <w:pPr>
              <w:rPr>
                <w:rFonts w:ascii="宋体" w:hAnsi="宋体" w:cs="宋体"/>
                <w:szCs w:val="21"/>
              </w:rPr>
            </w:pPr>
            <w:r>
              <w:rPr>
                <w:rFonts w:ascii="宋体" w:hAnsi="宋体" w:cs="宋体"/>
                <w:szCs w:val="21"/>
              </w:rPr>
              <w:t>a）</w:t>
            </w:r>
            <w:r>
              <w:rPr>
                <w:rFonts w:ascii="宋体" w:hAnsi="宋体" w:cs="宋体" w:hint="eastAsia"/>
                <w:szCs w:val="21"/>
              </w:rPr>
              <w:t>额定提升重量：≥6 吨；</w:t>
            </w:r>
          </w:p>
          <w:p>
            <w:pPr>
              <w:rPr>
                <w:rFonts w:ascii="宋体" w:hAnsi="宋体" w:cs="宋体"/>
                <w:szCs w:val="21"/>
              </w:rPr>
            </w:pPr>
            <w:r>
              <w:rPr>
                <w:rFonts w:ascii="宋体" w:hAnsi="宋体" w:cs="宋体"/>
                <w:szCs w:val="21"/>
              </w:rPr>
              <w:t xml:space="preserve">b）额定举升高度：≥1500mm； </w:t>
            </w:r>
          </w:p>
          <w:p>
            <w:pPr>
              <w:rPr>
                <w:rFonts w:ascii="宋体" w:hAnsi="宋体" w:cs="宋体"/>
                <w:szCs w:val="21"/>
              </w:rPr>
            </w:pPr>
            <w:r>
              <w:rPr>
                <w:rFonts w:ascii="宋体" w:hAnsi="宋体" w:cs="宋体"/>
                <w:szCs w:val="21"/>
              </w:rPr>
              <w:t>d）升降时间(单程)：≤15min；</w:t>
            </w:r>
          </w:p>
          <w:p>
            <w:pPr>
              <w:rPr>
                <w:rFonts w:ascii="宋体" w:hAnsi="宋体" w:cs="宋体"/>
                <w:szCs w:val="21"/>
              </w:rPr>
            </w:pPr>
            <w:r>
              <w:rPr>
                <w:rFonts w:ascii="宋体" w:hAnsi="宋体" w:cs="宋体"/>
                <w:szCs w:val="21"/>
              </w:rPr>
              <w:t xml:space="preserve">e）调平时间：≤3min（6m 长方舱所需时间）； </w:t>
            </w:r>
          </w:p>
          <w:p>
            <w:pPr>
              <w:rPr>
                <w:rFonts w:ascii="宋体" w:hAnsi="宋体" w:cs="宋体"/>
                <w:szCs w:val="21"/>
              </w:rPr>
            </w:pPr>
            <w:r>
              <w:rPr>
                <w:rFonts w:ascii="宋体" w:hAnsi="宋体" w:cs="宋体"/>
                <w:szCs w:val="21"/>
              </w:rPr>
              <w:t>f）调平精度：≤0.5 度；</w:t>
            </w:r>
          </w:p>
          <w:p>
            <w:pPr>
              <w:rPr>
                <w:rFonts w:ascii="宋体" w:hAnsi="宋体" w:cs="宋体"/>
                <w:szCs w:val="21"/>
              </w:rPr>
            </w:pPr>
            <w:r>
              <w:rPr>
                <w:rFonts w:ascii="宋体" w:hAnsi="宋体" w:cs="宋体"/>
                <w:szCs w:val="21"/>
              </w:rPr>
              <w:t>I）</w:t>
            </w:r>
            <w:r>
              <w:rPr>
                <w:rFonts w:ascii="宋体" w:hAnsi="宋体" w:cs="宋体" w:hint="eastAsia"/>
                <w:szCs w:val="21"/>
              </w:rPr>
              <w:t>工作方式：电动（可手动）</w:t>
            </w:r>
            <w:r>
              <w:rPr>
                <w:rFonts w:ascii="宋体" w:hAnsi="宋体" w:cs="宋体"/>
                <w:szCs w:val="21"/>
              </w:rPr>
              <w:t>。</w:t>
            </w:r>
          </w:p>
        </w:tc>
        <w:tc>
          <w:tcPr>
            <w:tcW w:w="882" w:type="dxa"/>
            <w:vAlign w:val="center"/>
          </w:tcPr>
          <w:p>
            <w:pPr>
              <w:jc w:val="center"/>
              <w:rPr>
                <w:rFonts w:ascii="宋体" w:hAnsi="宋体" w:cs="宋体"/>
                <w:szCs w:val="21"/>
              </w:rPr>
            </w:pPr>
            <w:r>
              <w:rPr>
                <w:rFonts w:ascii="宋体" w:hAnsi="宋体" w:cs="宋体" w:hint="eastAsia"/>
                <w:szCs w:val="21"/>
              </w:rPr>
              <w:t>1</w:t>
            </w:r>
          </w:p>
        </w:tc>
        <w:tc>
          <w:tcPr>
            <w:tcW w:w="1133" w:type="dxa"/>
            <w:vAlign w:val="center"/>
          </w:tcPr>
          <w:p>
            <w:pPr>
              <w:jc w:val="center"/>
              <w:rPr>
                <w:rFonts w:ascii="宋体" w:hAnsi="宋体" w:cs="宋体"/>
                <w:szCs w:val="21"/>
              </w:rPr>
            </w:pPr>
            <w:r>
              <w:rPr>
                <w:rFonts w:ascii="宋体" w:hAnsi="宋体" w:cs="宋体" w:hint="eastAsia"/>
                <w:szCs w:val="21"/>
              </w:rPr>
              <w:t>套</w:t>
            </w:r>
          </w:p>
        </w:tc>
      </w:tr>
      <w:bookmarkEnd w:id="87"/>
      <w:tr>
        <w:tblPrEx>
          <w:tblW w:w="0" w:type="auto"/>
          <w:tblInd w:w="0" w:type="dxa"/>
          <w:tblCellMar>
            <w:top w:w="0" w:type="dxa"/>
            <w:left w:w="108" w:type="dxa"/>
            <w:bottom w:w="0" w:type="dxa"/>
            <w:right w:w="108" w:type="dxa"/>
          </w:tblCellMar>
        </w:tblPrEx>
        <w:tc>
          <w:tcPr>
            <w:tcW w:w="1256" w:type="dxa"/>
            <w:vAlign w:val="center"/>
          </w:tcPr>
          <w:p>
            <w:pPr>
              <w:jc w:val="center"/>
              <w:rPr>
                <w:rFonts w:ascii="宋体" w:hAnsi="宋体" w:cs="宋体"/>
                <w:szCs w:val="21"/>
              </w:rPr>
            </w:pPr>
            <w:r>
              <w:rPr>
                <w:rFonts w:ascii="宋体" w:hAnsi="宋体" w:cs="宋体"/>
                <w:szCs w:val="21"/>
              </w:rPr>
              <w:t>登舱门</w:t>
            </w:r>
          </w:p>
        </w:tc>
        <w:tc>
          <w:tcPr>
            <w:tcW w:w="5025" w:type="dxa"/>
            <w:vAlign w:val="center"/>
          </w:tcPr>
          <w:p>
            <w:pPr>
              <w:rPr>
                <w:rFonts w:ascii="宋体" w:hAnsi="宋体" w:cs="宋体"/>
                <w:szCs w:val="21"/>
              </w:rPr>
            </w:pPr>
            <w:r>
              <w:rPr>
                <w:rFonts w:ascii="宋体" w:hAnsi="宋体" w:cs="宋体"/>
                <w:szCs w:val="21"/>
              </w:rPr>
              <w:t>满足设备存放密封及方便人员取出、收纳作业设备。</w:t>
            </w:r>
          </w:p>
        </w:tc>
        <w:tc>
          <w:tcPr>
            <w:tcW w:w="882" w:type="dxa"/>
            <w:vAlign w:val="center"/>
          </w:tcPr>
          <w:p>
            <w:pPr>
              <w:jc w:val="center"/>
              <w:rPr>
                <w:rFonts w:ascii="宋体" w:hAnsi="宋体" w:cs="宋体"/>
                <w:szCs w:val="21"/>
              </w:rPr>
            </w:pPr>
            <w:r>
              <w:rPr>
                <w:rFonts w:ascii="宋体" w:hAnsi="宋体" w:cs="宋体" w:hint="eastAsia"/>
                <w:szCs w:val="21"/>
              </w:rPr>
              <w:t>1</w:t>
            </w:r>
          </w:p>
        </w:tc>
        <w:tc>
          <w:tcPr>
            <w:tcW w:w="1133" w:type="dxa"/>
            <w:vAlign w:val="center"/>
          </w:tcPr>
          <w:p>
            <w:pPr>
              <w:jc w:val="center"/>
              <w:rPr>
                <w:rFonts w:ascii="宋体" w:hAnsi="宋体" w:cs="宋体"/>
                <w:szCs w:val="21"/>
              </w:rPr>
            </w:pPr>
            <w:r>
              <w:rPr>
                <w:rFonts w:ascii="宋体" w:hAnsi="宋体" w:cs="宋体" w:hint="eastAsia"/>
                <w:szCs w:val="21"/>
              </w:rPr>
              <w:t>套</w:t>
            </w:r>
          </w:p>
        </w:tc>
      </w:tr>
      <w:tr>
        <w:tblPrEx>
          <w:tblW w:w="0" w:type="auto"/>
          <w:tblInd w:w="0" w:type="dxa"/>
          <w:tblCellMar>
            <w:top w:w="0" w:type="dxa"/>
            <w:left w:w="108" w:type="dxa"/>
            <w:bottom w:w="0" w:type="dxa"/>
            <w:right w:w="108" w:type="dxa"/>
          </w:tblCellMar>
        </w:tblPrEx>
        <w:tc>
          <w:tcPr>
            <w:tcW w:w="1256" w:type="dxa"/>
            <w:vAlign w:val="center"/>
          </w:tcPr>
          <w:p>
            <w:pPr>
              <w:jc w:val="center"/>
              <w:rPr>
                <w:rFonts w:ascii="宋体" w:hAnsi="宋体" w:cs="宋体"/>
                <w:szCs w:val="21"/>
              </w:rPr>
            </w:pPr>
            <w:r>
              <w:rPr>
                <w:rFonts w:ascii="宋体" w:hAnsi="宋体" w:cs="宋体"/>
                <w:szCs w:val="21"/>
              </w:rPr>
              <w:t>发电机检修门</w:t>
            </w:r>
          </w:p>
        </w:tc>
        <w:tc>
          <w:tcPr>
            <w:tcW w:w="5025" w:type="dxa"/>
            <w:vAlign w:val="center"/>
          </w:tcPr>
          <w:p>
            <w:pPr>
              <w:rPr>
                <w:rFonts w:ascii="宋体" w:hAnsi="宋体" w:cs="宋体"/>
                <w:szCs w:val="21"/>
              </w:rPr>
            </w:pPr>
            <w:r>
              <w:rPr>
                <w:rFonts w:ascii="宋体" w:hAnsi="宋体" w:cs="宋体"/>
                <w:szCs w:val="21"/>
              </w:rPr>
              <w:t>采用高强度铝合金结构，门板上配备百叶窗式格栅，用于设备通风散热</w:t>
            </w:r>
            <w:r>
              <w:rPr>
                <w:rFonts w:ascii="宋体" w:hAnsi="宋体" w:cs="宋体" w:hint="eastAsia"/>
                <w:szCs w:val="21"/>
              </w:rPr>
              <w:t>。</w:t>
            </w:r>
          </w:p>
        </w:tc>
        <w:tc>
          <w:tcPr>
            <w:tcW w:w="882" w:type="dxa"/>
            <w:vAlign w:val="center"/>
          </w:tcPr>
          <w:p>
            <w:pPr>
              <w:jc w:val="center"/>
              <w:rPr>
                <w:rFonts w:ascii="宋体" w:hAnsi="宋体" w:cs="宋体"/>
                <w:szCs w:val="21"/>
              </w:rPr>
            </w:pPr>
            <w:r>
              <w:rPr>
                <w:rFonts w:ascii="宋体" w:hAnsi="宋体" w:cs="宋体" w:hint="eastAsia"/>
                <w:szCs w:val="21"/>
              </w:rPr>
              <w:t>1</w:t>
            </w:r>
          </w:p>
        </w:tc>
        <w:tc>
          <w:tcPr>
            <w:tcW w:w="1133" w:type="dxa"/>
            <w:vAlign w:val="center"/>
          </w:tcPr>
          <w:p>
            <w:pPr>
              <w:jc w:val="center"/>
              <w:rPr>
                <w:rFonts w:ascii="宋体" w:hAnsi="宋体" w:cs="宋体"/>
                <w:szCs w:val="21"/>
              </w:rPr>
            </w:pPr>
            <w:r>
              <w:rPr>
                <w:rFonts w:ascii="宋体" w:hAnsi="宋体" w:cs="宋体" w:hint="eastAsia"/>
                <w:szCs w:val="21"/>
              </w:rPr>
              <w:t>套</w:t>
            </w:r>
          </w:p>
        </w:tc>
      </w:tr>
      <w:tr>
        <w:tblPrEx>
          <w:tblW w:w="0" w:type="auto"/>
          <w:tblInd w:w="0" w:type="dxa"/>
          <w:tblCellMar>
            <w:top w:w="0" w:type="dxa"/>
            <w:left w:w="108" w:type="dxa"/>
            <w:bottom w:w="0" w:type="dxa"/>
            <w:right w:w="108" w:type="dxa"/>
          </w:tblCellMar>
        </w:tblPrEx>
        <w:tc>
          <w:tcPr>
            <w:tcW w:w="1256" w:type="dxa"/>
            <w:vAlign w:val="center"/>
          </w:tcPr>
          <w:p>
            <w:pPr>
              <w:jc w:val="center"/>
              <w:rPr>
                <w:rFonts w:ascii="宋体" w:hAnsi="宋体" w:cs="宋体"/>
                <w:szCs w:val="21"/>
              </w:rPr>
            </w:pPr>
            <w:r>
              <w:rPr>
                <w:rFonts w:ascii="宋体" w:hAnsi="宋体" w:cs="宋体"/>
                <w:szCs w:val="21"/>
              </w:rPr>
              <w:t>舱体地板</w:t>
            </w:r>
          </w:p>
        </w:tc>
        <w:tc>
          <w:tcPr>
            <w:tcW w:w="5025" w:type="dxa"/>
            <w:vAlign w:val="center"/>
          </w:tcPr>
          <w:p>
            <w:pPr>
              <w:rPr>
                <w:rFonts w:ascii="宋体" w:hAnsi="宋体" w:cs="宋体"/>
                <w:szCs w:val="21"/>
              </w:rPr>
            </w:pPr>
            <w:r>
              <w:rPr>
                <w:rFonts w:ascii="宋体" w:hAnsi="宋体" w:cs="宋体" w:hint="eastAsia"/>
                <w:szCs w:val="21"/>
              </w:rPr>
              <w:t>发电机区铺设花纹铝板</w:t>
            </w:r>
            <w:r>
              <w:rPr>
                <w:rFonts w:ascii="宋体" w:hAnsi="宋体" w:cs="宋体"/>
                <w:szCs w:val="21"/>
              </w:rPr>
              <w:t>。</w:t>
            </w:r>
          </w:p>
        </w:tc>
        <w:tc>
          <w:tcPr>
            <w:tcW w:w="882" w:type="dxa"/>
            <w:vAlign w:val="center"/>
          </w:tcPr>
          <w:p>
            <w:pPr>
              <w:jc w:val="center"/>
              <w:rPr>
                <w:rFonts w:ascii="宋体" w:hAnsi="宋体" w:cs="宋体"/>
                <w:szCs w:val="21"/>
              </w:rPr>
            </w:pPr>
            <w:r>
              <w:rPr>
                <w:rFonts w:ascii="宋体" w:hAnsi="宋体" w:cs="宋体" w:hint="eastAsia"/>
                <w:szCs w:val="21"/>
              </w:rPr>
              <w:t>1</w:t>
            </w:r>
          </w:p>
        </w:tc>
        <w:tc>
          <w:tcPr>
            <w:tcW w:w="1133" w:type="dxa"/>
            <w:vAlign w:val="center"/>
          </w:tcPr>
          <w:p>
            <w:pPr>
              <w:jc w:val="center"/>
              <w:rPr>
                <w:rFonts w:ascii="宋体" w:hAnsi="宋体" w:cs="宋体"/>
                <w:szCs w:val="21"/>
              </w:rPr>
            </w:pPr>
            <w:r>
              <w:rPr>
                <w:rFonts w:ascii="宋体" w:hAnsi="宋体" w:cs="宋体" w:hint="eastAsia"/>
                <w:szCs w:val="21"/>
              </w:rPr>
              <w:t>套</w:t>
            </w:r>
          </w:p>
        </w:tc>
      </w:tr>
      <w:tr>
        <w:tblPrEx>
          <w:tblW w:w="0" w:type="auto"/>
          <w:tblInd w:w="0" w:type="dxa"/>
          <w:tblCellMar>
            <w:top w:w="0" w:type="dxa"/>
            <w:left w:w="108" w:type="dxa"/>
            <w:bottom w:w="0" w:type="dxa"/>
            <w:right w:w="108" w:type="dxa"/>
          </w:tblCellMar>
        </w:tblPrEx>
        <w:tc>
          <w:tcPr>
            <w:tcW w:w="1256" w:type="dxa"/>
            <w:vAlign w:val="center"/>
          </w:tcPr>
          <w:p>
            <w:pPr>
              <w:jc w:val="center"/>
              <w:rPr>
                <w:rFonts w:ascii="宋体" w:hAnsi="宋体" w:cs="宋体"/>
                <w:szCs w:val="21"/>
              </w:rPr>
            </w:pPr>
            <w:r>
              <w:rPr>
                <w:rFonts w:ascii="宋体" w:hAnsi="宋体" w:cs="宋体" w:hint="eastAsia"/>
                <w:szCs w:val="21"/>
              </w:rPr>
              <w:t>舱内基础内饰</w:t>
            </w:r>
          </w:p>
        </w:tc>
        <w:tc>
          <w:tcPr>
            <w:tcW w:w="5025" w:type="dxa"/>
            <w:vAlign w:val="center"/>
          </w:tcPr>
          <w:p>
            <w:pPr>
              <w:rPr>
                <w:rFonts w:ascii="宋体" w:hAnsi="宋体" w:cs="宋体"/>
                <w:szCs w:val="21"/>
              </w:rPr>
            </w:pPr>
            <w:r>
              <w:rPr>
                <w:rFonts w:ascii="宋体" w:hAnsi="宋体" w:cs="宋体" w:hint="eastAsia"/>
                <w:szCs w:val="21"/>
              </w:rPr>
              <w:t>对厢体内部进行平整处理，发电机区墙面喷漆处理。</w:t>
            </w:r>
          </w:p>
        </w:tc>
        <w:tc>
          <w:tcPr>
            <w:tcW w:w="882" w:type="dxa"/>
            <w:vAlign w:val="center"/>
          </w:tcPr>
          <w:p>
            <w:pPr>
              <w:jc w:val="center"/>
              <w:rPr>
                <w:rFonts w:ascii="宋体" w:hAnsi="宋体" w:cs="宋体"/>
                <w:szCs w:val="21"/>
              </w:rPr>
            </w:pPr>
            <w:r>
              <w:rPr>
                <w:rFonts w:ascii="宋体" w:hAnsi="宋体" w:cs="宋体" w:hint="eastAsia"/>
                <w:szCs w:val="21"/>
              </w:rPr>
              <w:t>1</w:t>
            </w:r>
          </w:p>
        </w:tc>
        <w:tc>
          <w:tcPr>
            <w:tcW w:w="1133" w:type="dxa"/>
            <w:vAlign w:val="center"/>
          </w:tcPr>
          <w:p>
            <w:pPr>
              <w:jc w:val="center"/>
              <w:rPr>
                <w:rFonts w:ascii="宋体" w:hAnsi="宋体" w:cs="宋体"/>
                <w:szCs w:val="21"/>
              </w:rPr>
            </w:pPr>
            <w:r>
              <w:rPr>
                <w:rFonts w:ascii="宋体" w:hAnsi="宋体" w:cs="宋体" w:hint="eastAsia"/>
                <w:szCs w:val="21"/>
              </w:rPr>
              <w:t>套</w:t>
            </w:r>
          </w:p>
        </w:tc>
      </w:tr>
      <w:tr>
        <w:tblPrEx>
          <w:tblW w:w="0" w:type="auto"/>
          <w:tblInd w:w="0" w:type="dxa"/>
          <w:tblCellMar>
            <w:top w:w="0" w:type="dxa"/>
            <w:left w:w="108" w:type="dxa"/>
            <w:bottom w:w="0" w:type="dxa"/>
            <w:right w:w="108" w:type="dxa"/>
          </w:tblCellMar>
        </w:tblPrEx>
        <w:tc>
          <w:tcPr>
            <w:tcW w:w="1256" w:type="dxa"/>
            <w:vAlign w:val="center"/>
          </w:tcPr>
          <w:p>
            <w:pPr>
              <w:jc w:val="center"/>
              <w:rPr>
                <w:rFonts w:ascii="宋体" w:hAnsi="宋体" w:cs="宋体"/>
                <w:szCs w:val="21"/>
              </w:rPr>
            </w:pPr>
            <w:r>
              <w:rPr>
                <w:rFonts w:ascii="宋体" w:hAnsi="宋体" w:cs="宋体"/>
                <w:szCs w:val="21"/>
              </w:rPr>
              <w:t>油漆及外饰</w:t>
            </w:r>
          </w:p>
        </w:tc>
        <w:tc>
          <w:tcPr>
            <w:tcW w:w="5025" w:type="dxa"/>
            <w:vAlign w:val="center"/>
          </w:tcPr>
          <w:p>
            <w:pPr>
              <w:rPr>
                <w:rFonts w:ascii="宋体" w:hAnsi="宋体" w:cs="宋体"/>
                <w:szCs w:val="21"/>
              </w:rPr>
            </w:pPr>
            <w:r>
              <w:rPr>
                <w:rFonts w:ascii="宋体" w:hAnsi="宋体" w:cs="宋体"/>
                <w:szCs w:val="21"/>
              </w:rPr>
              <w:t>专业烤漆房烤漆，外观贴字根据用户需求订制。</w:t>
            </w:r>
          </w:p>
        </w:tc>
        <w:tc>
          <w:tcPr>
            <w:tcW w:w="882" w:type="dxa"/>
            <w:vAlign w:val="center"/>
          </w:tcPr>
          <w:p>
            <w:pPr>
              <w:jc w:val="center"/>
              <w:rPr>
                <w:rFonts w:ascii="宋体" w:hAnsi="宋体" w:cs="宋体"/>
                <w:szCs w:val="21"/>
              </w:rPr>
            </w:pPr>
            <w:r>
              <w:rPr>
                <w:rFonts w:ascii="宋体" w:hAnsi="宋体" w:cs="宋体" w:hint="eastAsia"/>
                <w:szCs w:val="21"/>
              </w:rPr>
              <w:t>1</w:t>
            </w:r>
          </w:p>
        </w:tc>
        <w:tc>
          <w:tcPr>
            <w:tcW w:w="1133" w:type="dxa"/>
            <w:vAlign w:val="center"/>
          </w:tcPr>
          <w:p>
            <w:pPr>
              <w:jc w:val="center"/>
              <w:rPr>
                <w:rFonts w:ascii="宋体" w:hAnsi="宋体" w:cs="宋体"/>
                <w:szCs w:val="21"/>
              </w:rPr>
            </w:pPr>
            <w:r>
              <w:rPr>
                <w:rFonts w:ascii="宋体" w:hAnsi="宋体" w:cs="宋体" w:hint="eastAsia"/>
                <w:szCs w:val="21"/>
              </w:rPr>
              <w:t>套</w:t>
            </w:r>
          </w:p>
        </w:tc>
      </w:tr>
      <w:tr>
        <w:tblPrEx>
          <w:tblW w:w="0" w:type="auto"/>
          <w:tblInd w:w="0" w:type="dxa"/>
          <w:tblCellMar>
            <w:top w:w="0" w:type="dxa"/>
            <w:left w:w="108" w:type="dxa"/>
            <w:bottom w:w="0" w:type="dxa"/>
            <w:right w:w="108" w:type="dxa"/>
          </w:tblCellMar>
        </w:tblPrEx>
        <w:tc>
          <w:tcPr>
            <w:tcW w:w="1256" w:type="dxa"/>
            <w:vAlign w:val="center"/>
          </w:tcPr>
          <w:p>
            <w:pPr>
              <w:jc w:val="center"/>
              <w:rPr>
                <w:rFonts w:ascii="宋体" w:hAnsi="宋体" w:cs="宋体"/>
                <w:szCs w:val="21"/>
              </w:rPr>
            </w:pPr>
            <w:r>
              <w:rPr>
                <w:rFonts w:ascii="宋体" w:hAnsi="宋体" w:cs="宋体"/>
                <w:szCs w:val="21"/>
              </w:rPr>
              <w:t>车内外照明系统</w:t>
            </w:r>
          </w:p>
        </w:tc>
        <w:tc>
          <w:tcPr>
            <w:tcW w:w="5025" w:type="dxa"/>
            <w:vAlign w:val="center"/>
          </w:tcPr>
          <w:p>
            <w:pPr>
              <w:rPr>
                <w:rFonts w:ascii="宋体" w:hAnsi="宋体" w:cs="宋体"/>
                <w:szCs w:val="21"/>
              </w:rPr>
            </w:pPr>
            <w:r>
              <w:rPr>
                <w:rFonts w:ascii="宋体" w:hAnsi="宋体" w:cs="宋体"/>
                <w:szCs w:val="21"/>
              </w:rPr>
              <w:t>车内外LED 照明灯满足工作及车外场地照明需求。</w:t>
            </w:r>
          </w:p>
        </w:tc>
        <w:tc>
          <w:tcPr>
            <w:tcW w:w="882" w:type="dxa"/>
            <w:vAlign w:val="center"/>
          </w:tcPr>
          <w:p>
            <w:pPr>
              <w:jc w:val="center"/>
              <w:rPr>
                <w:rFonts w:ascii="宋体" w:hAnsi="宋体" w:cs="宋体"/>
                <w:szCs w:val="21"/>
              </w:rPr>
            </w:pPr>
            <w:r>
              <w:rPr>
                <w:rFonts w:ascii="宋体" w:hAnsi="宋体" w:cs="宋体" w:hint="eastAsia"/>
                <w:szCs w:val="21"/>
              </w:rPr>
              <w:t>1</w:t>
            </w:r>
          </w:p>
        </w:tc>
        <w:tc>
          <w:tcPr>
            <w:tcW w:w="1133" w:type="dxa"/>
            <w:vAlign w:val="center"/>
          </w:tcPr>
          <w:p>
            <w:pPr>
              <w:jc w:val="center"/>
              <w:rPr>
                <w:rFonts w:ascii="宋体" w:hAnsi="宋体" w:cs="宋体"/>
                <w:szCs w:val="21"/>
              </w:rPr>
            </w:pPr>
            <w:r>
              <w:rPr>
                <w:rFonts w:ascii="宋体" w:hAnsi="宋体" w:cs="宋体" w:hint="eastAsia"/>
                <w:szCs w:val="21"/>
              </w:rPr>
              <w:t>套</w:t>
            </w:r>
          </w:p>
        </w:tc>
      </w:tr>
      <w:tr>
        <w:tblPrEx>
          <w:tblW w:w="0" w:type="auto"/>
          <w:tblInd w:w="0" w:type="dxa"/>
          <w:tblCellMar>
            <w:top w:w="0" w:type="dxa"/>
            <w:left w:w="108" w:type="dxa"/>
            <w:bottom w:w="0" w:type="dxa"/>
            <w:right w:w="108" w:type="dxa"/>
          </w:tblCellMar>
        </w:tblPrEx>
        <w:tc>
          <w:tcPr>
            <w:tcW w:w="1256" w:type="dxa"/>
            <w:vAlign w:val="center"/>
          </w:tcPr>
          <w:p>
            <w:pPr>
              <w:jc w:val="center"/>
              <w:rPr>
                <w:rFonts w:ascii="宋体" w:hAnsi="宋体" w:cs="宋体"/>
                <w:szCs w:val="21"/>
              </w:rPr>
            </w:pPr>
            <w:r>
              <w:rPr>
                <w:rFonts w:ascii="宋体" w:hAnsi="宋体" w:cs="宋体"/>
                <w:szCs w:val="21"/>
              </w:rPr>
              <w:t>其他辅助设施</w:t>
            </w:r>
          </w:p>
        </w:tc>
        <w:tc>
          <w:tcPr>
            <w:tcW w:w="5025" w:type="dxa"/>
            <w:vAlign w:val="center"/>
          </w:tcPr>
          <w:p>
            <w:pPr>
              <w:rPr>
                <w:rFonts w:ascii="宋体" w:hAnsi="宋体" w:cs="宋体"/>
                <w:szCs w:val="21"/>
              </w:rPr>
            </w:pPr>
            <w:r>
              <w:rPr>
                <w:rFonts w:ascii="宋体" w:hAnsi="宋体" w:cs="宋体"/>
                <w:szCs w:val="21"/>
              </w:rPr>
              <w:t>配备灭火器、综合布线、集成制作等附件耗材，包含波纹 管、胶带、扎带、接插件等。</w:t>
            </w:r>
          </w:p>
        </w:tc>
        <w:tc>
          <w:tcPr>
            <w:tcW w:w="882" w:type="dxa"/>
            <w:vAlign w:val="center"/>
          </w:tcPr>
          <w:p>
            <w:pPr>
              <w:jc w:val="center"/>
              <w:rPr>
                <w:rFonts w:ascii="宋体" w:hAnsi="宋体" w:cs="宋体"/>
                <w:szCs w:val="21"/>
              </w:rPr>
            </w:pPr>
            <w:r>
              <w:rPr>
                <w:rFonts w:ascii="宋体" w:hAnsi="宋体" w:cs="宋体" w:hint="eastAsia"/>
                <w:szCs w:val="21"/>
              </w:rPr>
              <w:t>1</w:t>
            </w:r>
          </w:p>
        </w:tc>
        <w:tc>
          <w:tcPr>
            <w:tcW w:w="1133" w:type="dxa"/>
            <w:vAlign w:val="center"/>
          </w:tcPr>
          <w:p>
            <w:pPr>
              <w:jc w:val="center"/>
              <w:rPr>
                <w:rFonts w:ascii="宋体" w:hAnsi="宋体" w:cs="宋体"/>
                <w:szCs w:val="21"/>
              </w:rPr>
            </w:pPr>
            <w:r>
              <w:rPr>
                <w:rFonts w:ascii="宋体" w:hAnsi="宋体" w:cs="宋体" w:hint="eastAsia"/>
                <w:szCs w:val="21"/>
              </w:rPr>
              <w:t>套</w:t>
            </w:r>
          </w:p>
        </w:tc>
      </w:tr>
    </w:tbl>
    <w:p>
      <w:pPr>
        <w:spacing w:line="360" w:lineRule="auto"/>
        <w:outlineLvl w:val="3"/>
        <w:rPr>
          <w:rFonts w:ascii="宋体" w:hAnsi="宋体"/>
          <w:b/>
          <w:bCs/>
          <w:szCs w:val="21"/>
        </w:rPr>
      </w:pPr>
      <w:r>
        <w:rPr>
          <w:rFonts w:ascii="宋体" w:hAnsi="宋体" w:hint="eastAsia"/>
          <w:b/>
          <w:bCs/>
          <w:szCs w:val="21"/>
        </w:rPr>
        <w:t>3.1.3供电系统（数量2套）</w:t>
      </w:r>
    </w:p>
    <w:p>
      <w:pPr>
        <w:spacing w:line="360" w:lineRule="auto"/>
        <w:ind w:firstLine="420" w:firstLineChars="200"/>
        <w:rPr>
          <w:rFonts w:ascii="宋体" w:hAnsi="宋体"/>
          <w:szCs w:val="21"/>
        </w:rPr>
      </w:pPr>
      <w:r>
        <w:rPr>
          <w:rFonts w:ascii="宋体" w:hAnsi="宋体" w:cs="宋体" w:hint="eastAsia"/>
          <w:szCs w:val="21"/>
        </w:rPr>
        <w:t>方舱具备1路380V或1路220V市电供电</w:t>
      </w:r>
      <w:r>
        <w:rPr>
          <w:rFonts w:ascii="宋体" w:hAnsi="宋体" w:hint="eastAsia"/>
          <w:szCs w:val="21"/>
        </w:rPr>
        <w:t>，1路发电机供电供电接口，做好标识。供电方式可以切换。满足市电、发电机、UPS不间断供电要求。通过舱体对外提供供电及接地的转接板，当外部电源接至转接板后，内部通过配电箱给各设备供电。</w:t>
      </w:r>
    </w:p>
    <w:tbl>
      <w:tblPr>
        <w:tblStyle w:val="TableNormal"/>
        <w:tblW w:w="5094"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146"/>
        <w:gridCol w:w="5900"/>
        <w:gridCol w:w="863"/>
        <w:gridCol w:w="773"/>
      </w:tblGrid>
      <w:tr>
        <w:tblPrEx>
          <w:tblW w:w="5094"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780"/>
        </w:trPr>
        <w:tc>
          <w:tcPr>
            <w:tcW w:w="660" w:type="pct"/>
            <w:vAlign w:val="center"/>
          </w:tcPr>
          <w:p>
            <w:pPr>
              <w:jc w:val="center"/>
              <w:rPr>
                <w:rFonts w:ascii="宋体" w:hAnsi="宋体"/>
                <w:szCs w:val="21"/>
              </w:rPr>
            </w:pPr>
            <w:r>
              <w:rPr>
                <w:rFonts w:ascii="宋体" w:hAnsi="宋体" w:hint="eastAsia"/>
                <w:szCs w:val="21"/>
              </w:rPr>
              <w:t>设施名称</w:t>
            </w:r>
          </w:p>
        </w:tc>
        <w:tc>
          <w:tcPr>
            <w:tcW w:w="3398" w:type="pct"/>
            <w:vAlign w:val="center"/>
          </w:tcPr>
          <w:p>
            <w:pPr>
              <w:jc w:val="center"/>
              <w:rPr>
                <w:rFonts w:ascii="宋体" w:hAnsi="宋体"/>
                <w:szCs w:val="21"/>
              </w:rPr>
            </w:pPr>
            <w:r>
              <w:rPr>
                <w:rFonts w:ascii="宋体" w:hAnsi="宋体" w:hint="eastAsia"/>
                <w:szCs w:val="21"/>
              </w:rPr>
              <w:t>功能要求</w:t>
            </w:r>
          </w:p>
        </w:tc>
        <w:tc>
          <w:tcPr>
            <w:tcW w:w="497" w:type="pct"/>
            <w:vAlign w:val="center"/>
          </w:tcPr>
          <w:p>
            <w:pPr>
              <w:jc w:val="center"/>
              <w:rPr>
                <w:rFonts w:ascii="宋体" w:hAnsi="宋体"/>
                <w:szCs w:val="21"/>
              </w:rPr>
            </w:pPr>
            <w:r>
              <w:rPr>
                <w:rFonts w:ascii="宋体" w:hAnsi="宋体" w:hint="eastAsia"/>
                <w:szCs w:val="21"/>
              </w:rPr>
              <w:t>数量</w:t>
            </w:r>
          </w:p>
        </w:tc>
        <w:tc>
          <w:tcPr>
            <w:tcW w:w="445" w:type="pct"/>
            <w:vAlign w:val="center"/>
          </w:tcPr>
          <w:p>
            <w:pPr>
              <w:jc w:val="center"/>
              <w:rPr>
                <w:rFonts w:ascii="宋体" w:hAnsi="宋体"/>
                <w:szCs w:val="21"/>
              </w:rPr>
            </w:pPr>
            <w:r>
              <w:rPr>
                <w:rFonts w:ascii="宋体" w:hAnsi="宋体" w:hint="eastAsia"/>
                <w:szCs w:val="21"/>
              </w:rPr>
              <w:t>单位</w:t>
            </w:r>
          </w:p>
        </w:tc>
      </w:tr>
      <w:tr>
        <w:tblPrEx>
          <w:tblW w:w="5094" w:type="pct"/>
          <w:tblInd w:w="0" w:type="dxa"/>
          <w:tblCellMar>
            <w:top w:w="0" w:type="dxa"/>
            <w:left w:w="108" w:type="dxa"/>
            <w:bottom w:w="0" w:type="dxa"/>
            <w:right w:w="108" w:type="dxa"/>
          </w:tblCellMar>
        </w:tblPrEx>
        <w:trPr>
          <w:trHeight w:val="780"/>
        </w:trPr>
        <w:tc>
          <w:tcPr>
            <w:tcW w:w="660" w:type="pct"/>
            <w:vAlign w:val="center"/>
          </w:tcPr>
          <w:p>
            <w:pPr>
              <w:rPr>
                <w:rFonts w:ascii="宋体" w:hAnsi="宋体"/>
                <w:szCs w:val="21"/>
              </w:rPr>
            </w:pPr>
            <w:r>
              <w:rPr>
                <w:rFonts w:ascii="宋体" w:hAnsi="宋体" w:hint="eastAsia"/>
                <w:szCs w:val="21"/>
              </w:rPr>
              <w:t>市电接入</w:t>
            </w:r>
          </w:p>
        </w:tc>
        <w:tc>
          <w:tcPr>
            <w:tcW w:w="3398" w:type="pct"/>
            <w:vAlign w:val="center"/>
          </w:tcPr>
          <w:p>
            <w:pPr>
              <w:rPr>
                <w:rFonts w:ascii="宋体" w:hAnsi="宋体"/>
                <w:szCs w:val="21"/>
              </w:rPr>
            </w:pPr>
            <w:r>
              <w:rPr>
                <w:rFonts w:ascii="宋体" w:hAnsi="宋体" w:hint="eastAsia"/>
                <w:szCs w:val="21"/>
              </w:rPr>
              <w:t>具备1路供电电压380×（1±10%）V、频率50×（1±5%）Hz或1路供电电压220×（1±10%）V、频率50×（1±5%）Hz，总功率可满足方舱内所有用电设备正常运行，并预留不低于30%功率冗余，配备满足功率的手动或电动市电线缆轴长度≮45米;配备满足功率的市电对接插头。</w:t>
            </w:r>
          </w:p>
        </w:tc>
        <w:tc>
          <w:tcPr>
            <w:tcW w:w="497" w:type="pct"/>
            <w:vAlign w:val="center"/>
          </w:tcPr>
          <w:p>
            <w:pPr>
              <w:jc w:val="center"/>
              <w:rPr>
                <w:rFonts w:ascii="宋体" w:hAnsi="宋体"/>
                <w:szCs w:val="21"/>
              </w:rPr>
            </w:pPr>
            <w:r>
              <w:rPr>
                <w:rFonts w:ascii="宋体" w:hAnsi="宋体" w:hint="eastAsia"/>
                <w:szCs w:val="21"/>
              </w:rPr>
              <w:t>1</w:t>
            </w:r>
          </w:p>
        </w:tc>
        <w:tc>
          <w:tcPr>
            <w:tcW w:w="445" w:type="pct"/>
            <w:vAlign w:val="center"/>
          </w:tcPr>
          <w:p>
            <w:pPr>
              <w:rPr>
                <w:rFonts w:ascii="宋体" w:hAnsi="宋体"/>
                <w:szCs w:val="21"/>
              </w:rPr>
            </w:pPr>
            <w:r>
              <w:rPr>
                <w:rFonts w:ascii="宋体" w:hAnsi="宋体" w:hint="eastAsia"/>
                <w:szCs w:val="21"/>
              </w:rPr>
              <w:t>套</w:t>
            </w:r>
          </w:p>
        </w:tc>
      </w:tr>
      <w:tr>
        <w:tblPrEx>
          <w:tblW w:w="5094" w:type="pct"/>
          <w:tblInd w:w="0" w:type="dxa"/>
          <w:tblCellMar>
            <w:top w:w="0" w:type="dxa"/>
            <w:left w:w="108" w:type="dxa"/>
            <w:bottom w:w="0" w:type="dxa"/>
            <w:right w:w="108" w:type="dxa"/>
          </w:tblCellMar>
        </w:tblPrEx>
        <w:trPr>
          <w:trHeight w:val="1008"/>
        </w:trPr>
        <w:tc>
          <w:tcPr>
            <w:tcW w:w="660" w:type="pct"/>
            <w:vAlign w:val="center"/>
          </w:tcPr>
          <w:p>
            <w:pPr>
              <w:rPr>
                <w:rFonts w:ascii="宋体" w:hAnsi="宋体"/>
                <w:szCs w:val="21"/>
              </w:rPr>
            </w:pPr>
            <w:r>
              <w:rPr>
                <w:rFonts w:ascii="宋体" w:hAnsi="宋体" w:hint="eastAsia"/>
                <w:szCs w:val="21"/>
              </w:rPr>
              <w:t>静音发电机</w:t>
            </w:r>
          </w:p>
        </w:tc>
        <w:tc>
          <w:tcPr>
            <w:tcW w:w="3398" w:type="pct"/>
            <w:vAlign w:val="center"/>
          </w:tcPr>
          <w:p>
            <w:pPr>
              <w:rPr>
                <w:rFonts w:ascii="宋体" w:hAnsi="宋体"/>
                <w:szCs w:val="21"/>
              </w:rPr>
            </w:pPr>
            <w:r>
              <w:rPr>
                <w:rFonts w:ascii="宋体" w:hAnsi="宋体" w:hint="eastAsia"/>
                <w:szCs w:val="21"/>
              </w:rPr>
              <w:t xml:space="preserve">a) 额定频率：50 HZ </w:t>
            </w:r>
          </w:p>
          <w:p>
            <w:pPr>
              <w:rPr>
                <w:rFonts w:ascii="宋体" w:hAnsi="宋体"/>
                <w:szCs w:val="21"/>
              </w:rPr>
            </w:pPr>
            <w:r>
              <w:rPr>
                <w:rFonts w:ascii="宋体" w:hAnsi="宋体" w:hint="eastAsia"/>
                <w:szCs w:val="21"/>
              </w:rPr>
              <w:t>b) 额定输出功率：可满足方舱内所有用电设备的正常运行，并预留不低于30%功率冗余</w:t>
            </w:r>
          </w:p>
          <w:p>
            <w:pPr>
              <w:rPr>
                <w:rFonts w:ascii="宋体" w:hAnsi="宋体" w:cs="宋体"/>
                <w:szCs w:val="21"/>
              </w:rPr>
            </w:pPr>
            <w:r>
              <w:rPr>
                <w:rFonts w:ascii="宋体" w:hAnsi="宋体" w:hint="eastAsia"/>
                <w:szCs w:val="21"/>
              </w:rPr>
              <w:t>c) 额定电压：</w:t>
            </w:r>
            <w:r>
              <w:rPr>
                <w:rFonts w:ascii="宋体" w:hAnsi="宋体" w:cs="宋体" w:hint="eastAsia"/>
                <w:szCs w:val="21"/>
              </w:rPr>
              <w:t>230V或400V</w:t>
            </w:r>
          </w:p>
          <w:p>
            <w:pPr>
              <w:rPr>
                <w:rFonts w:ascii="宋体" w:hAnsi="宋体"/>
                <w:szCs w:val="21"/>
              </w:rPr>
            </w:pPr>
            <w:r>
              <w:rPr>
                <w:rFonts w:ascii="宋体" w:hAnsi="宋体" w:hint="eastAsia"/>
                <w:szCs w:val="21"/>
              </w:rPr>
              <w:t>e) 噪音（1m处）：≤75 dB(A)</w:t>
            </w:r>
          </w:p>
        </w:tc>
        <w:tc>
          <w:tcPr>
            <w:tcW w:w="497" w:type="pct"/>
            <w:vAlign w:val="center"/>
          </w:tcPr>
          <w:p>
            <w:pPr>
              <w:jc w:val="center"/>
              <w:rPr>
                <w:rFonts w:ascii="宋体" w:hAnsi="宋体"/>
                <w:szCs w:val="21"/>
              </w:rPr>
            </w:pPr>
            <w:r>
              <w:rPr>
                <w:rFonts w:ascii="宋体" w:hAnsi="宋体" w:hint="eastAsia"/>
                <w:szCs w:val="21"/>
              </w:rPr>
              <w:t>1</w:t>
            </w:r>
          </w:p>
        </w:tc>
        <w:tc>
          <w:tcPr>
            <w:tcW w:w="445" w:type="pct"/>
            <w:vAlign w:val="center"/>
          </w:tcPr>
          <w:p>
            <w:pPr>
              <w:rPr>
                <w:rFonts w:ascii="宋体" w:hAnsi="宋体"/>
                <w:szCs w:val="21"/>
              </w:rPr>
            </w:pPr>
            <w:r>
              <w:rPr>
                <w:rFonts w:ascii="宋体" w:hAnsi="宋体" w:hint="eastAsia"/>
                <w:szCs w:val="21"/>
              </w:rPr>
              <w:t>套</w:t>
            </w:r>
          </w:p>
        </w:tc>
      </w:tr>
      <w:tr>
        <w:tblPrEx>
          <w:tblW w:w="5094" w:type="pct"/>
          <w:tblInd w:w="0" w:type="dxa"/>
          <w:tblCellMar>
            <w:top w:w="0" w:type="dxa"/>
            <w:left w:w="108" w:type="dxa"/>
            <w:bottom w:w="0" w:type="dxa"/>
            <w:right w:w="108" w:type="dxa"/>
          </w:tblCellMar>
        </w:tblPrEx>
        <w:trPr>
          <w:trHeight w:val="520"/>
        </w:trPr>
        <w:tc>
          <w:tcPr>
            <w:tcW w:w="660" w:type="pct"/>
            <w:vAlign w:val="center"/>
          </w:tcPr>
          <w:p>
            <w:pPr>
              <w:rPr>
                <w:rFonts w:ascii="宋体" w:hAnsi="宋体"/>
                <w:szCs w:val="21"/>
              </w:rPr>
            </w:pPr>
            <w:r>
              <w:rPr>
                <w:rFonts w:ascii="宋体" w:hAnsi="宋体" w:hint="eastAsia"/>
                <w:szCs w:val="21"/>
              </w:rPr>
              <w:t>配电箱</w:t>
            </w:r>
          </w:p>
        </w:tc>
        <w:tc>
          <w:tcPr>
            <w:tcW w:w="3398" w:type="pct"/>
            <w:vAlign w:val="center"/>
          </w:tcPr>
          <w:p>
            <w:pPr>
              <w:rPr>
                <w:rFonts w:ascii="宋体" w:hAnsi="宋体"/>
                <w:szCs w:val="21"/>
              </w:rPr>
            </w:pPr>
            <w:r>
              <w:rPr>
                <w:rFonts w:ascii="宋体" w:hAnsi="宋体" w:hint="eastAsia"/>
                <w:szCs w:val="21"/>
              </w:rPr>
              <w:t>集中式电源管理系统，含支路开关、指示灯、电源电压电流显示等，开关分别控制空调、设备用电等；配电盘面板为数控机床加工，表面喷塑处理。</w:t>
            </w:r>
          </w:p>
        </w:tc>
        <w:tc>
          <w:tcPr>
            <w:tcW w:w="497" w:type="pct"/>
            <w:vAlign w:val="center"/>
          </w:tcPr>
          <w:p>
            <w:pPr>
              <w:jc w:val="center"/>
              <w:rPr>
                <w:rFonts w:ascii="宋体" w:hAnsi="宋体"/>
                <w:szCs w:val="21"/>
              </w:rPr>
            </w:pPr>
            <w:r>
              <w:rPr>
                <w:rFonts w:ascii="宋体" w:hAnsi="宋体" w:hint="eastAsia"/>
                <w:szCs w:val="21"/>
              </w:rPr>
              <w:t>1</w:t>
            </w:r>
          </w:p>
        </w:tc>
        <w:tc>
          <w:tcPr>
            <w:tcW w:w="445" w:type="pct"/>
            <w:vAlign w:val="center"/>
          </w:tcPr>
          <w:p>
            <w:pPr>
              <w:rPr>
                <w:rFonts w:ascii="宋体" w:hAnsi="宋体"/>
                <w:szCs w:val="21"/>
              </w:rPr>
            </w:pPr>
            <w:r>
              <w:rPr>
                <w:rFonts w:ascii="宋体" w:hAnsi="宋体" w:hint="eastAsia"/>
                <w:szCs w:val="21"/>
              </w:rPr>
              <w:t>套</w:t>
            </w:r>
          </w:p>
        </w:tc>
      </w:tr>
      <w:tr>
        <w:tblPrEx>
          <w:tblW w:w="5094" w:type="pct"/>
          <w:tblInd w:w="0" w:type="dxa"/>
          <w:tblCellMar>
            <w:top w:w="0" w:type="dxa"/>
            <w:left w:w="108" w:type="dxa"/>
            <w:bottom w:w="0" w:type="dxa"/>
            <w:right w:w="108" w:type="dxa"/>
          </w:tblCellMar>
        </w:tblPrEx>
        <w:trPr>
          <w:trHeight w:val="520"/>
        </w:trPr>
        <w:tc>
          <w:tcPr>
            <w:tcW w:w="660" w:type="pct"/>
            <w:vAlign w:val="center"/>
          </w:tcPr>
          <w:p>
            <w:pPr>
              <w:pStyle w:val="12"/>
              <w:ind w:firstLine="0" w:firstLineChars="0"/>
              <w:contextualSpacing/>
              <w:rPr>
                <w:rFonts w:ascii="宋体" w:hAnsi="宋体"/>
              </w:rPr>
            </w:pPr>
            <w:r>
              <w:rPr>
                <w:rFonts w:ascii="宋体" w:hAnsi="宋体" w:cs="宋体" w:hint="eastAsia"/>
              </w:rPr>
              <w:t>舱体接地系统</w:t>
            </w:r>
          </w:p>
        </w:tc>
        <w:tc>
          <w:tcPr>
            <w:tcW w:w="3398" w:type="pct"/>
            <w:vAlign w:val="center"/>
          </w:tcPr>
          <w:p>
            <w:pPr>
              <w:rPr>
                <w:rFonts w:ascii="宋体" w:hAnsi="宋体"/>
                <w:szCs w:val="21"/>
              </w:rPr>
            </w:pPr>
            <w:r>
              <w:rPr>
                <w:rFonts w:ascii="宋体" w:hAnsi="宋体" w:hint="eastAsia"/>
                <w:szCs w:val="21"/>
              </w:rPr>
              <w:t>含接地桩、接地线，电源防浪涌装置。</w:t>
            </w:r>
          </w:p>
        </w:tc>
        <w:tc>
          <w:tcPr>
            <w:tcW w:w="497" w:type="pct"/>
            <w:vAlign w:val="center"/>
          </w:tcPr>
          <w:p>
            <w:pPr>
              <w:jc w:val="center"/>
              <w:rPr>
                <w:rFonts w:ascii="宋体" w:hAnsi="宋体"/>
                <w:szCs w:val="21"/>
              </w:rPr>
            </w:pPr>
            <w:r>
              <w:rPr>
                <w:rFonts w:ascii="宋体" w:hAnsi="宋体" w:hint="eastAsia"/>
                <w:szCs w:val="21"/>
              </w:rPr>
              <w:t>1</w:t>
            </w:r>
          </w:p>
        </w:tc>
        <w:tc>
          <w:tcPr>
            <w:tcW w:w="445" w:type="pct"/>
            <w:vAlign w:val="center"/>
          </w:tcPr>
          <w:p>
            <w:pPr>
              <w:rPr>
                <w:rFonts w:ascii="宋体" w:hAnsi="宋体"/>
                <w:szCs w:val="21"/>
              </w:rPr>
            </w:pPr>
            <w:r>
              <w:rPr>
                <w:rFonts w:ascii="宋体" w:hAnsi="宋体" w:hint="eastAsia"/>
                <w:szCs w:val="21"/>
              </w:rPr>
              <w:t>套</w:t>
            </w:r>
          </w:p>
        </w:tc>
      </w:tr>
      <w:tr>
        <w:tblPrEx>
          <w:tblW w:w="5094" w:type="pct"/>
          <w:tblInd w:w="0" w:type="dxa"/>
          <w:tblCellMar>
            <w:top w:w="0" w:type="dxa"/>
            <w:left w:w="108" w:type="dxa"/>
            <w:bottom w:w="0" w:type="dxa"/>
            <w:right w:w="108" w:type="dxa"/>
          </w:tblCellMar>
        </w:tblPrEx>
        <w:trPr>
          <w:trHeight w:val="280"/>
        </w:trPr>
        <w:tc>
          <w:tcPr>
            <w:tcW w:w="660" w:type="pct"/>
            <w:vAlign w:val="center"/>
          </w:tcPr>
          <w:p>
            <w:pPr>
              <w:rPr>
                <w:rFonts w:ascii="宋体" w:hAnsi="宋体"/>
                <w:szCs w:val="21"/>
              </w:rPr>
            </w:pPr>
            <w:r>
              <w:rPr>
                <w:rFonts w:ascii="宋体" w:hAnsi="宋体" w:hint="eastAsia"/>
                <w:szCs w:val="21"/>
              </w:rPr>
              <w:t>对外接口板</w:t>
            </w:r>
          </w:p>
        </w:tc>
        <w:tc>
          <w:tcPr>
            <w:tcW w:w="3398" w:type="pct"/>
            <w:vAlign w:val="center"/>
          </w:tcPr>
          <w:p>
            <w:pPr>
              <w:rPr>
                <w:rFonts w:ascii="宋体" w:hAnsi="宋体"/>
                <w:szCs w:val="21"/>
              </w:rPr>
            </w:pPr>
            <w:r>
              <w:rPr>
                <w:rFonts w:ascii="宋体" w:hAnsi="宋体" w:hint="eastAsia"/>
                <w:szCs w:val="21"/>
              </w:rPr>
              <w:t>含电源、数据传输接口。</w:t>
            </w:r>
          </w:p>
        </w:tc>
        <w:tc>
          <w:tcPr>
            <w:tcW w:w="497" w:type="pct"/>
            <w:vAlign w:val="center"/>
          </w:tcPr>
          <w:p>
            <w:pPr>
              <w:jc w:val="center"/>
              <w:rPr>
                <w:rFonts w:ascii="宋体" w:hAnsi="宋体"/>
                <w:szCs w:val="21"/>
              </w:rPr>
            </w:pPr>
            <w:r>
              <w:rPr>
                <w:rFonts w:ascii="宋体" w:hAnsi="宋体" w:hint="eastAsia"/>
                <w:szCs w:val="21"/>
              </w:rPr>
              <w:t>1</w:t>
            </w:r>
          </w:p>
        </w:tc>
        <w:tc>
          <w:tcPr>
            <w:tcW w:w="445" w:type="pct"/>
            <w:vAlign w:val="center"/>
          </w:tcPr>
          <w:p>
            <w:pPr>
              <w:rPr>
                <w:rFonts w:ascii="宋体" w:hAnsi="宋体"/>
                <w:szCs w:val="21"/>
              </w:rPr>
            </w:pPr>
            <w:r>
              <w:rPr>
                <w:rFonts w:ascii="宋体" w:hAnsi="宋体" w:hint="eastAsia"/>
                <w:szCs w:val="21"/>
              </w:rPr>
              <w:t>套</w:t>
            </w:r>
          </w:p>
        </w:tc>
      </w:tr>
      <w:tr>
        <w:tblPrEx>
          <w:tblW w:w="5094" w:type="pct"/>
          <w:tblInd w:w="0" w:type="dxa"/>
          <w:tblCellMar>
            <w:top w:w="0" w:type="dxa"/>
            <w:left w:w="108" w:type="dxa"/>
            <w:bottom w:w="0" w:type="dxa"/>
            <w:right w:w="108" w:type="dxa"/>
          </w:tblCellMar>
        </w:tblPrEx>
        <w:trPr>
          <w:trHeight w:val="280"/>
        </w:trPr>
        <w:tc>
          <w:tcPr>
            <w:tcW w:w="660" w:type="pct"/>
            <w:vAlign w:val="center"/>
          </w:tcPr>
          <w:p>
            <w:pPr>
              <w:rPr>
                <w:rFonts w:ascii="宋体" w:hAnsi="宋体"/>
                <w:szCs w:val="21"/>
              </w:rPr>
            </w:pPr>
            <w:r>
              <w:rPr>
                <w:rFonts w:ascii="宋体" w:hAnsi="宋体" w:hint="eastAsia"/>
                <w:szCs w:val="21"/>
              </w:rPr>
              <w:t>定位系统</w:t>
            </w:r>
          </w:p>
          <w:p>
            <w:pPr>
              <w:rPr>
                <w:rFonts w:ascii="宋体" w:hAnsi="宋体"/>
                <w:szCs w:val="21"/>
              </w:rPr>
            </w:pPr>
            <w:r>
              <w:rPr>
                <w:rFonts w:ascii="宋体" w:hAnsi="宋体" w:hint="eastAsia"/>
                <w:szCs w:val="21"/>
              </w:rPr>
              <w:t>北斗传输设备</w:t>
            </w:r>
          </w:p>
        </w:tc>
        <w:tc>
          <w:tcPr>
            <w:tcW w:w="3398" w:type="pct"/>
            <w:vAlign w:val="center"/>
          </w:tcPr>
          <w:p>
            <w:pPr>
              <w:widowControl/>
              <w:rPr>
                <w:rFonts w:ascii="宋体" w:hAnsi="宋体" w:cs="宋体"/>
                <w:szCs w:val="21"/>
              </w:rPr>
            </w:pPr>
            <w:r>
              <w:rPr>
                <w:rFonts w:ascii="宋体" w:hAnsi="宋体" w:cs="宋体"/>
                <w:szCs w:val="21"/>
              </w:rPr>
              <w:t>a)</w:t>
            </w:r>
            <w:r>
              <w:rPr>
                <w:rFonts w:ascii="宋体" w:hAnsi="宋体" w:cs="宋体" w:hint="eastAsia"/>
                <w:szCs w:val="21"/>
              </w:rPr>
              <w:t xml:space="preserve">定位功能：具备支持单独使用北斗定位功能； </w:t>
            </w:r>
          </w:p>
          <w:p>
            <w:pPr>
              <w:widowControl/>
              <w:rPr>
                <w:rFonts w:ascii="宋体" w:hAnsi="宋体" w:cs="宋体"/>
                <w:szCs w:val="21"/>
              </w:rPr>
            </w:pPr>
            <w:r>
              <w:rPr>
                <w:rFonts w:ascii="宋体" w:hAnsi="宋体" w:cs="宋体"/>
                <w:szCs w:val="21"/>
              </w:rPr>
              <w:t>b)</w:t>
            </w:r>
            <w:r>
              <w:rPr>
                <w:rFonts w:ascii="宋体" w:hAnsi="宋体" w:cs="宋体" w:hint="eastAsia"/>
                <w:szCs w:val="21"/>
              </w:rPr>
              <w:t>定位精度：≤5m；测速精度：≤0.2m/s；</w:t>
            </w:r>
          </w:p>
          <w:p>
            <w:pPr>
              <w:widowControl/>
              <w:rPr>
                <w:rFonts w:ascii="宋体" w:hAnsi="宋体" w:cs="宋体"/>
                <w:szCs w:val="21"/>
              </w:rPr>
            </w:pPr>
            <w:r>
              <w:rPr>
                <w:rFonts w:ascii="宋体" w:hAnsi="宋体" w:cs="宋体"/>
                <w:szCs w:val="21"/>
              </w:rPr>
              <w:t>c)</w:t>
            </w:r>
            <w:r>
              <w:rPr>
                <w:rFonts w:ascii="宋体" w:hAnsi="宋体" w:cs="宋体" w:hint="eastAsia"/>
                <w:szCs w:val="21"/>
              </w:rPr>
              <w:t xml:space="preserve">首次定位时间：冷启动≤120秒，热启动≤10秒； </w:t>
            </w:r>
          </w:p>
          <w:p>
            <w:pPr>
              <w:widowControl/>
              <w:rPr>
                <w:rFonts w:ascii="宋体" w:hAnsi="宋体" w:cs="宋体"/>
                <w:szCs w:val="21"/>
              </w:rPr>
            </w:pPr>
            <w:r>
              <w:rPr>
                <w:rFonts w:ascii="宋体" w:hAnsi="宋体" w:cs="宋体"/>
                <w:szCs w:val="21"/>
              </w:rPr>
              <w:t>d)</w:t>
            </w:r>
            <w:r>
              <w:rPr>
                <w:rFonts w:ascii="宋体" w:hAnsi="宋体" w:cs="宋体" w:hint="eastAsia"/>
                <w:szCs w:val="21"/>
              </w:rPr>
              <w:t>接收频率：支持北斗B1频段；</w:t>
            </w:r>
          </w:p>
          <w:p>
            <w:pPr>
              <w:widowControl/>
              <w:rPr>
                <w:rFonts w:ascii="宋体" w:hAnsi="宋体" w:cs="宋体"/>
                <w:szCs w:val="21"/>
              </w:rPr>
            </w:pPr>
            <w:r>
              <w:rPr>
                <w:rFonts w:ascii="宋体" w:hAnsi="宋体" w:cs="宋体"/>
                <w:szCs w:val="21"/>
              </w:rPr>
              <w:t>e)</w:t>
            </w:r>
            <w:r>
              <w:rPr>
                <w:rFonts w:ascii="宋体" w:hAnsi="宋体" w:cs="宋体" w:hint="eastAsia"/>
                <w:szCs w:val="21"/>
              </w:rPr>
              <w:t xml:space="preserve">捕获灵敏度：≤-133dBm；跟踪灵敏度：≤-147dBm； </w:t>
            </w:r>
          </w:p>
          <w:p>
            <w:pPr>
              <w:widowControl/>
              <w:rPr>
                <w:rFonts w:ascii="宋体" w:hAnsi="宋体" w:cs="宋体"/>
                <w:szCs w:val="21"/>
              </w:rPr>
            </w:pPr>
            <w:r>
              <w:rPr>
                <w:rFonts w:ascii="宋体" w:hAnsi="宋体" w:cs="宋体"/>
                <w:szCs w:val="21"/>
              </w:rPr>
              <w:t>f)</w:t>
            </w:r>
            <w:r>
              <w:rPr>
                <w:rFonts w:ascii="宋体" w:hAnsi="宋体" w:cs="宋体" w:hint="eastAsia"/>
                <w:szCs w:val="21"/>
              </w:rPr>
              <w:t>接收波束个数：北斗二号≥10个，北斗三号≥14个；</w:t>
            </w:r>
          </w:p>
          <w:p>
            <w:pPr>
              <w:widowControl/>
              <w:rPr>
                <w:rFonts w:ascii="宋体" w:hAnsi="宋体" w:cs="宋体"/>
                <w:szCs w:val="21"/>
              </w:rPr>
            </w:pPr>
            <w:r>
              <w:rPr>
                <w:rFonts w:ascii="宋体" w:hAnsi="宋体" w:cs="宋体"/>
                <w:szCs w:val="21"/>
              </w:rPr>
              <w:t>g)</w:t>
            </w:r>
            <w:r>
              <w:rPr>
                <w:rFonts w:ascii="宋体" w:hAnsi="宋体" w:cs="宋体" w:hint="eastAsia"/>
                <w:szCs w:val="21"/>
              </w:rPr>
              <w:t xml:space="preserve">发射频点：Lf1、Lf2； </w:t>
            </w:r>
          </w:p>
          <w:p>
            <w:pPr>
              <w:widowControl/>
              <w:rPr>
                <w:rFonts w:ascii="宋体" w:hAnsi="宋体" w:cs="宋体"/>
                <w:szCs w:val="21"/>
              </w:rPr>
            </w:pPr>
            <w:r>
              <w:rPr>
                <w:rFonts w:ascii="宋体" w:hAnsi="宋体" w:cs="宋体"/>
                <w:szCs w:val="21"/>
              </w:rPr>
              <w:t>h)</w:t>
            </w:r>
            <w:r>
              <w:rPr>
                <w:rFonts w:ascii="宋体" w:hAnsi="宋体" w:cs="宋体" w:hint="eastAsia"/>
                <w:szCs w:val="21"/>
              </w:rPr>
              <w:t>支持北斗三号系统，支持北斗三号区域短报文通信服务；</w:t>
            </w:r>
          </w:p>
          <w:p>
            <w:pPr>
              <w:rPr>
                <w:rFonts w:ascii="宋体" w:hAnsi="宋体"/>
                <w:szCs w:val="21"/>
              </w:rPr>
            </w:pPr>
            <w:r>
              <w:rPr>
                <w:rFonts w:ascii="宋体" w:hAnsi="宋体" w:cs="宋体" w:hint="eastAsia"/>
                <w:szCs w:val="21"/>
              </w:rPr>
              <w:t>i)防护等级：≥IP67。</w:t>
            </w:r>
          </w:p>
        </w:tc>
        <w:tc>
          <w:tcPr>
            <w:tcW w:w="497" w:type="pct"/>
            <w:vAlign w:val="center"/>
          </w:tcPr>
          <w:p>
            <w:pPr>
              <w:jc w:val="center"/>
              <w:rPr>
                <w:rFonts w:ascii="宋体" w:hAnsi="宋体"/>
                <w:szCs w:val="21"/>
              </w:rPr>
            </w:pPr>
            <w:r>
              <w:rPr>
                <w:rFonts w:ascii="宋体" w:hAnsi="宋体" w:hint="eastAsia"/>
                <w:szCs w:val="21"/>
              </w:rPr>
              <w:t>1</w:t>
            </w:r>
          </w:p>
        </w:tc>
        <w:tc>
          <w:tcPr>
            <w:tcW w:w="445" w:type="pct"/>
            <w:vAlign w:val="center"/>
          </w:tcPr>
          <w:p>
            <w:pPr>
              <w:rPr>
                <w:rFonts w:ascii="宋体" w:hAnsi="宋体"/>
                <w:szCs w:val="21"/>
              </w:rPr>
            </w:pPr>
            <w:r>
              <w:rPr>
                <w:rFonts w:ascii="宋体" w:hAnsi="宋体" w:hint="eastAsia"/>
                <w:szCs w:val="21"/>
              </w:rPr>
              <w:t>套</w:t>
            </w:r>
          </w:p>
        </w:tc>
      </w:tr>
    </w:tbl>
    <w:p>
      <w:pPr>
        <w:spacing w:line="360" w:lineRule="auto"/>
        <w:rPr>
          <w:rFonts w:ascii="宋体" w:hAnsi="宋体"/>
          <w:szCs w:val="21"/>
        </w:rPr>
      </w:pPr>
    </w:p>
    <w:p>
      <w:pPr>
        <w:spacing w:line="360" w:lineRule="auto"/>
        <w:outlineLvl w:val="2"/>
        <w:rPr>
          <w:rFonts w:ascii="宋体" w:hAnsi="宋体"/>
          <w:b/>
          <w:bCs/>
          <w:szCs w:val="21"/>
        </w:rPr>
      </w:pPr>
      <w:r>
        <w:rPr>
          <w:rFonts w:ascii="宋体" w:hAnsi="宋体" w:hint="eastAsia"/>
          <w:b/>
          <w:bCs/>
          <w:szCs w:val="21"/>
        </w:rPr>
        <w:t>3.2移动式火箭发射装置（数量6套）</w:t>
      </w:r>
    </w:p>
    <w:p>
      <w:pPr>
        <w:spacing w:line="360" w:lineRule="auto"/>
        <w:rPr>
          <w:rFonts w:ascii="宋体" w:hAnsi="宋体"/>
          <w:szCs w:val="21"/>
        </w:rPr>
      </w:pPr>
      <w:r>
        <w:rPr>
          <w:rFonts w:ascii="宋体" w:hAnsi="宋体" w:hint="eastAsia"/>
          <w:szCs w:val="21"/>
        </w:rPr>
        <w:t>移动式火箭发射装置应符合《人工影响天气火箭发射架通用技术规范》，满足箭架分离、自动化、信息化功能，设备数据实时对接“天工”平台。</w:t>
      </w:r>
    </w:p>
    <w:p>
      <w:pPr>
        <w:spacing w:line="360" w:lineRule="auto"/>
        <w:rPr>
          <w:rFonts w:ascii="宋体" w:hAnsi="宋体"/>
          <w:b/>
          <w:bCs/>
          <w:szCs w:val="21"/>
        </w:rPr>
      </w:pPr>
      <w:r>
        <w:rPr>
          <w:rFonts w:ascii="宋体" w:hAnsi="宋体" w:hint="eastAsia"/>
          <w:b/>
          <w:bCs/>
          <w:szCs w:val="21"/>
        </w:rPr>
        <w:t>移动式火箭发射装置技术参数</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258"/>
        <w:gridCol w:w="3397"/>
        <w:gridCol w:w="286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2405" w:type="dxa"/>
            <w:vAlign w:val="center"/>
          </w:tcPr>
          <w:p>
            <w:pPr>
              <w:spacing w:line="360" w:lineRule="auto"/>
              <w:rPr>
                <w:rFonts w:ascii="宋体" w:hAnsi="宋体"/>
                <w:szCs w:val="21"/>
              </w:rPr>
            </w:pPr>
            <w:r>
              <w:rPr>
                <w:rFonts w:ascii="宋体" w:hAnsi="宋体" w:hint="eastAsia"/>
                <w:szCs w:val="21"/>
              </w:rPr>
              <w:t>项目</w:t>
            </w:r>
          </w:p>
        </w:tc>
        <w:tc>
          <w:tcPr>
            <w:tcW w:w="6657" w:type="dxa"/>
            <w:gridSpan w:val="2"/>
            <w:vAlign w:val="center"/>
          </w:tcPr>
          <w:p>
            <w:pPr>
              <w:spacing w:line="360" w:lineRule="auto"/>
              <w:rPr>
                <w:rFonts w:ascii="宋体" w:hAnsi="宋体"/>
                <w:szCs w:val="21"/>
              </w:rPr>
            </w:pPr>
            <w:r>
              <w:rPr>
                <w:rFonts w:ascii="宋体" w:hAnsi="宋体" w:hint="eastAsia"/>
                <w:szCs w:val="21"/>
              </w:rPr>
              <w:t>性能指标</w:t>
            </w:r>
          </w:p>
        </w:tc>
      </w:tr>
      <w:tr>
        <w:tblPrEx>
          <w:tblW w:w="0" w:type="auto"/>
          <w:jc w:val="center"/>
          <w:tblCellMar>
            <w:top w:w="0" w:type="dxa"/>
            <w:left w:w="108" w:type="dxa"/>
            <w:bottom w:w="0" w:type="dxa"/>
            <w:right w:w="108" w:type="dxa"/>
          </w:tblCellMar>
        </w:tblPrEx>
        <w:trPr>
          <w:jc w:val="center"/>
        </w:trPr>
        <w:tc>
          <w:tcPr>
            <w:tcW w:w="2405" w:type="dxa"/>
            <w:vAlign w:val="center"/>
          </w:tcPr>
          <w:p>
            <w:pPr>
              <w:spacing w:line="360" w:lineRule="auto"/>
              <w:rPr>
                <w:rFonts w:ascii="宋体" w:hAnsi="宋体"/>
                <w:szCs w:val="21"/>
              </w:rPr>
            </w:pPr>
            <w:r>
              <w:rPr>
                <w:rFonts w:ascii="宋体" w:hAnsi="宋体"/>
                <w:szCs w:val="21"/>
              </w:rPr>
              <w:t>发射轨道长</w:t>
            </w:r>
          </w:p>
        </w:tc>
        <w:tc>
          <w:tcPr>
            <w:tcW w:w="6657" w:type="dxa"/>
            <w:gridSpan w:val="2"/>
            <w:vAlign w:val="center"/>
          </w:tcPr>
          <w:p>
            <w:pPr>
              <w:spacing w:line="360" w:lineRule="auto"/>
              <w:rPr>
                <w:rFonts w:ascii="宋体" w:hAnsi="宋体"/>
                <w:szCs w:val="21"/>
              </w:rPr>
            </w:pPr>
            <w:r>
              <w:rPr>
                <w:rFonts w:ascii="宋体" w:hAnsi="宋体"/>
                <w:szCs w:val="21"/>
              </w:rPr>
              <w:t>≥1500 mm</w:t>
            </w:r>
          </w:p>
        </w:tc>
      </w:tr>
      <w:tr>
        <w:tblPrEx>
          <w:tblW w:w="0" w:type="auto"/>
          <w:jc w:val="center"/>
          <w:tblCellMar>
            <w:top w:w="0" w:type="dxa"/>
            <w:left w:w="108" w:type="dxa"/>
            <w:bottom w:w="0" w:type="dxa"/>
            <w:right w:w="108" w:type="dxa"/>
          </w:tblCellMar>
        </w:tblPrEx>
        <w:trPr>
          <w:jc w:val="center"/>
        </w:trPr>
        <w:tc>
          <w:tcPr>
            <w:tcW w:w="2405" w:type="dxa"/>
            <w:vAlign w:val="center"/>
          </w:tcPr>
          <w:p>
            <w:pPr>
              <w:spacing w:line="360" w:lineRule="auto"/>
              <w:rPr>
                <w:rFonts w:ascii="宋体" w:hAnsi="宋体"/>
                <w:szCs w:val="21"/>
              </w:rPr>
            </w:pPr>
            <w:r>
              <w:rPr>
                <w:rFonts w:ascii="宋体" w:hAnsi="宋体"/>
                <w:szCs w:val="21"/>
              </w:rPr>
              <w:t>发射轨道</w:t>
            </w:r>
          </w:p>
        </w:tc>
        <w:tc>
          <w:tcPr>
            <w:tcW w:w="6657" w:type="dxa"/>
            <w:gridSpan w:val="2"/>
            <w:vAlign w:val="center"/>
          </w:tcPr>
          <w:p>
            <w:pPr>
              <w:spacing w:line="360" w:lineRule="auto"/>
              <w:rPr>
                <w:rFonts w:ascii="宋体" w:hAnsi="宋体"/>
                <w:szCs w:val="21"/>
              </w:rPr>
            </w:pPr>
            <w:r>
              <w:rPr>
                <w:rFonts w:ascii="宋体" w:hAnsi="宋体"/>
                <w:szCs w:val="21"/>
              </w:rPr>
              <w:t>4/6/8/10 发射通道，兼容多种弹径</w:t>
            </w:r>
          </w:p>
        </w:tc>
      </w:tr>
      <w:tr>
        <w:tblPrEx>
          <w:tblW w:w="0" w:type="auto"/>
          <w:jc w:val="center"/>
          <w:tblCellMar>
            <w:top w:w="0" w:type="dxa"/>
            <w:left w:w="108" w:type="dxa"/>
            <w:bottom w:w="0" w:type="dxa"/>
            <w:right w:w="108" w:type="dxa"/>
          </w:tblCellMar>
        </w:tblPrEx>
        <w:trPr>
          <w:jc w:val="center"/>
        </w:trPr>
        <w:tc>
          <w:tcPr>
            <w:tcW w:w="2405" w:type="dxa"/>
            <w:vAlign w:val="center"/>
          </w:tcPr>
          <w:p>
            <w:pPr>
              <w:spacing w:line="360" w:lineRule="auto"/>
              <w:rPr>
                <w:rFonts w:ascii="宋体" w:hAnsi="宋体"/>
                <w:szCs w:val="21"/>
              </w:rPr>
            </w:pPr>
            <w:r>
              <w:rPr>
                <w:rFonts w:ascii="宋体" w:hAnsi="宋体"/>
                <w:szCs w:val="21"/>
              </w:rPr>
              <w:t>仰射角调整范围</w:t>
            </w:r>
          </w:p>
        </w:tc>
        <w:tc>
          <w:tcPr>
            <w:tcW w:w="6657" w:type="dxa"/>
            <w:gridSpan w:val="2"/>
            <w:vAlign w:val="center"/>
          </w:tcPr>
          <w:p>
            <w:pPr>
              <w:spacing w:line="360" w:lineRule="auto"/>
              <w:rPr>
                <w:rFonts w:ascii="宋体" w:hAnsi="宋体"/>
                <w:szCs w:val="21"/>
              </w:rPr>
            </w:pPr>
            <w:r>
              <w:rPr>
                <w:rFonts w:ascii="宋体" w:hAnsi="宋体"/>
                <w:szCs w:val="21"/>
              </w:rPr>
              <w:t>7°～85°</w:t>
            </w:r>
          </w:p>
        </w:tc>
      </w:tr>
      <w:tr>
        <w:tblPrEx>
          <w:tblW w:w="0" w:type="auto"/>
          <w:jc w:val="center"/>
          <w:tblCellMar>
            <w:top w:w="0" w:type="dxa"/>
            <w:left w:w="108" w:type="dxa"/>
            <w:bottom w:w="0" w:type="dxa"/>
            <w:right w:w="108" w:type="dxa"/>
          </w:tblCellMar>
        </w:tblPrEx>
        <w:trPr>
          <w:jc w:val="center"/>
        </w:trPr>
        <w:tc>
          <w:tcPr>
            <w:tcW w:w="2405" w:type="dxa"/>
            <w:vMerge w:val="restart"/>
            <w:vAlign w:val="center"/>
          </w:tcPr>
          <w:p>
            <w:pPr>
              <w:spacing w:line="360" w:lineRule="auto"/>
              <w:rPr>
                <w:rFonts w:ascii="宋体" w:hAnsi="宋体"/>
                <w:szCs w:val="21"/>
              </w:rPr>
            </w:pPr>
            <w:r>
              <w:rPr>
                <w:rFonts w:ascii="宋体" w:hAnsi="宋体"/>
                <w:szCs w:val="21"/>
              </w:rPr>
              <w:t>仰射角</w:t>
            </w:r>
          </w:p>
        </w:tc>
        <w:tc>
          <w:tcPr>
            <w:tcW w:w="3636" w:type="dxa"/>
            <w:vAlign w:val="center"/>
          </w:tcPr>
          <w:p>
            <w:pPr>
              <w:spacing w:line="360" w:lineRule="auto"/>
              <w:rPr>
                <w:rFonts w:ascii="宋体" w:hAnsi="宋体"/>
                <w:szCs w:val="21"/>
              </w:rPr>
            </w:pPr>
            <w:r>
              <w:rPr>
                <w:rFonts w:ascii="宋体" w:hAnsi="宋体"/>
                <w:szCs w:val="21"/>
              </w:rPr>
              <w:t>调整速度</w:t>
            </w:r>
          </w:p>
        </w:tc>
        <w:tc>
          <w:tcPr>
            <w:tcW w:w="3021" w:type="dxa"/>
            <w:vAlign w:val="center"/>
          </w:tcPr>
          <w:p>
            <w:pPr>
              <w:spacing w:line="360" w:lineRule="auto"/>
              <w:rPr>
                <w:rFonts w:ascii="宋体" w:hAnsi="宋体"/>
                <w:szCs w:val="21"/>
              </w:rPr>
            </w:pPr>
            <w:r>
              <w:rPr>
                <w:rFonts w:ascii="宋体" w:hAnsi="宋体"/>
                <w:szCs w:val="21"/>
              </w:rPr>
              <w:t>≥3°/s</w:t>
            </w:r>
          </w:p>
        </w:tc>
      </w:tr>
      <w:tr>
        <w:tblPrEx>
          <w:tblW w:w="0" w:type="auto"/>
          <w:jc w:val="center"/>
          <w:tblCellMar>
            <w:top w:w="0" w:type="dxa"/>
            <w:left w:w="108" w:type="dxa"/>
            <w:bottom w:w="0" w:type="dxa"/>
            <w:right w:w="108" w:type="dxa"/>
          </w:tblCellMar>
        </w:tblPrEx>
        <w:trPr>
          <w:jc w:val="center"/>
        </w:trPr>
        <w:tc>
          <w:tcPr>
            <w:tcW w:w="2405" w:type="dxa"/>
            <w:vMerge/>
            <w:vAlign w:val="center"/>
          </w:tcPr>
          <w:p>
            <w:pPr>
              <w:spacing w:line="360" w:lineRule="auto"/>
              <w:rPr>
                <w:rFonts w:ascii="宋体" w:hAnsi="宋体"/>
                <w:szCs w:val="21"/>
              </w:rPr>
            </w:pPr>
          </w:p>
        </w:tc>
        <w:tc>
          <w:tcPr>
            <w:tcW w:w="3636" w:type="dxa"/>
            <w:vAlign w:val="center"/>
          </w:tcPr>
          <w:p>
            <w:pPr>
              <w:spacing w:line="360" w:lineRule="auto"/>
              <w:rPr>
                <w:rFonts w:ascii="宋体" w:hAnsi="宋体"/>
                <w:szCs w:val="21"/>
              </w:rPr>
            </w:pPr>
            <w:r>
              <w:rPr>
                <w:rFonts w:ascii="宋体" w:hAnsi="宋体"/>
                <w:szCs w:val="21"/>
              </w:rPr>
              <w:t>准确度</w:t>
            </w:r>
          </w:p>
        </w:tc>
        <w:tc>
          <w:tcPr>
            <w:tcW w:w="3021" w:type="dxa"/>
            <w:vAlign w:val="center"/>
          </w:tcPr>
          <w:p>
            <w:pPr>
              <w:spacing w:line="360" w:lineRule="auto"/>
              <w:rPr>
                <w:rFonts w:ascii="宋体" w:hAnsi="宋体"/>
                <w:szCs w:val="21"/>
              </w:rPr>
            </w:pPr>
            <w:r>
              <w:rPr>
                <w:rFonts w:ascii="宋体" w:hAnsi="宋体"/>
                <w:szCs w:val="21"/>
              </w:rPr>
              <w:t>±0.5°</w:t>
            </w:r>
          </w:p>
        </w:tc>
      </w:tr>
      <w:tr>
        <w:tblPrEx>
          <w:tblW w:w="0" w:type="auto"/>
          <w:jc w:val="center"/>
          <w:tblCellMar>
            <w:top w:w="0" w:type="dxa"/>
            <w:left w:w="108" w:type="dxa"/>
            <w:bottom w:w="0" w:type="dxa"/>
            <w:right w:w="108" w:type="dxa"/>
          </w:tblCellMar>
        </w:tblPrEx>
        <w:trPr>
          <w:jc w:val="center"/>
        </w:trPr>
        <w:tc>
          <w:tcPr>
            <w:tcW w:w="2405" w:type="dxa"/>
            <w:vMerge/>
            <w:vAlign w:val="center"/>
          </w:tcPr>
          <w:p>
            <w:pPr>
              <w:spacing w:line="360" w:lineRule="auto"/>
              <w:rPr>
                <w:rFonts w:ascii="宋体" w:hAnsi="宋体"/>
                <w:szCs w:val="21"/>
              </w:rPr>
            </w:pPr>
          </w:p>
        </w:tc>
        <w:tc>
          <w:tcPr>
            <w:tcW w:w="3636" w:type="dxa"/>
            <w:vAlign w:val="center"/>
          </w:tcPr>
          <w:p>
            <w:pPr>
              <w:spacing w:line="360" w:lineRule="auto"/>
              <w:rPr>
                <w:rFonts w:ascii="宋体" w:hAnsi="宋体"/>
                <w:szCs w:val="21"/>
              </w:rPr>
            </w:pPr>
            <w:r>
              <w:rPr>
                <w:rFonts w:ascii="宋体" w:hAnsi="宋体"/>
                <w:szCs w:val="21"/>
              </w:rPr>
              <w:t>测量精度</w:t>
            </w:r>
          </w:p>
        </w:tc>
        <w:tc>
          <w:tcPr>
            <w:tcW w:w="3021" w:type="dxa"/>
            <w:vAlign w:val="center"/>
          </w:tcPr>
          <w:p>
            <w:pPr>
              <w:spacing w:line="360" w:lineRule="auto"/>
              <w:rPr>
                <w:rFonts w:ascii="宋体" w:hAnsi="宋体"/>
                <w:szCs w:val="21"/>
              </w:rPr>
            </w:pPr>
            <w:r>
              <w:rPr>
                <w:rFonts w:ascii="宋体" w:hAnsi="宋体"/>
                <w:szCs w:val="21"/>
              </w:rPr>
              <w:t>1°</w:t>
            </w:r>
          </w:p>
        </w:tc>
      </w:tr>
      <w:tr>
        <w:tblPrEx>
          <w:tblW w:w="0" w:type="auto"/>
          <w:jc w:val="center"/>
          <w:tblCellMar>
            <w:top w:w="0" w:type="dxa"/>
            <w:left w:w="108" w:type="dxa"/>
            <w:bottom w:w="0" w:type="dxa"/>
            <w:right w:w="108" w:type="dxa"/>
          </w:tblCellMar>
        </w:tblPrEx>
        <w:trPr>
          <w:jc w:val="center"/>
        </w:trPr>
        <w:tc>
          <w:tcPr>
            <w:tcW w:w="2405" w:type="dxa"/>
            <w:vMerge/>
            <w:vAlign w:val="center"/>
          </w:tcPr>
          <w:p>
            <w:pPr>
              <w:spacing w:line="360" w:lineRule="auto"/>
              <w:rPr>
                <w:rFonts w:ascii="宋体" w:hAnsi="宋体"/>
                <w:szCs w:val="21"/>
              </w:rPr>
            </w:pPr>
          </w:p>
        </w:tc>
        <w:tc>
          <w:tcPr>
            <w:tcW w:w="3636" w:type="dxa"/>
            <w:vAlign w:val="center"/>
          </w:tcPr>
          <w:p>
            <w:pPr>
              <w:spacing w:line="360" w:lineRule="auto"/>
              <w:rPr>
                <w:rFonts w:ascii="宋体" w:hAnsi="宋体"/>
                <w:szCs w:val="21"/>
              </w:rPr>
            </w:pPr>
            <w:r>
              <w:rPr>
                <w:rFonts w:ascii="宋体" w:hAnsi="宋体"/>
                <w:szCs w:val="21"/>
              </w:rPr>
              <w:t>分辨率</w:t>
            </w:r>
          </w:p>
        </w:tc>
        <w:tc>
          <w:tcPr>
            <w:tcW w:w="3021" w:type="dxa"/>
            <w:vAlign w:val="center"/>
          </w:tcPr>
          <w:p>
            <w:pPr>
              <w:spacing w:line="360" w:lineRule="auto"/>
              <w:rPr>
                <w:rFonts w:ascii="宋体" w:hAnsi="宋体"/>
                <w:szCs w:val="21"/>
              </w:rPr>
            </w:pPr>
            <w:r>
              <w:rPr>
                <w:rFonts w:ascii="宋体" w:hAnsi="宋体"/>
                <w:szCs w:val="21"/>
              </w:rPr>
              <w:t>1°</w:t>
            </w:r>
          </w:p>
        </w:tc>
      </w:tr>
      <w:tr>
        <w:tblPrEx>
          <w:tblW w:w="0" w:type="auto"/>
          <w:jc w:val="center"/>
          <w:tblCellMar>
            <w:top w:w="0" w:type="dxa"/>
            <w:left w:w="108" w:type="dxa"/>
            <w:bottom w:w="0" w:type="dxa"/>
            <w:right w:w="108" w:type="dxa"/>
          </w:tblCellMar>
        </w:tblPrEx>
        <w:trPr>
          <w:jc w:val="center"/>
        </w:trPr>
        <w:tc>
          <w:tcPr>
            <w:tcW w:w="2405" w:type="dxa"/>
            <w:vMerge w:val="restart"/>
            <w:vAlign w:val="center"/>
          </w:tcPr>
          <w:p>
            <w:pPr>
              <w:spacing w:line="360" w:lineRule="auto"/>
              <w:rPr>
                <w:rFonts w:ascii="宋体" w:hAnsi="宋体"/>
                <w:szCs w:val="21"/>
              </w:rPr>
            </w:pPr>
            <w:r>
              <w:rPr>
                <w:rFonts w:ascii="宋体" w:hAnsi="宋体"/>
                <w:szCs w:val="21"/>
              </w:rPr>
              <w:t>方位角</w:t>
            </w:r>
          </w:p>
        </w:tc>
        <w:tc>
          <w:tcPr>
            <w:tcW w:w="3636" w:type="dxa"/>
            <w:vAlign w:val="center"/>
          </w:tcPr>
          <w:p>
            <w:pPr>
              <w:spacing w:line="360" w:lineRule="auto"/>
              <w:rPr>
                <w:rFonts w:ascii="宋体" w:hAnsi="宋体"/>
                <w:szCs w:val="21"/>
              </w:rPr>
            </w:pPr>
            <w:r>
              <w:rPr>
                <w:rFonts w:ascii="宋体" w:hAnsi="宋体"/>
                <w:szCs w:val="21"/>
              </w:rPr>
              <w:t>调整速度</w:t>
            </w:r>
          </w:p>
        </w:tc>
        <w:tc>
          <w:tcPr>
            <w:tcW w:w="3021" w:type="dxa"/>
            <w:vAlign w:val="center"/>
          </w:tcPr>
          <w:p>
            <w:pPr>
              <w:spacing w:line="360" w:lineRule="auto"/>
              <w:rPr>
                <w:rFonts w:ascii="宋体" w:hAnsi="宋体"/>
                <w:szCs w:val="21"/>
              </w:rPr>
            </w:pPr>
            <w:r>
              <w:rPr>
                <w:rFonts w:ascii="宋体" w:hAnsi="宋体"/>
                <w:szCs w:val="21"/>
              </w:rPr>
              <w:t>≥5°/s</w:t>
            </w:r>
          </w:p>
        </w:tc>
      </w:tr>
      <w:tr>
        <w:tblPrEx>
          <w:tblW w:w="0" w:type="auto"/>
          <w:jc w:val="center"/>
          <w:tblCellMar>
            <w:top w:w="0" w:type="dxa"/>
            <w:left w:w="108" w:type="dxa"/>
            <w:bottom w:w="0" w:type="dxa"/>
            <w:right w:w="108" w:type="dxa"/>
          </w:tblCellMar>
        </w:tblPrEx>
        <w:trPr>
          <w:jc w:val="center"/>
        </w:trPr>
        <w:tc>
          <w:tcPr>
            <w:tcW w:w="2405" w:type="dxa"/>
            <w:vMerge/>
            <w:vAlign w:val="center"/>
          </w:tcPr>
          <w:p>
            <w:pPr>
              <w:spacing w:line="360" w:lineRule="auto"/>
              <w:rPr>
                <w:rFonts w:ascii="宋体" w:hAnsi="宋体"/>
                <w:szCs w:val="21"/>
              </w:rPr>
            </w:pPr>
          </w:p>
        </w:tc>
        <w:tc>
          <w:tcPr>
            <w:tcW w:w="3636" w:type="dxa"/>
            <w:vAlign w:val="center"/>
          </w:tcPr>
          <w:p>
            <w:pPr>
              <w:spacing w:line="360" w:lineRule="auto"/>
              <w:rPr>
                <w:rFonts w:ascii="宋体" w:hAnsi="宋体"/>
                <w:szCs w:val="21"/>
              </w:rPr>
            </w:pPr>
            <w:r>
              <w:rPr>
                <w:rFonts w:ascii="宋体" w:hAnsi="宋体"/>
                <w:szCs w:val="21"/>
              </w:rPr>
              <w:t>准确度</w:t>
            </w:r>
          </w:p>
        </w:tc>
        <w:tc>
          <w:tcPr>
            <w:tcW w:w="3021" w:type="dxa"/>
            <w:vAlign w:val="center"/>
          </w:tcPr>
          <w:p>
            <w:pPr>
              <w:spacing w:line="360" w:lineRule="auto"/>
              <w:rPr>
                <w:rFonts w:ascii="宋体" w:hAnsi="宋体"/>
                <w:szCs w:val="21"/>
              </w:rPr>
            </w:pPr>
            <w:r>
              <w:rPr>
                <w:rFonts w:ascii="宋体" w:hAnsi="宋体"/>
                <w:szCs w:val="21"/>
              </w:rPr>
              <w:t>±0.5°</w:t>
            </w:r>
          </w:p>
        </w:tc>
      </w:tr>
      <w:tr>
        <w:tblPrEx>
          <w:tblW w:w="0" w:type="auto"/>
          <w:jc w:val="center"/>
          <w:tblCellMar>
            <w:top w:w="0" w:type="dxa"/>
            <w:left w:w="108" w:type="dxa"/>
            <w:bottom w:w="0" w:type="dxa"/>
            <w:right w:w="108" w:type="dxa"/>
          </w:tblCellMar>
        </w:tblPrEx>
        <w:trPr>
          <w:jc w:val="center"/>
        </w:trPr>
        <w:tc>
          <w:tcPr>
            <w:tcW w:w="2405" w:type="dxa"/>
            <w:vMerge/>
            <w:vAlign w:val="center"/>
          </w:tcPr>
          <w:p>
            <w:pPr>
              <w:spacing w:line="360" w:lineRule="auto"/>
              <w:rPr>
                <w:rFonts w:ascii="宋体" w:hAnsi="宋体"/>
                <w:szCs w:val="21"/>
              </w:rPr>
            </w:pPr>
          </w:p>
        </w:tc>
        <w:tc>
          <w:tcPr>
            <w:tcW w:w="3636" w:type="dxa"/>
            <w:vAlign w:val="center"/>
          </w:tcPr>
          <w:p>
            <w:pPr>
              <w:spacing w:line="360" w:lineRule="auto"/>
              <w:rPr>
                <w:rFonts w:ascii="宋体" w:hAnsi="宋体"/>
                <w:szCs w:val="21"/>
              </w:rPr>
            </w:pPr>
            <w:r>
              <w:rPr>
                <w:rFonts w:ascii="宋体" w:hAnsi="宋体"/>
                <w:szCs w:val="21"/>
              </w:rPr>
              <w:t>转动回差</w:t>
            </w:r>
          </w:p>
        </w:tc>
        <w:tc>
          <w:tcPr>
            <w:tcW w:w="3021" w:type="dxa"/>
            <w:vAlign w:val="center"/>
          </w:tcPr>
          <w:p>
            <w:pPr>
              <w:spacing w:line="360" w:lineRule="auto"/>
              <w:rPr>
                <w:rFonts w:ascii="宋体" w:hAnsi="宋体"/>
                <w:szCs w:val="21"/>
              </w:rPr>
            </w:pPr>
            <w:r>
              <w:rPr>
                <w:rFonts w:ascii="宋体" w:hAnsi="宋体"/>
                <w:szCs w:val="21"/>
              </w:rPr>
              <w:t>≤1°</w:t>
            </w:r>
          </w:p>
        </w:tc>
      </w:tr>
      <w:tr>
        <w:tblPrEx>
          <w:tblW w:w="0" w:type="auto"/>
          <w:jc w:val="center"/>
          <w:tblCellMar>
            <w:top w:w="0" w:type="dxa"/>
            <w:left w:w="108" w:type="dxa"/>
            <w:bottom w:w="0" w:type="dxa"/>
            <w:right w:w="108" w:type="dxa"/>
          </w:tblCellMar>
        </w:tblPrEx>
        <w:trPr>
          <w:jc w:val="center"/>
        </w:trPr>
        <w:tc>
          <w:tcPr>
            <w:tcW w:w="2405" w:type="dxa"/>
            <w:vMerge/>
            <w:vAlign w:val="center"/>
          </w:tcPr>
          <w:p>
            <w:pPr>
              <w:spacing w:line="360" w:lineRule="auto"/>
              <w:rPr>
                <w:rFonts w:ascii="宋体" w:hAnsi="宋体"/>
                <w:szCs w:val="21"/>
              </w:rPr>
            </w:pPr>
          </w:p>
        </w:tc>
        <w:tc>
          <w:tcPr>
            <w:tcW w:w="3636" w:type="dxa"/>
            <w:vAlign w:val="center"/>
          </w:tcPr>
          <w:p>
            <w:pPr>
              <w:spacing w:line="360" w:lineRule="auto"/>
              <w:rPr>
                <w:rFonts w:ascii="宋体" w:hAnsi="宋体"/>
                <w:szCs w:val="21"/>
              </w:rPr>
            </w:pPr>
            <w:r>
              <w:rPr>
                <w:rFonts w:ascii="宋体" w:hAnsi="宋体"/>
                <w:szCs w:val="21"/>
              </w:rPr>
              <w:t>测量精度</w:t>
            </w:r>
          </w:p>
        </w:tc>
        <w:tc>
          <w:tcPr>
            <w:tcW w:w="3021" w:type="dxa"/>
            <w:vAlign w:val="center"/>
          </w:tcPr>
          <w:p>
            <w:pPr>
              <w:spacing w:line="360" w:lineRule="auto"/>
              <w:rPr>
                <w:rFonts w:ascii="宋体" w:hAnsi="宋体"/>
                <w:szCs w:val="21"/>
              </w:rPr>
            </w:pPr>
            <w:r>
              <w:rPr>
                <w:rFonts w:ascii="宋体" w:hAnsi="宋体"/>
                <w:szCs w:val="21"/>
              </w:rPr>
              <w:t>1°</w:t>
            </w:r>
          </w:p>
        </w:tc>
      </w:tr>
      <w:tr>
        <w:tblPrEx>
          <w:tblW w:w="0" w:type="auto"/>
          <w:jc w:val="center"/>
          <w:tblCellMar>
            <w:top w:w="0" w:type="dxa"/>
            <w:left w:w="108" w:type="dxa"/>
            <w:bottom w:w="0" w:type="dxa"/>
            <w:right w:w="108" w:type="dxa"/>
          </w:tblCellMar>
        </w:tblPrEx>
        <w:trPr>
          <w:jc w:val="center"/>
        </w:trPr>
        <w:tc>
          <w:tcPr>
            <w:tcW w:w="2405" w:type="dxa"/>
            <w:vMerge/>
            <w:vAlign w:val="center"/>
          </w:tcPr>
          <w:p>
            <w:pPr>
              <w:spacing w:line="360" w:lineRule="auto"/>
              <w:rPr>
                <w:rFonts w:ascii="宋体" w:hAnsi="宋体"/>
                <w:szCs w:val="21"/>
              </w:rPr>
            </w:pPr>
          </w:p>
        </w:tc>
        <w:tc>
          <w:tcPr>
            <w:tcW w:w="3636" w:type="dxa"/>
            <w:vAlign w:val="center"/>
          </w:tcPr>
          <w:p>
            <w:pPr>
              <w:spacing w:line="360" w:lineRule="auto"/>
              <w:rPr>
                <w:rFonts w:ascii="宋体" w:hAnsi="宋体"/>
                <w:szCs w:val="21"/>
              </w:rPr>
            </w:pPr>
            <w:r>
              <w:rPr>
                <w:rFonts w:ascii="宋体" w:hAnsi="宋体"/>
                <w:szCs w:val="21"/>
              </w:rPr>
              <w:t>分辨率</w:t>
            </w:r>
          </w:p>
        </w:tc>
        <w:tc>
          <w:tcPr>
            <w:tcW w:w="3021" w:type="dxa"/>
            <w:vAlign w:val="center"/>
          </w:tcPr>
          <w:p>
            <w:pPr>
              <w:spacing w:line="360" w:lineRule="auto"/>
              <w:rPr>
                <w:rFonts w:ascii="宋体" w:hAnsi="宋体"/>
                <w:szCs w:val="21"/>
              </w:rPr>
            </w:pPr>
            <w:r>
              <w:rPr>
                <w:rFonts w:ascii="宋体" w:hAnsi="宋体"/>
                <w:szCs w:val="21"/>
              </w:rPr>
              <w:t>1°</w:t>
            </w:r>
          </w:p>
        </w:tc>
      </w:tr>
      <w:tr>
        <w:tblPrEx>
          <w:tblW w:w="0" w:type="auto"/>
          <w:jc w:val="center"/>
          <w:tblCellMar>
            <w:top w:w="0" w:type="dxa"/>
            <w:left w:w="108" w:type="dxa"/>
            <w:bottom w:w="0" w:type="dxa"/>
            <w:right w:w="108" w:type="dxa"/>
          </w:tblCellMar>
        </w:tblPrEx>
        <w:trPr>
          <w:jc w:val="center"/>
        </w:trPr>
        <w:tc>
          <w:tcPr>
            <w:tcW w:w="2405" w:type="dxa"/>
            <w:vAlign w:val="center"/>
          </w:tcPr>
          <w:p>
            <w:pPr>
              <w:spacing w:line="360" w:lineRule="auto"/>
              <w:rPr>
                <w:rFonts w:ascii="宋体" w:hAnsi="宋体"/>
                <w:szCs w:val="21"/>
              </w:rPr>
            </w:pPr>
            <w:r>
              <w:rPr>
                <w:rFonts w:ascii="宋体" w:hAnsi="宋体"/>
                <w:szCs w:val="21"/>
              </w:rPr>
              <w:t>坐标定位精度</w:t>
            </w:r>
          </w:p>
        </w:tc>
        <w:tc>
          <w:tcPr>
            <w:tcW w:w="6657" w:type="dxa"/>
            <w:gridSpan w:val="2"/>
            <w:vAlign w:val="center"/>
          </w:tcPr>
          <w:p>
            <w:pPr>
              <w:spacing w:line="360" w:lineRule="auto"/>
              <w:rPr>
                <w:rFonts w:ascii="宋体" w:hAnsi="宋体"/>
                <w:szCs w:val="21"/>
              </w:rPr>
            </w:pPr>
            <w:r>
              <w:rPr>
                <w:rFonts w:ascii="宋体" w:hAnsi="宋体"/>
                <w:szCs w:val="21"/>
              </w:rPr>
              <w:t>10 ｍ</w:t>
            </w:r>
          </w:p>
        </w:tc>
      </w:tr>
      <w:tr>
        <w:tblPrEx>
          <w:tblW w:w="0" w:type="auto"/>
          <w:jc w:val="center"/>
          <w:tblCellMar>
            <w:top w:w="0" w:type="dxa"/>
            <w:left w:w="108" w:type="dxa"/>
            <w:bottom w:w="0" w:type="dxa"/>
            <w:right w:w="108" w:type="dxa"/>
          </w:tblCellMar>
        </w:tblPrEx>
        <w:trPr>
          <w:jc w:val="center"/>
        </w:trPr>
        <w:tc>
          <w:tcPr>
            <w:tcW w:w="2405" w:type="dxa"/>
            <w:vAlign w:val="center"/>
          </w:tcPr>
          <w:p>
            <w:pPr>
              <w:spacing w:line="360" w:lineRule="auto"/>
              <w:rPr>
                <w:rFonts w:ascii="宋体" w:hAnsi="宋体"/>
                <w:szCs w:val="21"/>
              </w:rPr>
            </w:pPr>
            <w:r>
              <w:rPr>
                <w:rFonts w:ascii="宋体" w:hAnsi="宋体"/>
                <w:szCs w:val="21"/>
              </w:rPr>
              <w:t>坐标定位时间</w:t>
            </w:r>
          </w:p>
        </w:tc>
        <w:tc>
          <w:tcPr>
            <w:tcW w:w="6657" w:type="dxa"/>
            <w:gridSpan w:val="2"/>
            <w:vAlign w:val="center"/>
          </w:tcPr>
          <w:p>
            <w:pPr>
              <w:spacing w:line="360" w:lineRule="auto"/>
              <w:rPr>
                <w:rFonts w:ascii="宋体" w:hAnsi="宋体"/>
                <w:szCs w:val="21"/>
              </w:rPr>
            </w:pPr>
            <w:r>
              <w:rPr>
                <w:rFonts w:ascii="宋体" w:hAnsi="宋体"/>
                <w:szCs w:val="21"/>
              </w:rPr>
              <w:t>≤60 s</w:t>
            </w:r>
          </w:p>
        </w:tc>
      </w:tr>
      <w:tr>
        <w:tblPrEx>
          <w:tblW w:w="0" w:type="auto"/>
          <w:jc w:val="center"/>
          <w:tblCellMar>
            <w:top w:w="0" w:type="dxa"/>
            <w:left w:w="108" w:type="dxa"/>
            <w:bottom w:w="0" w:type="dxa"/>
            <w:right w:w="108" w:type="dxa"/>
          </w:tblCellMar>
        </w:tblPrEx>
        <w:trPr>
          <w:jc w:val="center"/>
        </w:trPr>
        <w:tc>
          <w:tcPr>
            <w:tcW w:w="2405" w:type="dxa"/>
            <w:vAlign w:val="center"/>
          </w:tcPr>
          <w:p>
            <w:pPr>
              <w:spacing w:line="360" w:lineRule="auto"/>
              <w:rPr>
                <w:rFonts w:ascii="宋体" w:hAnsi="宋体"/>
                <w:szCs w:val="21"/>
              </w:rPr>
            </w:pPr>
            <w:r>
              <w:rPr>
                <w:rFonts w:ascii="宋体" w:hAnsi="宋体"/>
                <w:szCs w:val="21"/>
              </w:rPr>
              <w:t>供电电源</w:t>
            </w:r>
          </w:p>
        </w:tc>
        <w:tc>
          <w:tcPr>
            <w:tcW w:w="6657" w:type="dxa"/>
            <w:gridSpan w:val="2"/>
            <w:vAlign w:val="center"/>
          </w:tcPr>
          <w:p>
            <w:pPr>
              <w:spacing w:line="360" w:lineRule="auto"/>
              <w:rPr>
                <w:rFonts w:ascii="宋体" w:hAnsi="宋体"/>
                <w:szCs w:val="21"/>
              </w:rPr>
            </w:pPr>
            <w:r>
              <w:rPr>
                <w:rFonts w:ascii="宋体" w:hAnsi="宋体" w:hint="eastAsia"/>
                <w:szCs w:val="21"/>
              </w:rPr>
              <w:t>DC 36 V/20 Ah</w:t>
            </w:r>
          </w:p>
        </w:tc>
      </w:tr>
      <w:tr>
        <w:tblPrEx>
          <w:tblW w:w="0" w:type="auto"/>
          <w:jc w:val="center"/>
          <w:tblCellMar>
            <w:top w:w="0" w:type="dxa"/>
            <w:left w:w="108" w:type="dxa"/>
            <w:bottom w:w="0" w:type="dxa"/>
            <w:right w:w="108" w:type="dxa"/>
          </w:tblCellMar>
        </w:tblPrEx>
        <w:trPr>
          <w:jc w:val="center"/>
        </w:trPr>
        <w:tc>
          <w:tcPr>
            <w:tcW w:w="2405" w:type="dxa"/>
            <w:vAlign w:val="center"/>
          </w:tcPr>
          <w:p>
            <w:pPr>
              <w:spacing w:line="360" w:lineRule="auto"/>
              <w:rPr>
                <w:rFonts w:ascii="宋体" w:hAnsi="宋体"/>
                <w:szCs w:val="21"/>
              </w:rPr>
            </w:pPr>
            <w:r>
              <w:rPr>
                <w:rFonts w:ascii="宋体" w:hAnsi="宋体"/>
                <w:szCs w:val="21"/>
              </w:rPr>
              <w:t>使用寿命</w:t>
            </w:r>
          </w:p>
        </w:tc>
        <w:tc>
          <w:tcPr>
            <w:tcW w:w="6657" w:type="dxa"/>
            <w:gridSpan w:val="2"/>
            <w:vAlign w:val="center"/>
          </w:tcPr>
          <w:p>
            <w:pPr>
              <w:spacing w:line="360" w:lineRule="auto"/>
              <w:rPr>
                <w:rFonts w:ascii="宋体" w:hAnsi="宋体"/>
                <w:szCs w:val="21"/>
              </w:rPr>
            </w:pPr>
            <w:r>
              <w:rPr>
                <w:rFonts w:ascii="宋体" w:hAnsi="宋体"/>
                <w:szCs w:val="21"/>
              </w:rPr>
              <w:t>8 年</w:t>
            </w:r>
          </w:p>
        </w:tc>
      </w:tr>
    </w:tbl>
    <w:p>
      <w:pPr>
        <w:spacing w:line="360" w:lineRule="auto"/>
        <w:outlineLvl w:val="2"/>
        <w:rPr>
          <w:rFonts w:ascii="宋体" w:hAnsi="宋体"/>
          <w:b/>
          <w:bCs/>
          <w:szCs w:val="21"/>
        </w:rPr>
      </w:pPr>
      <w:r>
        <w:rPr>
          <w:rFonts w:ascii="宋体" w:hAnsi="宋体" w:hint="eastAsia"/>
          <w:b/>
          <w:bCs/>
          <w:szCs w:val="21"/>
        </w:rPr>
        <w:t>3.3无人机作业单元（数量2套）</w:t>
      </w:r>
    </w:p>
    <w:p>
      <w:pPr>
        <w:pStyle w:val="p2"/>
        <w:widowControl/>
        <w:spacing w:line="360" w:lineRule="auto"/>
        <w:rPr>
          <w:rFonts w:ascii="宋体" w:eastAsia="宋体" w:hAnsi="宋体" w:hint="default"/>
          <w:color w:val="auto"/>
        </w:rPr>
      </w:pPr>
      <w:r>
        <w:rPr>
          <w:rFonts w:ascii="宋体" w:eastAsia="宋体" w:hAnsi="宋体"/>
          <w:b/>
          <w:bCs/>
          <w:color w:val="auto"/>
        </w:rPr>
        <w:t>3.3.1功能要求</w:t>
      </w:r>
      <w:bookmarkStart w:id="88" w:name="OLE_LINK11"/>
      <w:bookmarkStart w:id="89" w:name="OLE_LINK14"/>
      <w:r>
        <w:rPr>
          <w:rFonts w:ascii="宋体" w:eastAsia="宋体" w:hAnsi="宋体"/>
          <w:b/>
          <w:bCs/>
          <w:color w:val="auto"/>
        </w:rPr>
        <w:t>（第一套技术要求）</w:t>
      </w:r>
      <w:bookmarkEnd w:id="88"/>
    </w:p>
    <w:bookmarkEnd w:id="89"/>
    <w:p>
      <w:pPr>
        <w:pStyle w:val="p2"/>
        <w:widowControl/>
        <w:spacing w:line="360" w:lineRule="auto"/>
        <w:rPr>
          <w:rFonts w:ascii="宋体" w:eastAsia="宋体" w:hAnsi="宋体" w:hint="default"/>
          <w:color w:val="auto"/>
        </w:rPr>
      </w:pPr>
      <w:bookmarkStart w:id="90" w:name="_Toc29500"/>
      <w:r>
        <w:rPr>
          <w:rFonts w:ascii="宋体" w:eastAsia="宋体" w:hAnsi="宋体"/>
          <w:b/>
          <w:bCs/>
          <w:color w:val="auto"/>
        </w:rPr>
        <w:t>3.3.1.1总体功能要求</w:t>
      </w:r>
    </w:p>
    <w:p>
      <w:pPr>
        <w:pStyle w:val="p2"/>
        <w:widowControl/>
        <w:spacing w:line="360" w:lineRule="auto"/>
        <w:rPr>
          <w:rFonts w:ascii="宋体" w:eastAsia="宋体" w:hAnsi="宋体" w:hint="default"/>
          <w:color w:val="auto"/>
        </w:rPr>
      </w:pPr>
      <w:r>
        <w:rPr>
          <w:rFonts w:ascii="宋体" w:eastAsia="宋体" w:hAnsi="宋体"/>
          <w:color w:val="auto"/>
        </w:rPr>
        <w:t>（1）具备挂载云粒子谱探测仪、机载云水含量探测器、焰条播撒器的能力。</w:t>
      </w:r>
    </w:p>
    <w:p>
      <w:pPr>
        <w:pStyle w:val="p2"/>
        <w:widowControl/>
        <w:spacing w:line="360" w:lineRule="auto"/>
        <w:rPr>
          <w:rFonts w:ascii="宋体" w:eastAsia="宋体" w:hAnsi="宋体" w:hint="default"/>
          <w:color w:val="auto"/>
        </w:rPr>
      </w:pPr>
      <w:r>
        <w:rPr>
          <w:rFonts w:ascii="宋体" w:eastAsia="宋体" w:hAnsi="宋体"/>
          <w:color w:val="auto"/>
        </w:rPr>
        <w:t>（2）具备机翼前缘电加热防除冰能力。</w:t>
      </w:r>
    </w:p>
    <w:p>
      <w:pPr>
        <w:pStyle w:val="p2"/>
        <w:widowControl/>
        <w:spacing w:line="360" w:lineRule="auto"/>
        <w:rPr>
          <w:rFonts w:ascii="宋体" w:eastAsia="宋体" w:hAnsi="宋体" w:hint="default"/>
          <w:color w:val="auto"/>
        </w:rPr>
      </w:pPr>
      <w:r>
        <w:rPr>
          <w:rFonts w:ascii="宋体" w:eastAsia="宋体" w:hAnsi="宋体"/>
          <w:color w:val="auto"/>
        </w:rPr>
        <w:t>（3）具备任务载荷的实时数据传输和显控能力。</w:t>
      </w:r>
    </w:p>
    <w:p>
      <w:pPr>
        <w:pStyle w:val="p2"/>
        <w:widowControl/>
        <w:spacing w:line="360" w:lineRule="auto"/>
        <w:rPr>
          <w:rFonts w:ascii="宋体" w:eastAsia="宋体" w:hAnsi="宋体" w:hint="default"/>
          <w:color w:val="auto"/>
        </w:rPr>
      </w:pPr>
      <w:r>
        <w:rPr>
          <w:rFonts w:ascii="宋体" w:eastAsia="宋体" w:hAnsi="宋体"/>
          <w:color w:val="auto"/>
        </w:rPr>
        <w:t>（4）具备C、U或L波段的视距链路通讯能力。</w:t>
      </w:r>
    </w:p>
    <w:p>
      <w:pPr>
        <w:pStyle w:val="p2"/>
        <w:widowControl/>
        <w:spacing w:line="360" w:lineRule="auto"/>
        <w:rPr>
          <w:rFonts w:ascii="宋体" w:eastAsia="宋体" w:hAnsi="宋体" w:hint="default"/>
          <w:color w:val="auto"/>
        </w:rPr>
      </w:pPr>
      <w:r>
        <w:rPr>
          <w:rFonts w:ascii="宋体" w:eastAsia="宋体" w:hAnsi="宋体"/>
          <w:color w:val="auto"/>
        </w:rPr>
        <w:t>（5）具备GPS/BDS卫星定位能力。</w:t>
      </w:r>
    </w:p>
    <w:p>
      <w:pPr>
        <w:pStyle w:val="p2"/>
        <w:widowControl/>
        <w:spacing w:line="360" w:lineRule="auto"/>
        <w:rPr>
          <w:rFonts w:ascii="宋体" w:eastAsia="宋体" w:hAnsi="宋体" w:hint="default"/>
          <w:color w:val="auto"/>
        </w:rPr>
      </w:pPr>
      <w:r>
        <w:rPr>
          <w:rFonts w:ascii="宋体" w:eastAsia="宋体" w:hAnsi="宋体"/>
          <w:color w:val="auto"/>
        </w:rPr>
        <w:t>（6）具备航管应答和ADS-B能力。</w:t>
      </w:r>
    </w:p>
    <w:p>
      <w:pPr>
        <w:pStyle w:val="p2"/>
        <w:widowControl/>
        <w:spacing w:line="360" w:lineRule="auto"/>
        <w:rPr>
          <w:rFonts w:ascii="宋体" w:eastAsia="宋体" w:hAnsi="宋体" w:hint="default"/>
          <w:color w:val="auto"/>
          <w:highlight w:val="yellow"/>
        </w:rPr>
      </w:pPr>
      <w:r>
        <w:rPr>
          <w:rFonts w:ascii="宋体" w:eastAsia="宋体" w:hAnsi="宋体"/>
          <w:color w:val="auto"/>
          <w:highlight w:val="yellow"/>
        </w:rPr>
        <w:t>*（7）质保期≥2年，提供不少于2名飞手的培训，及不少于5年的易损和耗材。</w:t>
      </w:r>
    </w:p>
    <w:p>
      <w:pPr>
        <w:pStyle w:val="p2"/>
        <w:widowControl/>
        <w:spacing w:line="360" w:lineRule="auto"/>
        <w:rPr>
          <w:rFonts w:ascii="宋体" w:eastAsia="宋体" w:hAnsi="宋体" w:hint="default"/>
          <w:color w:val="auto"/>
          <w:highlight w:val="yellow"/>
        </w:rPr>
      </w:pPr>
      <w:r>
        <w:rPr>
          <w:rFonts w:ascii="宋体" w:eastAsia="宋体" w:hAnsi="宋体"/>
          <w:color w:val="auto"/>
          <w:highlight w:val="yellow"/>
        </w:rPr>
        <w:t>*（8）无人机运维服务:</w:t>
      </w:r>
    </w:p>
    <w:p>
      <w:pPr>
        <w:pStyle w:val="p2"/>
        <w:widowControl/>
        <w:spacing w:line="360" w:lineRule="auto"/>
        <w:ind w:firstLine="420" w:firstLineChars="200"/>
        <w:rPr>
          <w:rFonts w:ascii="宋体" w:eastAsia="宋体" w:hAnsi="宋体" w:hint="default"/>
          <w:color w:val="auto"/>
          <w:highlight w:val="yellow"/>
        </w:rPr>
      </w:pPr>
      <w:r>
        <w:rPr>
          <w:rFonts w:ascii="宋体" w:eastAsia="宋体" w:hAnsi="宋体"/>
          <w:color w:val="auto"/>
          <w:highlight w:val="yellow"/>
        </w:rPr>
        <w:t>为期2年的飞行服务(含人员、机场、空域、燃油费用，每年按服务4个月120小时计算）、保险(飞机及载荷的机损险、三者险) 等全部费用。</w:t>
      </w:r>
    </w:p>
    <w:p>
      <w:pPr>
        <w:pStyle w:val="p2"/>
        <w:widowControl/>
        <w:spacing w:line="360" w:lineRule="auto"/>
        <w:rPr>
          <w:rFonts w:ascii="宋体" w:eastAsia="宋体" w:hAnsi="宋体" w:hint="default"/>
          <w:color w:val="auto"/>
          <w:highlight w:val="yellow"/>
        </w:rPr>
      </w:pPr>
      <w:r>
        <w:rPr>
          <w:rFonts w:ascii="宋体" w:eastAsia="宋体" w:hAnsi="宋体"/>
          <w:color w:val="auto"/>
          <w:highlight w:val="yellow"/>
        </w:rPr>
        <w:t>*（9）具备机载卫通设备，任务载荷带宽不小于2Mbps并包含2年期机载卫通设备的高通量流量无限量使用。</w:t>
      </w:r>
    </w:p>
    <w:p>
      <w:pPr>
        <w:pStyle w:val="p2"/>
        <w:widowControl/>
        <w:numPr>
          <w:ilvl w:val="0"/>
          <w:numId w:val="13"/>
        </w:numPr>
        <w:spacing w:line="360" w:lineRule="auto"/>
        <w:rPr>
          <w:rFonts w:ascii="宋体" w:eastAsia="宋体" w:hAnsi="宋体" w:hint="default"/>
          <w:color w:val="auto"/>
        </w:rPr>
      </w:pPr>
      <w:r>
        <w:rPr>
          <w:rFonts w:ascii="宋体" w:eastAsia="宋体" w:hAnsi="宋体"/>
          <w:color w:val="auto"/>
        </w:rPr>
        <w:t>燃油类型为汽油或柴油。</w:t>
      </w:r>
    </w:p>
    <w:p>
      <w:pPr>
        <w:pStyle w:val="p2"/>
        <w:widowControl/>
        <w:spacing w:line="360" w:lineRule="auto"/>
        <w:rPr>
          <w:rFonts w:ascii="宋体" w:eastAsia="宋体" w:hAnsi="宋体" w:hint="default"/>
          <w:color w:val="auto"/>
        </w:rPr>
      </w:pPr>
      <w:r>
        <w:rPr>
          <w:rFonts w:ascii="宋体" w:eastAsia="宋体" w:hAnsi="宋体"/>
          <w:b/>
          <w:bCs/>
          <w:color w:val="auto"/>
        </w:rPr>
        <w:t>3.3.1.2运行要求</w:t>
      </w:r>
    </w:p>
    <w:p>
      <w:pPr>
        <w:pStyle w:val="p2"/>
        <w:widowControl/>
        <w:spacing w:line="360" w:lineRule="auto"/>
        <w:rPr>
          <w:rFonts w:ascii="宋体" w:eastAsia="宋体" w:hAnsi="宋体" w:hint="default"/>
          <w:color w:val="auto"/>
        </w:rPr>
      </w:pPr>
      <w:r>
        <w:rPr>
          <w:rFonts w:ascii="宋体" w:eastAsia="宋体" w:hAnsi="宋体"/>
          <w:color w:val="auto"/>
        </w:rPr>
        <w:t>（1）适航</w:t>
      </w:r>
    </w:p>
    <w:p>
      <w:pPr>
        <w:pStyle w:val="p2"/>
        <w:widowControl/>
        <w:spacing w:line="360" w:lineRule="auto"/>
        <w:rPr>
          <w:rFonts w:ascii="宋体" w:eastAsia="宋体" w:hAnsi="宋体" w:hint="default"/>
          <w:color w:val="auto"/>
        </w:rPr>
      </w:pPr>
      <w:r>
        <w:rPr>
          <w:rFonts w:ascii="宋体" w:eastAsia="宋体" w:hAnsi="宋体"/>
          <w:color w:val="auto"/>
        </w:rPr>
        <w:t>应通过中国民用航空主管部门进行的适航性检查，处于适航状态。</w:t>
      </w:r>
    </w:p>
    <w:p>
      <w:pPr>
        <w:pStyle w:val="p2"/>
        <w:widowControl/>
        <w:spacing w:line="360" w:lineRule="auto"/>
        <w:rPr>
          <w:rFonts w:ascii="宋体" w:eastAsia="宋体" w:hAnsi="宋体" w:hint="default"/>
          <w:color w:val="auto"/>
        </w:rPr>
      </w:pPr>
      <w:bookmarkStart w:id="91" w:name="OLE_LINK56"/>
      <w:r>
        <w:rPr>
          <w:rFonts w:ascii="宋体" w:eastAsia="宋体" w:hAnsi="宋体"/>
          <w:color w:val="auto"/>
        </w:rPr>
        <w:t>▲</w:t>
      </w:r>
      <w:bookmarkEnd w:id="91"/>
      <w:r>
        <w:rPr>
          <w:rFonts w:ascii="宋体" w:eastAsia="宋体" w:hAnsi="宋体"/>
          <w:color w:val="auto"/>
        </w:rPr>
        <w:t>提供适航取证承诺函。</w:t>
      </w:r>
    </w:p>
    <w:p>
      <w:pPr>
        <w:pStyle w:val="p2"/>
        <w:widowControl/>
        <w:spacing w:line="360" w:lineRule="auto"/>
        <w:rPr>
          <w:rFonts w:ascii="宋体" w:eastAsia="宋体" w:hAnsi="宋体" w:hint="default"/>
          <w:color w:val="auto"/>
        </w:rPr>
      </w:pPr>
      <w:r>
        <w:rPr>
          <w:rFonts w:ascii="宋体" w:eastAsia="宋体" w:hAnsi="宋体"/>
          <w:color w:val="auto"/>
        </w:rPr>
        <w:t>（2）最大载重能力</w:t>
      </w:r>
    </w:p>
    <w:p>
      <w:pPr>
        <w:pStyle w:val="p2"/>
        <w:widowControl/>
        <w:spacing w:line="360" w:lineRule="auto"/>
        <w:rPr>
          <w:rFonts w:ascii="宋体" w:eastAsia="宋体" w:hAnsi="宋体" w:hint="default"/>
          <w:color w:val="auto"/>
        </w:rPr>
      </w:pPr>
      <w:r>
        <w:rPr>
          <w:rFonts w:ascii="宋体" w:eastAsia="宋体" w:hAnsi="宋体"/>
          <w:color w:val="auto"/>
        </w:rPr>
        <w:t>不小于200kg（满油（电））。</w:t>
      </w:r>
    </w:p>
    <w:p>
      <w:pPr>
        <w:pStyle w:val="p2"/>
        <w:widowControl/>
        <w:spacing w:line="360" w:lineRule="auto"/>
        <w:rPr>
          <w:rFonts w:ascii="宋体" w:eastAsia="宋体" w:hAnsi="宋体" w:hint="default"/>
          <w:color w:val="auto"/>
        </w:rPr>
      </w:pPr>
      <w:r>
        <w:rPr>
          <w:rFonts w:ascii="宋体" w:eastAsia="宋体" w:hAnsi="宋体"/>
          <w:color w:val="auto"/>
        </w:rPr>
        <w:t>▲提供具有CMA或CNAS资质的第三方检测机构出具的该机型的测试报告。</w:t>
      </w:r>
    </w:p>
    <w:p>
      <w:pPr>
        <w:pStyle w:val="p2"/>
        <w:widowControl/>
        <w:spacing w:line="360" w:lineRule="auto"/>
        <w:rPr>
          <w:rFonts w:ascii="宋体" w:eastAsia="宋体" w:hAnsi="宋体" w:hint="default"/>
          <w:color w:val="auto"/>
        </w:rPr>
      </w:pPr>
      <w:r>
        <w:rPr>
          <w:rFonts w:ascii="宋体" w:eastAsia="宋体" w:hAnsi="宋体"/>
          <w:color w:val="auto"/>
        </w:rPr>
        <w:t>（3）最大续航时间</w:t>
      </w:r>
    </w:p>
    <w:p>
      <w:pPr>
        <w:pStyle w:val="p2"/>
        <w:widowControl/>
        <w:spacing w:line="360" w:lineRule="auto"/>
        <w:rPr>
          <w:rFonts w:ascii="宋体" w:eastAsia="宋体" w:hAnsi="宋体" w:hint="default"/>
          <w:color w:val="auto"/>
        </w:rPr>
      </w:pPr>
      <w:r>
        <w:rPr>
          <w:rFonts w:ascii="宋体" w:eastAsia="宋体" w:hAnsi="宋体"/>
          <w:color w:val="auto"/>
        </w:rPr>
        <w:t>不小于24h（满油（电））。</w:t>
      </w:r>
    </w:p>
    <w:p>
      <w:pPr>
        <w:pStyle w:val="p2"/>
        <w:widowControl/>
        <w:spacing w:line="360" w:lineRule="auto"/>
        <w:rPr>
          <w:rFonts w:ascii="宋体" w:eastAsia="宋体" w:hAnsi="宋体" w:hint="default"/>
          <w:color w:val="auto"/>
        </w:rPr>
      </w:pPr>
      <w:r>
        <w:rPr>
          <w:rFonts w:ascii="宋体" w:eastAsia="宋体" w:hAnsi="宋体"/>
          <w:color w:val="auto"/>
        </w:rPr>
        <w:t>▲提供具有CMA或CNAS资质的第三方检测机构出具的该机型的测试报告。</w:t>
      </w:r>
    </w:p>
    <w:p>
      <w:pPr>
        <w:pStyle w:val="p2"/>
        <w:widowControl/>
        <w:spacing w:line="360" w:lineRule="auto"/>
        <w:rPr>
          <w:rFonts w:ascii="宋体" w:eastAsia="宋体" w:hAnsi="宋体" w:hint="default"/>
          <w:color w:val="auto"/>
        </w:rPr>
      </w:pPr>
      <w:r>
        <w:rPr>
          <w:rFonts w:ascii="宋体" w:eastAsia="宋体" w:hAnsi="宋体"/>
          <w:color w:val="auto"/>
        </w:rPr>
        <w:t>（4）最大飞行速度</w:t>
      </w:r>
    </w:p>
    <w:p>
      <w:pPr>
        <w:pStyle w:val="p2"/>
        <w:widowControl/>
        <w:spacing w:line="360" w:lineRule="auto"/>
        <w:rPr>
          <w:rFonts w:ascii="宋体" w:eastAsia="宋体" w:hAnsi="宋体" w:hint="default"/>
          <w:color w:val="auto"/>
        </w:rPr>
      </w:pPr>
      <w:r>
        <w:rPr>
          <w:rFonts w:ascii="宋体" w:eastAsia="宋体" w:hAnsi="宋体"/>
          <w:color w:val="auto"/>
        </w:rPr>
        <w:t>不小于220km/h（满油（电））。</w:t>
      </w:r>
    </w:p>
    <w:p>
      <w:pPr>
        <w:pStyle w:val="p2"/>
        <w:widowControl/>
        <w:spacing w:line="360" w:lineRule="auto"/>
        <w:rPr>
          <w:rFonts w:ascii="宋体" w:eastAsia="宋体" w:hAnsi="宋体" w:hint="default"/>
          <w:color w:val="auto"/>
        </w:rPr>
      </w:pPr>
      <w:r>
        <w:rPr>
          <w:rFonts w:ascii="宋体" w:eastAsia="宋体" w:hAnsi="宋体"/>
          <w:color w:val="auto"/>
        </w:rPr>
        <w:t>（5）巡航速度</w:t>
      </w:r>
    </w:p>
    <w:p>
      <w:pPr>
        <w:pStyle w:val="p2"/>
        <w:widowControl/>
        <w:spacing w:line="360" w:lineRule="auto"/>
        <w:rPr>
          <w:rFonts w:ascii="宋体" w:eastAsia="宋体" w:hAnsi="宋体" w:hint="default"/>
          <w:color w:val="auto"/>
        </w:rPr>
      </w:pPr>
      <w:r>
        <w:rPr>
          <w:rFonts w:ascii="宋体" w:eastAsia="宋体" w:hAnsi="宋体"/>
          <w:color w:val="auto"/>
        </w:rPr>
        <w:t>140km/h～180km/h（满油（电））。</w:t>
      </w:r>
    </w:p>
    <w:p>
      <w:pPr>
        <w:pStyle w:val="p2"/>
        <w:widowControl/>
        <w:spacing w:line="360" w:lineRule="auto"/>
        <w:rPr>
          <w:rFonts w:ascii="宋体" w:eastAsia="宋体" w:hAnsi="宋体" w:hint="default"/>
          <w:color w:val="auto"/>
        </w:rPr>
      </w:pPr>
      <w:r>
        <w:rPr>
          <w:rFonts w:ascii="宋体" w:eastAsia="宋体" w:hAnsi="宋体"/>
          <w:color w:val="auto"/>
        </w:rPr>
        <w:t>（6）最大爬升率</w:t>
      </w:r>
    </w:p>
    <w:p>
      <w:pPr>
        <w:pStyle w:val="p2"/>
        <w:widowControl/>
        <w:spacing w:line="360" w:lineRule="auto"/>
        <w:rPr>
          <w:rFonts w:ascii="宋体" w:eastAsia="宋体" w:hAnsi="宋体" w:hint="default"/>
          <w:color w:val="auto"/>
        </w:rPr>
      </w:pPr>
      <w:r>
        <w:rPr>
          <w:rFonts w:ascii="宋体" w:eastAsia="宋体" w:hAnsi="宋体"/>
          <w:color w:val="auto"/>
        </w:rPr>
        <w:t>不小于2.5m/s（满油（电））。</w:t>
      </w:r>
    </w:p>
    <w:p>
      <w:pPr>
        <w:pStyle w:val="p2"/>
        <w:widowControl/>
        <w:spacing w:line="360" w:lineRule="auto"/>
        <w:rPr>
          <w:rFonts w:ascii="宋体" w:eastAsia="宋体" w:hAnsi="宋体" w:hint="default"/>
          <w:color w:val="auto"/>
        </w:rPr>
      </w:pPr>
      <w:r>
        <w:rPr>
          <w:rFonts w:ascii="宋体" w:eastAsia="宋体" w:hAnsi="宋体"/>
          <w:color w:val="auto"/>
        </w:rPr>
        <w:t>（7）最大升限</w:t>
      </w:r>
    </w:p>
    <w:p>
      <w:pPr>
        <w:pStyle w:val="p2"/>
        <w:widowControl/>
        <w:spacing w:line="360" w:lineRule="auto"/>
        <w:rPr>
          <w:rFonts w:ascii="宋体" w:eastAsia="宋体" w:hAnsi="宋体" w:hint="default"/>
          <w:color w:val="auto"/>
        </w:rPr>
      </w:pPr>
      <w:bookmarkStart w:id="92" w:name="OLE_LINK7"/>
      <w:r>
        <w:rPr>
          <w:rFonts w:ascii="宋体" w:eastAsia="宋体" w:hAnsi="宋体"/>
          <w:color w:val="auto"/>
        </w:rPr>
        <w:t>高原型不小于8000m（满油（电）满载）。</w:t>
      </w:r>
      <w:bookmarkEnd w:id="92"/>
    </w:p>
    <w:p>
      <w:pPr>
        <w:pStyle w:val="p2"/>
        <w:widowControl/>
        <w:spacing w:line="360" w:lineRule="auto"/>
        <w:rPr>
          <w:rFonts w:ascii="宋体" w:eastAsia="宋体" w:hAnsi="宋体" w:hint="default"/>
          <w:color w:val="auto"/>
        </w:rPr>
      </w:pPr>
      <w:r>
        <w:rPr>
          <w:rFonts w:ascii="宋体" w:eastAsia="宋体" w:hAnsi="宋体"/>
          <w:color w:val="auto"/>
        </w:rPr>
        <w:t>▲提供具有CMA或CNAS资质的第三方检测机构出具的该机型的测试报告。</w:t>
      </w:r>
    </w:p>
    <w:p>
      <w:pPr>
        <w:pStyle w:val="p2"/>
        <w:widowControl/>
        <w:spacing w:line="360" w:lineRule="auto"/>
        <w:rPr>
          <w:rFonts w:ascii="宋体" w:eastAsia="宋体" w:hAnsi="宋体" w:hint="default"/>
          <w:color w:val="auto"/>
        </w:rPr>
      </w:pPr>
      <w:r>
        <w:rPr>
          <w:rFonts w:ascii="宋体" w:eastAsia="宋体" w:hAnsi="宋体"/>
          <w:color w:val="auto"/>
        </w:rPr>
        <w:t>（8）最大起飞海拔</w:t>
      </w:r>
    </w:p>
    <w:p>
      <w:pPr>
        <w:pStyle w:val="p2"/>
        <w:widowControl/>
        <w:spacing w:line="360" w:lineRule="auto"/>
        <w:rPr>
          <w:rFonts w:ascii="宋体" w:eastAsia="宋体" w:hAnsi="宋体" w:hint="default"/>
          <w:color w:val="auto"/>
        </w:rPr>
      </w:pPr>
      <w:bookmarkStart w:id="93" w:name="OLE_LINK8"/>
      <w:r>
        <w:rPr>
          <w:rFonts w:ascii="宋体" w:eastAsia="宋体" w:hAnsi="宋体"/>
          <w:color w:val="auto"/>
        </w:rPr>
        <w:t>高原型不小于4000m（满油（电）满载）</w:t>
      </w:r>
      <w:bookmarkEnd w:id="93"/>
      <w:r>
        <w:rPr>
          <w:rFonts w:ascii="宋体" w:eastAsia="宋体" w:hAnsi="宋体"/>
          <w:color w:val="auto"/>
        </w:rPr>
        <w:t>。</w:t>
      </w:r>
    </w:p>
    <w:p>
      <w:pPr>
        <w:pStyle w:val="p2"/>
        <w:widowControl/>
        <w:spacing w:line="360" w:lineRule="auto"/>
        <w:rPr>
          <w:rFonts w:ascii="宋体" w:eastAsia="宋体" w:hAnsi="宋体" w:hint="default"/>
          <w:color w:val="auto"/>
        </w:rPr>
      </w:pPr>
      <w:r>
        <w:rPr>
          <w:rFonts w:ascii="宋体" w:eastAsia="宋体" w:hAnsi="宋体"/>
          <w:color w:val="auto"/>
        </w:rPr>
        <w:t>▲提供具有CMA或CNAS资质的第三方检测机构出具的该机型的测试报告。</w:t>
      </w:r>
    </w:p>
    <w:p>
      <w:pPr>
        <w:pStyle w:val="p2"/>
        <w:widowControl/>
        <w:spacing w:line="360" w:lineRule="auto"/>
        <w:rPr>
          <w:rFonts w:ascii="宋体" w:eastAsia="宋体" w:hAnsi="宋体" w:hint="default"/>
          <w:color w:val="auto"/>
        </w:rPr>
      </w:pPr>
      <w:r>
        <w:rPr>
          <w:rFonts w:ascii="宋体" w:eastAsia="宋体" w:hAnsi="宋体"/>
          <w:color w:val="auto"/>
        </w:rPr>
        <w:t>（9）可用挂点</w:t>
      </w:r>
    </w:p>
    <w:p>
      <w:pPr>
        <w:pStyle w:val="p2"/>
        <w:widowControl/>
        <w:spacing w:line="360" w:lineRule="auto"/>
        <w:rPr>
          <w:rFonts w:ascii="宋体" w:eastAsia="宋体" w:hAnsi="宋体" w:hint="default"/>
          <w:color w:val="auto"/>
        </w:rPr>
      </w:pPr>
      <w:r>
        <w:rPr>
          <w:rFonts w:ascii="宋体" w:eastAsia="宋体" w:hAnsi="宋体"/>
          <w:color w:val="auto"/>
        </w:rPr>
        <w:t>不少于5个。</w:t>
      </w:r>
    </w:p>
    <w:p>
      <w:pPr>
        <w:pStyle w:val="p2"/>
        <w:widowControl/>
        <w:spacing w:line="360" w:lineRule="auto"/>
        <w:rPr>
          <w:rFonts w:ascii="宋体" w:eastAsia="宋体" w:hAnsi="宋体" w:hint="default"/>
          <w:color w:val="auto"/>
        </w:rPr>
      </w:pPr>
      <w:r>
        <w:rPr>
          <w:rFonts w:ascii="宋体" w:eastAsia="宋体" w:hAnsi="宋体"/>
          <w:color w:val="auto"/>
        </w:rPr>
        <w:t>（10）额外供电能力</w:t>
      </w:r>
    </w:p>
    <w:p>
      <w:pPr>
        <w:pStyle w:val="p2"/>
        <w:widowControl/>
        <w:spacing w:line="360" w:lineRule="auto"/>
        <w:rPr>
          <w:rFonts w:ascii="宋体" w:eastAsia="宋体" w:hAnsi="宋体" w:hint="default"/>
          <w:color w:val="auto"/>
        </w:rPr>
      </w:pPr>
      <w:r>
        <w:rPr>
          <w:rFonts w:ascii="宋体" w:eastAsia="宋体" w:hAnsi="宋体"/>
          <w:color w:val="auto"/>
        </w:rPr>
        <w:t>不小于2kW。</w:t>
      </w:r>
    </w:p>
    <w:p>
      <w:pPr>
        <w:pStyle w:val="p2"/>
        <w:widowControl/>
        <w:spacing w:line="360" w:lineRule="auto"/>
        <w:rPr>
          <w:rFonts w:ascii="宋体" w:eastAsia="宋体" w:hAnsi="宋体" w:hint="default"/>
          <w:color w:val="auto"/>
        </w:rPr>
      </w:pPr>
      <w:r>
        <w:rPr>
          <w:rFonts w:ascii="宋体" w:eastAsia="宋体" w:hAnsi="宋体"/>
          <w:color w:val="auto"/>
        </w:rPr>
        <w:t>（11）抗风等级</w:t>
      </w:r>
    </w:p>
    <w:p>
      <w:pPr>
        <w:pStyle w:val="p2"/>
        <w:widowControl/>
        <w:spacing w:line="360" w:lineRule="auto"/>
        <w:rPr>
          <w:rFonts w:ascii="宋体" w:eastAsia="宋体" w:hAnsi="宋体" w:hint="default"/>
          <w:color w:val="auto"/>
        </w:rPr>
      </w:pPr>
      <w:r>
        <w:rPr>
          <w:rFonts w:ascii="宋体" w:eastAsia="宋体" w:hAnsi="宋体"/>
          <w:color w:val="auto"/>
        </w:rPr>
        <w:t>满油（电）满载状态下，可抗空中大于15 m/s连续风、可在阵风小于等于8m/s正侧风下起降。</w:t>
      </w:r>
    </w:p>
    <w:p>
      <w:pPr>
        <w:pStyle w:val="p2"/>
        <w:widowControl/>
        <w:spacing w:line="360" w:lineRule="auto"/>
        <w:rPr>
          <w:rFonts w:ascii="宋体" w:eastAsia="宋体" w:hAnsi="宋体" w:hint="default"/>
          <w:color w:val="auto"/>
        </w:rPr>
      </w:pPr>
      <w:r>
        <w:rPr>
          <w:rFonts w:ascii="宋体" w:eastAsia="宋体" w:hAnsi="宋体"/>
          <w:color w:val="auto"/>
        </w:rPr>
        <w:t>▲提供具有CMA或CNAS资质的第三方检测机构出具的该机型的测试报告。</w:t>
      </w:r>
    </w:p>
    <w:p>
      <w:pPr>
        <w:pStyle w:val="p2"/>
        <w:widowControl/>
        <w:numPr>
          <w:ilvl w:val="0"/>
          <w:numId w:val="14"/>
        </w:numPr>
        <w:spacing w:line="360" w:lineRule="auto"/>
        <w:rPr>
          <w:rFonts w:ascii="宋体" w:eastAsia="宋体" w:hAnsi="宋体" w:hint="default"/>
          <w:color w:val="auto"/>
        </w:rPr>
      </w:pPr>
      <w:r>
        <w:rPr>
          <w:rFonts w:ascii="宋体" w:eastAsia="宋体" w:hAnsi="宋体"/>
          <w:color w:val="auto"/>
        </w:rPr>
        <w:t>机载卫通</w:t>
      </w:r>
    </w:p>
    <w:p>
      <w:pPr>
        <w:pStyle w:val="p2"/>
        <w:widowControl/>
        <w:spacing w:line="360" w:lineRule="auto"/>
        <w:rPr>
          <w:rFonts w:ascii="宋体" w:eastAsia="宋体" w:hAnsi="宋体" w:hint="default"/>
          <w:color w:val="auto"/>
        </w:rPr>
      </w:pPr>
      <w:r>
        <w:rPr>
          <w:rFonts w:ascii="宋体" w:eastAsia="宋体" w:hAnsi="宋体" w:hint="default"/>
          <w:color w:val="auto"/>
        </w:rPr>
        <w:t>下行</w:t>
      </w:r>
      <w:r>
        <w:rPr>
          <w:rFonts w:ascii="宋体" w:eastAsia="宋体" w:hAnsi="宋体"/>
          <w:color w:val="auto"/>
        </w:rPr>
        <w:t>速率≥</w:t>
      </w:r>
      <w:r>
        <w:rPr>
          <w:rFonts w:ascii="宋体" w:eastAsia="宋体" w:hAnsi="宋体" w:hint="default"/>
          <w:color w:val="auto"/>
        </w:rPr>
        <w:t>60Mbps</w:t>
      </w:r>
      <w:r>
        <w:rPr>
          <w:rFonts w:ascii="宋体" w:eastAsia="宋体" w:hAnsi="宋体"/>
          <w:color w:val="auto"/>
        </w:rPr>
        <w:t>，</w:t>
      </w:r>
      <w:r>
        <w:rPr>
          <w:rFonts w:ascii="宋体" w:eastAsia="宋体" w:hAnsi="宋体" w:hint="default"/>
          <w:color w:val="auto"/>
        </w:rPr>
        <w:t>上行</w:t>
      </w:r>
      <w:r>
        <w:rPr>
          <w:rFonts w:ascii="宋体" w:eastAsia="宋体" w:hAnsi="宋体"/>
          <w:color w:val="auto"/>
        </w:rPr>
        <w:t>速率≥6</w:t>
      </w:r>
      <w:r>
        <w:rPr>
          <w:rFonts w:ascii="宋体" w:eastAsia="宋体" w:hAnsi="宋体" w:hint="default"/>
          <w:color w:val="auto"/>
        </w:rPr>
        <w:t>Mbps</w:t>
      </w:r>
      <w:r>
        <w:rPr>
          <w:rFonts w:ascii="宋体" w:eastAsia="宋体" w:hAnsi="宋体"/>
          <w:color w:val="auto"/>
        </w:rPr>
        <w:t>。</w:t>
      </w:r>
    </w:p>
    <w:p>
      <w:pPr>
        <w:pStyle w:val="p2"/>
        <w:widowControl/>
        <w:spacing w:line="360" w:lineRule="auto"/>
        <w:rPr>
          <w:rFonts w:ascii="宋体" w:eastAsia="宋体" w:hAnsi="宋体" w:hint="default"/>
          <w:color w:val="auto"/>
        </w:rPr>
      </w:pPr>
      <w:r>
        <w:rPr>
          <w:rFonts w:ascii="宋体" w:eastAsia="宋体" w:hAnsi="宋体"/>
          <w:color w:val="auto"/>
        </w:rPr>
        <w:t>▲提供具有CMA或CNAS资质的第三方检测机构出具的该机型的测试报告。</w:t>
      </w:r>
    </w:p>
    <w:p>
      <w:pPr>
        <w:spacing w:line="360" w:lineRule="auto"/>
        <w:rPr>
          <w:rFonts w:ascii="宋体" w:hAnsi="宋体"/>
          <w:b/>
          <w:szCs w:val="21"/>
        </w:rPr>
      </w:pPr>
      <w:r>
        <w:rPr>
          <w:rFonts w:ascii="宋体" w:hAnsi="宋体" w:hint="eastAsia"/>
          <w:b/>
          <w:szCs w:val="21"/>
        </w:rPr>
        <w:t>3.3.1.3环境适应性</w:t>
      </w:r>
      <w:bookmarkEnd w:id="90"/>
    </w:p>
    <w:p>
      <w:pPr>
        <w:spacing w:line="360" w:lineRule="auto"/>
        <w:rPr>
          <w:rFonts w:ascii="宋体" w:hAnsi="宋体"/>
          <w:szCs w:val="21"/>
        </w:rPr>
      </w:pPr>
      <w:r>
        <w:rPr>
          <w:rFonts w:ascii="宋体" w:hAnsi="宋体" w:hint="eastAsia"/>
          <w:szCs w:val="21"/>
        </w:rPr>
        <w:t>（1）</w:t>
      </w:r>
      <w:r>
        <w:rPr>
          <w:rFonts w:ascii="宋体" w:hAnsi="宋体"/>
          <w:szCs w:val="21"/>
        </w:rPr>
        <w:t>工作温度：-</w:t>
      </w:r>
      <w:r>
        <w:rPr>
          <w:rFonts w:ascii="宋体" w:hAnsi="宋体" w:hint="eastAsia"/>
          <w:szCs w:val="21"/>
        </w:rPr>
        <w:t>30</w:t>
      </w:r>
      <w:r>
        <w:rPr>
          <w:rFonts w:ascii="宋体" w:hAnsi="宋体"/>
          <w:szCs w:val="21"/>
        </w:rPr>
        <w:t>～+</w:t>
      </w:r>
      <w:r>
        <w:rPr>
          <w:rFonts w:ascii="宋体" w:hAnsi="宋体" w:hint="eastAsia"/>
          <w:szCs w:val="21"/>
        </w:rPr>
        <w:t>45</w:t>
      </w:r>
      <w:r>
        <w:rPr>
          <w:rFonts w:ascii="宋体" w:hAnsi="宋体"/>
          <w:szCs w:val="21"/>
        </w:rPr>
        <w:t>℃；</w:t>
      </w:r>
    </w:p>
    <w:p>
      <w:pPr>
        <w:spacing w:line="360" w:lineRule="auto"/>
        <w:rPr>
          <w:rFonts w:ascii="宋体" w:hAnsi="宋体"/>
          <w:szCs w:val="21"/>
        </w:rPr>
      </w:pPr>
      <w:r>
        <w:rPr>
          <w:rFonts w:ascii="宋体" w:hAnsi="宋体" w:hint="eastAsia"/>
          <w:szCs w:val="21"/>
        </w:rPr>
        <w:t>（2）</w:t>
      </w:r>
      <w:r>
        <w:rPr>
          <w:rFonts w:ascii="宋体" w:hAnsi="宋体"/>
          <w:szCs w:val="21"/>
        </w:rPr>
        <w:t>贮存温度：-</w:t>
      </w:r>
      <w:r>
        <w:rPr>
          <w:rFonts w:ascii="宋体" w:hAnsi="宋体" w:hint="eastAsia"/>
          <w:szCs w:val="21"/>
        </w:rPr>
        <w:t>40</w:t>
      </w:r>
      <w:r>
        <w:rPr>
          <w:rFonts w:ascii="宋体" w:hAnsi="宋体"/>
          <w:szCs w:val="21"/>
        </w:rPr>
        <w:t>～+</w:t>
      </w:r>
      <w:r>
        <w:rPr>
          <w:rFonts w:ascii="宋体" w:hAnsi="宋体" w:hint="eastAsia"/>
          <w:szCs w:val="21"/>
        </w:rPr>
        <w:t>55</w:t>
      </w:r>
      <w:r>
        <w:rPr>
          <w:rFonts w:ascii="宋体" w:hAnsi="宋体"/>
          <w:szCs w:val="21"/>
        </w:rPr>
        <w:t>℃；</w:t>
      </w:r>
    </w:p>
    <w:p>
      <w:pPr>
        <w:spacing w:line="360" w:lineRule="auto"/>
        <w:rPr>
          <w:rFonts w:ascii="宋体" w:hAnsi="宋体"/>
          <w:szCs w:val="21"/>
        </w:rPr>
      </w:pPr>
      <w:r>
        <w:rPr>
          <w:rFonts w:ascii="宋体" w:hAnsi="宋体" w:hint="eastAsia"/>
          <w:szCs w:val="21"/>
        </w:rPr>
        <w:t>（3）</w:t>
      </w:r>
      <w:r>
        <w:rPr>
          <w:rFonts w:ascii="宋体" w:hAnsi="宋体"/>
          <w:szCs w:val="21"/>
        </w:rPr>
        <w:t>相对湿度：</w:t>
      </w:r>
      <w:r>
        <w:rPr>
          <w:rFonts w:ascii="宋体" w:hAnsi="宋体" w:hint="eastAsia"/>
          <w:szCs w:val="21"/>
        </w:rPr>
        <w:t>1</w:t>
      </w:r>
      <w:r>
        <w:rPr>
          <w:rFonts w:ascii="宋体" w:hAnsi="宋体"/>
          <w:szCs w:val="21"/>
        </w:rPr>
        <w:t>00%条件下持续工作时间＞</w:t>
      </w:r>
      <w:r>
        <w:rPr>
          <w:rFonts w:ascii="宋体" w:hAnsi="宋体" w:hint="eastAsia"/>
          <w:szCs w:val="21"/>
        </w:rPr>
        <w:t>4h</w:t>
      </w:r>
      <w:r>
        <w:rPr>
          <w:rFonts w:ascii="宋体" w:hAnsi="宋体"/>
          <w:szCs w:val="21"/>
        </w:rPr>
        <w:t>；</w:t>
      </w:r>
    </w:p>
    <w:p>
      <w:pPr>
        <w:spacing w:line="360" w:lineRule="auto"/>
        <w:rPr>
          <w:rFonts w:ascii="宋体" w:hAnsi="宋体"/>
          <w:szCs w:val="21"/>
        </w:rPr>
      </w:pPr>
      <w:r>
        <w:rPr>
          <w:rFonts w:ascii="宋体" w:hAnsi="宋体" w:hint="eastAsia"/>
          <w:szCs w:val="21"/>
        </w:rPr>
        <w:t>（4）</w:t>
      </w:r>
      <w:r>
        <w:rPr>
          <w:rFonts w:ascii="宋体" w:hAnsi="宋体"/>
          <w:szCs w:val="21"/>
        </w:rPr>
        <w:t>可在小雨（≤</w:t>
      </w:r>
      <w:r>
        <w:rPr>
          <w:rFonts w:ascii="宋体" w:hAnsi="宋体" w:hint="eastAsia"/>
          <w:szCs w:val="21"/>
        </w:rPr>
        <w:t>2.5</w:t>
      </w:r>
      <w:r>
        <w:rPr>
          <w:rFonts w:ascii="宋体" w:hAnsi="宋体"/>
          <w:szCs w:val="21"/>
        </w:rPr>
        <w:t>mm/h）条件下工作；</w:t>
      </w:r>
    </w:p>
    <w:p>
      <w:pPr>
        <w:spacing w:line="360" w:lineRule="auto"/>
        <w:rPr>
          <w:rFonts w:ascii="宋体" w:hAnsi="宋体"/>
          <w:szCs w:val="21"/>
        </w:rPr>
      </w:pPr>
      <w:r>
        <w:rPr>
          <w:rFonts w:ascii="宋体" w:hAnsi="宋体" w:hint="eastAsia"/>
          <w:szCs w:val="21"/>
        </w:rPr>
        <w:t>（5）</w:t>
      </w:r>
      <w:r>
        <w:rPr>
          <w:rFonts w:ascii="宋体" w:hAnsi="宋体"/>
          <w:szCs w:val="21"/>
        </w:rPr>
        <w:t>具备防腐蚀、霉菌、潮湿、沙尘等措施。</w:t>
      </w:r>
    </w:p>
    <w:p>
      <w:pPr>
        <w:spacing w:line="360" w:lineRule="auto"/>
        <w:rPr>
          <w:rFonts w:ascii="宋体" w:hAnsi="宋体"/>
          <w:b/>
          <w:szCs w:val="21"/>
        </w:rPr>
      </w:pPr>
      <w:bookmarkStart w:id="94" w:name="_Toc24599"/>
      <w:r>
        <w:rPr>
          <w:rFonts w:ascii="宋体" w:hAnsi="宋体" w:hint="eastAsia"/>
          <w:b/>
          <w:szCs w:val="21"/>
        </w:rPr>
        <w:t>3.3.1.4电磁兼容性性</w:t>
      </w:r>
      <w:bookmarkEnd w:id="94"/>
    </w:p>
    <w:p>
      <w:pPr>
        <w:spacing w:line="360" w:lineRule="auto"/>
        <w:rPr>
          <w:rFonts w:ascii="宋体" w:hAnsi="宋体"/>
          <w:szCs w:val="21"/>
        </w:rPr>
      </w:pPr>
      <w:r>
        <w:rPr>
          <w:rFonts w:ascii="宋体" w:hAnsi="宋体" w:hint="eastAsia"/>
          <w:szCs w:val="21"/>
        </w:rPr>
        <w:t>无人机作业单元需按照《民用轻小型无人机系统电磁兼容性要求与试验方法》（GB/T 38909—2020）或同类标准要求，进行规定的发射和抗扰度试验，并达到要求的结果，以确保其在实际工作环境中的电磁兼容性。开展电磁兼容性试验应满足以下试验要求：</w:t>
      </w:r>
    </w:p>
    <w:p>
      <w:pPr>
        <w:spacing w:line="360" w:lineRule="auto"/>
        <w:rPr>
          <w:rFonts w:ascii="宋体" w:hAnsi="宋体"/>
          <w:szCs w:val="21"/>
        </w:rPr>
      </w:pPr>
      <w:r>
        <w:rPr>
          <w:rFonts w:ascii="宋体" w:hAnsi="宋体" w:hint="eastAsia"/>
          <w:szCs w:val="21"/>
        </w:rPr>
        <w:t>（1）对于发射试验,产品应在产生最大发射工作状态下进行测量，应在典型使用和实际安装条件下，改变产品的配置以获得最大发射。</w:t>
      </w:r>
    </w:p>
    <w:p>
      <w:pPr>
        <w:spacing w:line="360" w:lineRule="auto"/>
        <w:rPr>
          <w:rFonts w:ascii="宋体" w:hAnsi="宋体"/>
          <w:szCs w:val="21"/>
        </w:rPr>
      </w:pPr>
      <w:r>
        <w:rPr>
          <w:rFonts w:ascii="宋体" w:hAnsi="宋体" w:hint="eastAsia"/>
          <w:szCs w:val="21"/>
        </w:rPr>
        <w:t>（2）对于抗扰度试验，产品应在符合正常使用的最敏感的工作方式下进行试验，应变动受试设备的布置以获得与典型使用和实际装置一致的最大敏感度；如果产品需要连接辅助设备，那么产品在进行试验时应连接数量最少且有代表性的辅助设备，以便按相关的规定来使用端口。</w:t>
      </w:r>
    </w:p>
    <w:p>
      <w:pPr>
        <w:spacing w:line="360" w:lineRule="auto"/>
        <w:rPr>
          <w:rFonts w:ascii="宋体" w:hAnsi="宋体"/>
          <w:szCs w:val="21"/>
        </w:rPr>
      </w:pPr>
      <w:r>
        <w:rPr>
          <w:rFonts w:ascii="宋体" w:hAnsi="宋体" w:hint="eastAsia"/>
          <w:szCs w:val="21"/>
        </w:rPr>
        <w:t>（3）如果制造商的产品技术规范中对外部保护装置或措施有特别要求，且已在产品使用手册中明确做出规定，则应在具有外部保护装置或措施的情况下进行试验。</w:t>
      </w:r>
    </w:p>
    <w:p>
      <w:pPr>
        <w:spacing w:line="360" w:lineRule="auto"/>
        <w:rPr>
          <w:rFonts w:ascii="宋体" w:hAnsi="宋体"/>
          <w:szCs w:val="21"/>
        </w:rPr>
      </w:pPr>
      <w:r>
        <w:rPr>
          <w:rFonts w:ascii="宋体" w:hAnsi="宋体" w:hint="eastAsia"/>
          <w:szCs w:val="21"/>
        </w:rPr>
        <w:t>（4）试验期间的布置和工况都应准确地记录在试验报告中。若对产品的每项功能未能逐一进行试验时，应选择最关键的工况来试验。</w:t>
      </w:r>
    </w:p>
    <w:p>
      <w:pPr>
        <w:spacing w:line="360" w:lineRule="auto"/>
        <w:rPr>
          <w:rFonts w:ascii="宋体" w:hAnsi="宋体"/>
          <w:szCs w:val="21"/>
        </w:rPr>
      </w:pPr>
      <w:r>
        <w:rPr>
          <w:rFonts w:ascii="宋体" w:hAnsi="宋体" w:hint="eastAsia"/>
          <w:szCs w:val="21"/>
        </w:rPr>
        <w:t>（5）如果产品有许多类似的端口，或许多端口有类似的连接，那么应选择足够数量的端口来模拟实际工作状态，以保证涉及所有不同类型的终端。</w:t>
      </w:r>
    </w:p>
    <w:p>
      <w:pPr>
        <w:spacing w:line="360" w:lineRule="auto"/>
        <w:rPr>
          <w:rFonts w:ascii="宋体" w:hAnsi="宋体"/>
          <w:szCs w:val="21"/>
        </w:rPr>
      </w:pPr>
      <w:r>
        <w:rPr>
          <w:rFonts w:ascii="宋体" w:hAnsi="宋体" w:hint="eastAsia"/>
          <w:szCs w:val="21"/>
        </w:rPr>
        <w:t>（6）在产品规定的温度、湿度和气压范围内，以额定电源电压进行试验，除非基础标准另有规定。</w:t>
      </w:r>
    </w:p>
    <w:p>
      <w:pPr>
        <w:spacing w:line="360" w:lineRule="auto"/>
        <w:rPr>
          <w:rFonts w:ascii="宋体" w:hAnsi="宋体"/>
          <w:b/>
          <w:szCs w:val="21"/>
        </w:rPr>
      </w:pPr>
      <w:bookmarkStart w:id="95" w:name="_Toc29678"/>
      <w:r>
        <w:rPr>
          <w:rFonts w:ascii="宋体" w:hAnsi="宋体" w:hint="eastAsia"/>
          <w:b/>
          <w:szCs w:val="21"/>
        </w:rPr>
        <w:t>3.3.1.5可靠性</w:t>
      </w:r>
      <w:bookmarkEnd w:id="95"/>
    </w:p>
    <w:p>
      <w:pPr>
        <w:spacing w:line="360" w:lineRule="auto"/>
        <w:rPr>
          <w:rFonts w:ascii="宋体" w:hAnsi="宋体"/>
          <w:szCs w:val="21"/>
        </w:rPr>
      </w:pPr>
      <w:r>
        <w:rPr>
          <w:rFonts w:ascii="宋体" w:hAnsi="宋体"/>
          <w:szCs w:val="21"/>
        </w:rPr>
        <w:t>无人机作业单元可靠性要求依据《民用无人机可靠性飞行试验要求与方法》（GB/T 44717—2024）</w:t>
      </w:r>
      <w:r>
        <w:rPr>
          <w:rFonts w:ascii="宋体" w:hAnsi="宋体" w:hint="eastAsia"/>
          <w:szCs w:val="21"/>
        </w:rPr>
        <w:t>或同类标准</w:t>
      </w:r>
      <w:r>
        <w:rPr>
          <w:rFonts w:ascii="宋体" w:hAnsi="宋体"/>
          <w:szCs w:val="21"/>
        </w:rPr>
        <w:t>，结合行业内无人机平台性能进行设计。</w:t>
      </w:r>
    </w:p>
    <w:p>
      <w:pPr>
        <w:spacing w:line="360" w:lineRule="auto"/>
        <w:rPr>
          <w:rFonts w:ascii="宋体" w:hAnsi="宋体"/>
          <w:szCs w:val="21"/>
        </w:rPr>
      </w:pPr>
      <w:r>
        <w:rPr>
          <w:rFonts w:ascii="宋体" w:hAnsi="宋体" w:hint="eastAsia"/>
          <w:szCs w:val="21"/>
        </w:rPr>
        <w:t>（1）</w:t>
      </w:r>
      <w:r>
        <w:rPr>
          <w:rFonts w:ascii="宋体" w:hAnsi="宋体"/>
          <w:szCs w:val="21"/>
        </w:rPr>
        <w:t>可靠性要求包括：</w:t>
      </w:r>
    </w:p>
    <w:p>
      <w:pPr>
        <w:spacing w:line="360" w:lineRule="auto"/>
        <w:rPr>
          <w:rFonts w:ascii="宋体" w:hAnsi="宋体"/>
          <w:szCs w:val="21"/>
        </w:rPr>
      </w:pPr>
      <w:r>
        <w:rPr>
          <w:rFonts w:ascii="宋体" w:hAnsi="宋体"/>
          <w:szCs w:val="21"/>
        </w:rPr>
        <w:t>定量评估；</w:t>
      </w:r>
    </w:p>
    <w:p>
      <w:pPr>
        <w:spacing w:line="360" w:lineRule="auto"/>
        <w:rPr>
          <w:rFonts w:ascii="宋体" w:hAnsi="宋体"/>
          <w:szCs w:val="21"/>
        </w:rPr>
      </w:pPr>
      <w:r>
        <w:rPr>
          <w:rFonts w:ascii="宋体" w:hAnsi="宋体"/>
          <w:szCs w:val="21"/>
        </w:rPr>
        <w:t>定性评价</w:t>
      </w:r>
      <w:r>
        <w:rPr>
          <w:rFonts w:ascii="宋体" w:hAnsi="宋体" w:hint="eastAsia"/>
          <w:szCs w:val="21"/>
        </w:rPr>
        <w:t>；</w:t>
      </w:r>
    </w:p>
    <w:p>
      <w:pPr>
        <w:spacing w:line="360" w:lineRule="auto"/>
        <w:rPr>
          <w:rFonts w:ascii="宋体" w:hAnsi="宋体"/>
          <w:szCs w:val="21"/>
        </w:rPr>
      </w:pPr>
      <w:r>
        <w:rPr>
          <w:rFonts w:ascii="宋体" w:hAnsi="宋体"/>
          <w:szCs w:val="21"/>
        </w:rPr>
        <w:t>可靠性试飞。</w:t>
      </w:r>
    </w:p>
    <w:p>
      <w:pPr>
        <w:spacing w:line="360" w:lineRule="auto"/>
        <w:rPr>
          <w:rFonts w:ascii="宋体" w:hAnsi="宋体"/>
          <w:szCs w:val="21"/>
        </w:rPr>
      </w:pPr>
      <w:r>
        <w:rPr>
          <w:rFonts w:ascii="宋体" w:hAnsi="宋体" w:hint="eastAsia"/>
          <w:szCs w:val="21"/>
        </w:rPr>
        <w:t>（2）</w:t>
      </w:r>
      <w:r>
        <w:rPr>
          <w:rFonts w:ascii="宋体" w:hAnsi="宋体"/>
          <w:szCs w:val="21"/>
        </w:rPr>
        <w:t>定量评估包括：</w:t>
      </w:r>
    </w:p>
    <w:p>
      <w:pPr>
        <w:spacing w:line="360" w:lineRule="auto"/>
        <w:rPr>
          <w:rFonts w:ascii="宋体" w:hAnsi="宋体"/>
          <w:szCs w:val="21"/>
        </w:rPr>
      </w:pPr>
      <w:r>
        <w:rPr>
          <w:rFonts w:ascii="宋体" w:hAnsi="宋体"/>
          <w:szCs w:val="21"/>
        </w:rPr>
        <w:t>日历寿命：不小于5年；</w:t>
      </w:r>
    </w:p>
    <w:p>
      <w:pPr>
        <w:spacing w:line="360" w:lineRule="auto"/>
        <w:rPr>
          <w:rFonts w:ascii="宋体" w:hAnsi="宋体"/>
          <w:szCs w:val="21"/>
        </w:rPr>
      </w:pPr>
      <w:r>
        <w:rPr>
          <w:rFonts w:ascii="宋体" w:hAnsi="宋体"/>
          <w:szCs w:val="21"/>
        </w:rPr>
        <w:t>发动机TBO时间：不小于200h；</w:t>
      </w:r>
    </w:p>
    <w:p>
      <w:pPr>
        <w:spacing w:line="360" w:lineRule="auto"/>
        <w:rPr>
          <w:rFonts w:ascii="宋体" w:hAnsi="宋体"/>
          <w:szCs w:val="21"/>
        </w:rPr>
      </w:pPr>
      <w:r>
        <w:rPr>
          <w:rFonts w:ascii="宋体" w:hAnsi="宋体"/>
          <w:szCs w:val="21"/>
        </w:rPr>
        <w:t>平均无故障工作时间：MTBF不小于100h。</w:t>
      </w:r>
    </w:p>
    <w:p>
      <w:pPr>
        <w:spacing w:line="360" w:lineRule="auto"/>
        <w:rPr>
          <w:rFonts w:ascii="宋体" w:hAnsi="宋体"/>
          <w:szCs w:val="21"/>
        </w:rPr>
      </w:pPr>
      <w:r>
        <w:rPr>
          <w:rFonts w:ascii="宋体" w:hAnsi="宋体" w:hint="eastAsia"/>
          <w:szCs w:val="21"/>
        </w:rPr>
        <w:t>（3）</w:t>
      </w:r>
      <w:r>
        <w:rPr>
          <w:rFonts w:ascii="宋体" w:hAnsi="宋体"/>
          <w:szCs w:val="21"/>
        </w:rPr>
        <w:t>定性评价包括：</w:t>
      </w:r>
    </w:p>
    <w:p>
      <w:pPr>
        <w:spacing w:line="360" w:lineRule="auto"/>
        <w:rPr>
          <w:rFonts w:ascii="宋体" w:hAnsi="宋体"/>
          <w:szCs w:val="21"/>
        </w:rPr>
      </w:pPr>
      <w:r>
        <w:rPr>
          <w:rFonts w:ascii="宋体" w:hAnsi="宋体"/>
          <w:szCs w:val="21"/>
        </w:rPr>
        <w:t>故障统计与分析评价；</w:t>
      </w:r>
    </w:p>
    <w:p>
      <w:pPr>
        <w:spacing w:line="360" w:lineRule="auto"/>
        <w:rPr>
          <w:rFonts w:ascii="宋体" w:hAnsi="宋体"/>
          <w:szCs w:val="21"/>
        </w:rPr>
      </w:pPr>
      <w:r>
        <w:rPr>
          <w:rFonts w:ascii="宋体" w:hAnsi="宋体"/>
          <w:szCs w:val="21"/>
        </w:rPr>
        <w:t>可靠性变化趋势分析；</w:t>
      </w:r>
    </w:p>
    <w:p>
      <w:pPr>
        <w:spacing w:line="360" w:lineRule="auto"/>
        <w:rPr>
          <w:rFonts w:ascii="宋体" w:hAnsi="宋体"/>
          <w:szCs w:val="21"/>
        </w:rPr>
      </w:pPr>
      <w:r>
        <w:rPr>
          <w:rFonts w:ascii="宋体" w:hAnsi="宋体"/>
          <w:szCs w:val="21"/>
        </w:rPr>
        <w:t>其他要求。</w:t>
      </w:r>
    </w:p>
    <w:p>
      <w:pPr>
        <w:spacing w:line="360" w:lineRule="auto"/>
        <w:rPr>
          <w:rFonts w:ascii="宋体" w:hAnsi="宋体"/>
          <w:szCs w:val="21"/>
        </w:rPr>
      </w:pPr>
      <w:r>
        <w:rPr>
          <w:rFonts w:ascii="宋体" w:hAnsi="宋体" w:hint="eastAsia"/>
          <w:szCs w:val="21"/>
        </w:rPr>
        <w:t>（4）</w:t>
      </w:r>
      <w:r>
        <w:rPr>
          <w:rFonts w:ascii="宋体" w:hAnsi="宋体"/>
          <w:szCs w:val="21"/>
        </w:rPr>
        <w:t>可靠性试飞包括：</w:t>
      </w:r>
    </w:p>
    <w:p>
      <w:pPr>
        <w:spacing w:line="360" w:lineRule="auto"/>
        <w:rPr>
          <w:rFonts w:ascii="宋体" w:hAnsi="宋体"/>
          <w:szCs w:val="21"/>
        </w:rPr>
      </w:pPr>
      <w:r>
        <w:rPr>
          <w:rFonts w:ascii="宋体" w:hAnsi="宋体"/>
          <w:szCs w:val="21"/>
        </w:rPr>
        <w:t>适应性试飞，验证无人机在各种预期使用条件下运行的适应性；</w:t>
      </w:r>
    </w:p>
    <w:p>
      <w:pPr>
        <w:spacing w:line="360" w:lineRule="auto"/>
        <w:rPr>
          <w:rFonts w:ascii="宋体" w:hAnsi="宋体"/>
          <w:szCs w:val="21"/>
        </w:rPr>
      </w:pPr>
      <w:r>
        <w:rPr>
          <w:rFonts w:ascii="宋体" w:hAnsi="宋体"/>
          <w:szCs w:val="21"/>
        </w:rPr>
        <w:t>功能性试飞：依据无人机功能和性能要求在规定的典型任务剖面条件下开展可靠性飞行试验。</w:t>
      </w:r>
    </w:p>
    <w:p>
      <w:pPr>
        <w:spacing w:line="360" w:lineRule="auto"/>
        <w:rPr>
          <w:rFonts w:ascii="宋体" w:hAnsi="宋体"/>
          <w:b/>
          <w:szCs w:val="21"/>
        </w:rPr>
      </w:pPr>
      <w:bookmarkStart w:id="96" w:name="_Toc18722"/>
      <w:r>
        <w:rPr>
          <w:rFonts w:ascii="宋体" w:hAnsi="宋体" w:hint="eastAsia"/>
          <w:b/>
          <w:szCs w:val="21"/>
        </w:rPr>
        <w:t>3.3.1.6维修性</w:t>
      </w:r>
      <w:bookmarkEnd w:id="96"/>
    </w:p>
    <w:p>
      <w:pPr>
        <w:spacing w:line="360" w:lineRule="auto"/>
        <w:rPr>
          <w:rFonts w:ascii="宋体" w:hAnsi="宋体"/>
          <w:szCs w:val="21"/>
        </w:rPr>
      </w:pPr>
      <w:bookmarkStart w:id="97" w:name="_Toc203144214"/>
      <w:r>
        <w:rPr>
          <w:rFonts w:ascii="宋体" w:hAnsi="宋体" w:hint="eastAsia"/>
          <w:szCs w:val="21"/>
        </w:rPr>
        <w:t>（1）</w:t>
      </w:r>
      <w:r>
        <w:rPr>
          <w:rFonts w:ascii="宋体" w:hAnsi="宋体"/>
          <w:szCs w:val="21"/>
        </w:rPr>
        <w:t>定性要求</w:t>
      </w:r>
      <w:bookmarkEnd w:id="97"/>
    </w:p>
    <w:p>
      <w:pPr>
        <w:spacing w:line="360" w:lineRule="auto"/>
        <w:rPr>
          <w:rFonts w:ascii="宋体" w:hAnsi="宋体"/>
          <w:szCs w:val="21"/>
        </w:rPr>
      </w:pPr>
      <w:r>
        <w:rPr>
          <w:rFonts w:ascii="宋体" w:hAnsi="宋体"/>
          <w:szCs w:val="21"/>
        </w:rPr>
        <w:t>降低维修频率和维修时的复杂性，以降低对维修人员技术水平、熟练程度、人员数量和工作量的要求；</w:t>
      </w:r>
    </w:p>
    <w:p>
      <w:pPr>
        <w:spacing w:line="360" w:lineRule="auto"/>
        <w:rPr>
          <w:rFonts w:ascii="宋体" w:hAnsi="宋体"/>
          <w:szCs w:val="21"/>
        </w:rPr>
      </w:pPr>
      <w:r>
        <w:rPr>
          <w:rFonts w:ascii="宋体" w:hAnsi="宋体"/>
          <w:szCs w:val="21"/>
        </w:rPr>
        <w:t>优先选用标准的或型号通用的元器件、零部件；</w:t>
      </w:r>
    </w:p>
    <w:p>
      <w:pPr>
        <w:spacing w:line="360" w:lineRule="auto"/>
        <w:rPr>
          <w:rFonts w:ascii="宋体" w:hAnsi="宋体"/>
          <w:szCs w:val="21"/>
        </w:rPr>
      </w:pPr>
      <w:r>
        <w:rPr>
          <w:rFonts w:ascii="宋体" w:hAnsi="宋体"/>
          <w:szCs w:val="21"/>
        </w:rPr>
        <w:t>合理安排个设备、部件的安装位置，使其检测、换件等维修操作简单方便；</w:t>
      </w:r>
    </w:p>
    <w:p>
      <w:pPr>
        <w:spacing w:line="360" w:lineRule="auto"/>
        <w:rPr>
          <w:rFonts w:ascii="宋体" w:hAnsi="宋体"/>
          <w:szCs w:val="21"/>
        </w:rPr>
      </w:pPr>
      <w:r>
        <w:rPr>
          <w:rFonts w:ascii="宋体" w:hAnsi="宋体"/>
          <w:szCs w:val="21"/>
        </w:rPr>
        <w:t>连接方式尽量唯一性设计，当无法实现唯一性时标注明显的防插错识别标记；</w:t>
      </w:r>
    </w:p>
    <w:p>
      <w:pPr>
        <w:spacing w:line="360" w:lineRule="auto"/>
        <w:rPr>
          <w:rFonts w:ascii="宋体" w:hAnsi="宋体"/>
          <w:szCs w:val="21"/>
        </w:rPr>
      </w:pPr>
      <w:r>
        <w:rPr>
          <w:rFonts w:ascii="宋体" w:hAnsi="宋体"/>
          <w:szCs w:val="21"/>
        </w:rPr>
        <w:t>定制维修操作手册，规范操作规程。</w:t>
      </w:r>
    </w:p>
    <w:p>
      <w:pPr>
        <w:spacing w:line="360" w:lineRule="auto"/>
        <w:rPr>
          <w:rFonts w:ascii="宋体" w:hAnsi="宋体"/>
          <w:szCs w:val="21"/>
        </w:rPr>
      </w:pPr>
      <w:bookmarkStart w:id="98" w:name="_Toc203144215"/>
      <w:r>
        <w:rPr>
          <w:rFonts w:ascii="宋体" w:hAnsi="宋体" w:hint="eastAsia"/>
          <w:szCs w:val="21"/>
        </w:rPr>
        <w:t>（2）</w:t>
      </w:r>
      <w:r>
        <w:rPr>
          <w:rFonts w:ascii="宋体" w:hAnsi="宋体"/>
          <w:szCs w:val="21"/>
        </w:rPr>
        <w:t>定量要求</w:t>
      </w:r>
      <w:bookmarkEnd w:id="98"/>
    </w:p>
    <w:p>
      <w:pPr>
        <w:spacing w:line="360" w:lineRule="auto"/>
        <w:rPr>
          <w:rFonts w:ascii="宋体" w:hAnsi="宋体"/>
          <w:szCs w:val="21"/>
        </w:rPr>
      </w:pPr>
      <w:r>
        <w:rPr>
          <w:rFonts w:ascii="宋体" w:hAnsi="宋体"/>
          <w:szCs w:val="21"/>
        </w:rPr>
        <w:t>平均维修时间，MTTR≤1h。</w:t>
      </w:r>
    </w:p>
    <w:p>
      <w:pPr>
        <w:spacing w:line="360" w:lineRule="auto"/>
        <w:rPr>
          <w:rFonts w:ascii="宋体" w:hAnsi="宋体"/>
          <w:b/>
          <w:szCs w:val="21"/>
        </w:rPr>
      </w:pPr>
      <w:bookmarkStart w:id="99" w:name="_Toc30600"/>
      <w:bookmarkStart w:id="100" w:name="_Toc203144216"/>
      <w:r>
        <w:rPr>
          <w:rFonts w:ascii="宋体" w:hAnsi="宋体" w:hint="eastAsia"/>
          <w:b/>
          <w:szCs w:val="21"/>
        </w:rPr>
        <w:t>3.3.1.7</w:t>
      </w:r>
      <w:r>
        <w:rPr>
          <w:rFonts w:ascii="宋体" w:hAnsi="宋体"/>
          <w:b/>
          <w:szCs w:val="21"/>
        </w:rPr>
        <w:t>测试性</w:t>
      </w:r>
      <w:bookmarkEnd w:id="99"/>
      <w:bookmarkEnd w:id="100"/>
    </w:p>
    <w:p>
      <w:pPr>
        <w:spacing w:line="360" w:lineRule="auto"/>
        <w:rPr>
          <w:rFonts w:ascii="宋体" w:hAnsi="宋体"/>
          <w:szCs w:val="21"/>
        </w:rPr>
      </w:pPr>
      <w:r>
        <w:rPr>
          <w:rFonts w:ascii="宋体" w:hAnsi="宋体"/>
          <w:szCs w:val="21"/>
        </w:rPr>
        <w:t>无人机作业单元测试行要求依据《低空飞行服务系统技术规范第3部分：测试方法》（MH/T 4055.3—2022）</w:t>
      </w:r>
      <w:r>
        <w:rPr>
          <w:rFonts w:ascii="宋体" w:hAnsi="宋体" w:hint="eastAsia"/>
          <w:szCs w:val="21"/>
        </w:rPr>
        <w:t>或同类标准</w:t>
      </w:r>
      <w:r>
        <w:rPr>
          <w:rFonts w:ascii="宋体" w:hAnsi="宋体"/>
          <w:szCs w:val="21"/>
        </w:rPr>
        <w:t>进行设计，测试人员应根据被测产品说明、用户文档等分析被测系统，并确定以下内容：</w:t>
      </w:r>
    </w:p>
    <w:p>
      <w:pPr>
        <w:spacing w:line="360" w:lineRule="auto"/>
        <w:rPr>
          <w:rFonts w:ascii="宋体" w:hAnsi="宋体"/>
          <w:szCs w:val="21"/>
        </w:rPr>
      </w:pPr>
      <w:r>
        <w:rPr>
          <w:rFonts w:ascii="宋体" w:hAnsi="宋体"/>
          <w:szCs w:val="21"/>
        </w:rPr>
        <w:t>确定测试充分性要求。确定测试范围应覆盖产品说明、用户文档以及测试内容提及的所有功能、质量特性和操作；</w:t>
      </w:r>
    </w:p>
    <w:p>
      <w:pPr>
        <w:spacing w:line="360" w:lineRule="auto"/>
        <w:rPr>
          <w:rFonts w:ascii="宋体" w:hAnsi="宋体"/>
          <w:szCs w:val="21"/>
        </w:rPr>
      </w:pPr>
      <w:r>
        <w:rPr>
          <w:rFonts w:ascii="宋体" w:hAnsi="宋体"/>
          <w:szCs w:val="21"/>
        </w:rPr>
        <w:t>确定测试的通过/失败准则；</w:t>
      </w:r>
    </w:p>
    <w:p>
      <w:pPr>
        <w:spacing w:line="360" w:lineRule="auto"/>
        <w:rPr>
          <w:rFonts w:ascii="宋体" w:hAnsi="宋体"/>
          <w:szCs w:val="21"/>
        </w:rPr>
      </w:pPr>
      <w:r>
        <w:rPr>
          <w:rFonts w:ascii="宋体" w:hAnsi="宋体"/>
          <w:szCs w:val="21"/>
        </w:rPr>
        <w:t>确定测试过程中导致异常终止的可能情况；</w:t>
      </w:r>
    </w:p>
    <w:p>
      <w:pPr>
        <w:spacing w:line="360" w:lineRule="auto"/>
        <w:rPr>
          <w:rFonts w:ascii="宋体" w:hAnsi="宋体"/>
          <w:szCs w:val="21"/>
        </w:rPr>
      </w:pPr>
      <w:r>
        <w:rPr>
          <w:rFonts w:ascii="宋体" w:hAnsi="宋体"/>
          <w:szCs w:val="21"/>
        </w:rPr>
        <w:t>确定用于测试的资源要求，包括人力资源（人员数量、人员技能等）、测试工具等；</w:t>
      </w:r>
    </w:p>
    <w:p>
      <w:pPr>
        <w:spacing w:line="360" w:lineRule="auto"/>
        <w:rPr>
          <w:rFonts w:ascii="宋体" w:hAnsi="宋体"/>
          <w:szCs w:val="21"/>
        </w:rPr>
      </w:pPr>
      <w:r>
        <w:rPr>
          <w:rFonts w:ascii="宋体" w:hAnsi="宋体"/>
          <w:szCs w:val="21"/>
        </w:rPr>
        <w:t>确定测试需要的技术和方法，如测试数据生成、测试数据输入等；确定测试活动进度；</w:t>
      </w:r>
    </w:p>
    <w:p>
      <w:pPr>
        <w:spacing w:line="360" w:lineRule="auto"/>
        <w:rPr>
          <w:rFonts w:ascii="宋体" w:hAnsi="宋体"/>
          <w:szCs w:val="21"/>
        </w:rPr>
      </w:pPr>
      <w:r>
        <w:rPr>
          <w:rFonts w:ascii="宋体" w:hAnsi="宋体"/>
          <w:szCs w:val="21"/>
        </w:rPr>
        <w:t>对测试工作进行风险分析与评估，并制定对应的措施。</w:t>
      </w:r>
    </w:p>
    <w:p>
      <w:pPr>
        <w:spacing w:line="360" w:lineRule="auto"/>
        <w:rPr>
          <w:rFonts w:ascii="宋体" w:hAnsi="宋体"/>
          <w:szCs w:val="21"/>
        </w:rPr>
      </w:pPr>
      <w:r>
        <w:rPr>
          <w:rFonts w:ascii="宋体" w:hAnsi="宋体"/>
          <w:szCs w:val="21"/>
        </w:rPr>
        <w:t>应根据上述分析编写系统测试计划，并根据系统测试计划完成以下工作：</w:t>
      </w:r>
    </w:p>
    <w:p>
      <w:pPr>
        <w:spacing w:line="360" w:lineRule="auto"/>
        <w:rPr>
          <w:rFonts w:ascii="宋体" w:hAnsi="宋体"/>
          <w:szCs w:val="21"/>
        </w:rPr>
      </w:pPr>
      <w:r>
        <w:rPr>
          <w:rFonts w:ascii="宋体" w:hAnsi="宋体"/>
          <w:szCs w:val="21"/>
        </w:rPr>
        <w:t>设计测试用例，每个测试用例至少应包括：测试目标；唯一性标识符；环境要求；详细实施步骤；预期结果：判定测试用例肯定或否定结果的评价准则。</w:t>
      </w:r>
    </w:p>
    <w:p>
      <w:pPr>
        <w:spacing w:line="360" w:lineRule="auto"/>
        <w:rPr>
          <w:rFonts w:ascii="宋体" w:hAnsi="宋体"/>
          <w:szCs w:val="21"/>
        </w:rPr>
      </w:pPr>
      <w:r>
        <w:rPr>
          <w:rFonts w:ascii="宋体" w:hAnsi="宋体"/>
          <w:szCs w:val="21"/>
        </w:rPr>
        <w:t>确定测试顺序；</w:t>
      </w:r>
    </w:p>
    <w:p>
      <w:pPr>
        <w:spacing w:line="360" w:lineRule="auto"/>
        <w:rPr>
          <w:rFonts w:ascii="宋体" w:hAnsi="宋体"/>
          <w:szCs w:val="21"/>
        </w:rPr>
      </w:pPr>
      <w:r>
        <w:rPr>
          <w:rFonts w:ascii="宋体" w:hAnsi="宋体"/>
          <w:szCs w:val="21"/>
        </w:rPr>
        <w:t>编写系统测试说明。</w:t>
      </w:r>
    </w:p>
    <w:p>
      <w:pPr>
        <w:spacing w:line="360" w:lineRule="auto"/>
        <w:rPr>
          <w:rFonts w:ascii="宋体" w:hAnsi="宋体"/>
          <w:szCs w:val="21"/>
        </w:rPr>
      </w:pPr>
      <w:r>
        <w:rPr>
          <w:rFonts w:ascii="宋体" w:hAnsi="宋体"/>
          <w:szCs w:val="21"/>
        </w:rPr>
        <w:t>执行系统测试计划和测试项目和内容。在执行过程中，测试人员应认真观察并如实记录测试过程和测试结果，认真填写测试记录。根据每个测试用例期望测试结果、实际测试结果和评价准则判定该测试用例是否通过。</w:t>
      </w:r>
    </w:p>
    <w:p>
      <w:pPr>
        <w:spacing w:line="360" w:lineRule="auto"/>
        <w:rPr>
          <w:rFonts w:ascii="宋体" w:hAnsi="宋体"/>
          <w:szCs w:val="21"/>
        </w:rPr>
      </w:pPr>
      <w:r>
        <w:rPr>
          <w:rFonts w:ascii="宋体" w:hAnsi="宋体"/>
          <w:szCs w:val="21"/>
        </w:rPr>
        <w:t>测试记录至少应包括：测试用例标识符：测试执行日期：测试人员；测试步骤；测试用例执行结果。</w:t>
      </w:r>
    </w:p>
    <w:p>
      <w:pPr>
        <w:spacing w:line="360" w:lineRule="auto"/>
        <w:rPr>
          <w:rFonts w:ascii="宋体" w:hAnsi="宋体"/>
          <w:szCs w:val="21"/>
        </w:rPr>
      </w:pPr>
      <w:r>
        <w:rPr>
          <w:rFonts w:ascii="宋体" w:hAnsi="宋体"/>
          <w:szCs w:val="21"/>
        </w:rPr>
        <w:t>在测试执行过程中，若发现测试计划和测试说明的差错，应改正差错并记录差错改正信息，然后重新执行该测试项。</w:t>
      </w:r>
    </w:p>
    <w:p>
      <w:pPr>
        <w:spacing w:line="360" w:lineRule="auto"/>
        <w:rPr>
          <w:rFonts w:ascii="宋体" w:hAnsi="宋体"/>
          <w:szCs w:val="21"/>
        </w:rPr>
      </w:pPr>
      <w:r>
        <w:rPr>
          <w:rFonts w:ascii="宋体" w:hAnsi="宋体"/>
          <w:szCs w:val="21"/>
        </w:rPr>
        <w:t>按照测试计划完成测试后，测试人员应根据产品说明、系统测试计划、系统测试说明和测试记录等分析和评价测试工作，一般包含以下工作：</w:t>
      </w:r>
    </w:p>
    <w:p>
      <w:pPr>
        <w:spacing w:line="360" w:lineRule="auto"/>
        <w:rPr>
          <w:rFonts w:ascii="宋体" w:hAnsi="宋体"/>
          <w:szCs w:val="21"/>
        </w:rPr>
      </w:pPr>
      <w:r>
        <w:rPr>
          <w:rFonts w:ascii="宋体" w:hAnsi="宋体"/>
          <w:szCs w:val="21"/>
        </w:rPr>
        <w:t>确定未能测试的测试项，并将理由记录在系统测试报告中；</w:t>
      </w:r>
    </w:p>
    <w:p>
      <w:pPr>
        <w:spacing w:line="360" w:lineRule="auto"/>
        <w:rPr>
          <w:rFonts w:ascii="宋体" w:hAnsi="宋体"/>
          <w:szCs w:val="21"/>
        </w:rPr>
      </w:pPr>
      <w:r>
        <w:rPr>
          <w:rFonts w:ascii="宋体" w:hAnsi="宋体"/>
          <w:szCs w:val="21"/>
        </w:rPr>
        <w:t>对照测试记录与产品说明、用户文档，找出差异，提出系统改进建议，记录在系统测试报告中；</w:t>
      </w:r>
    </w:p>
    <w:p>
      <w:pPr>
        <w:spacing w:line="360" w:lineRule="auto"/>
        <w:rPr>
          <w:rFonts w:ascii="宋体" w:hAnsi="宋体"/>
          <w:szCs w:val="21"/>
        </w:rPr>
      </w:pPr>
      <w:r>
        <w:rPr>
          <w:rFonts w:ascii="宋体" w:hAnsi="宋体"/>
          <w:szCs w:val="21"/>
        </w:rPr>
        <w:t>对照测试记录与相关标准、政策法规，找出未能满足项，提出系统整改建议，记录在系统测试报告中；</w:t>
      </w:r>
    </w:p>
    <w:p>
      <w:pPr>
        <w:spacing w:line="360" w:lineRule="auto"/>
        <w:rPr>
          <w:rFonts w:ascii="宋体" w:hAnsi="宋体"/>
          <w:szCs w:val="21"/>
        </w:rPr>
      </w:pPr>
      <w:r>
        <w:rPr>
          <w:rFonts w:ascii="宋体" w:hAnsi="宋体"/>
          <w:szCs w:val="21"/>
        </w:rPr>
        <w:t>编写系统测试报告，报告应包含测试结果分析、对系统的评价和建议。</w:t>
      </w:r>
    </w:p>
    <w:p>
      <w:pPr>
        <w:spacing w:line="360" w:lineRule="auto"/>
        <w:rPr>
          <w:rFonts w:ascii="宋体" w:hAnsi="宋体"/>
          <w:b/>
          <w:szCs w:val="21"/>
        </w:rPr>
      </w:pPr>
      <w:bookmarkStart w:id="101" w:name="_Toc453"/>
      <w:r>
        <w:rPr>
          <w:rFonts w:ascii="宋体" w:hAnsi="宋体" w:hint="eastAsia"/>
          <w:b/>
          <w:szCs w:val="21"/>
        </w:rPr>
        <w:t>3.3.1.8保障性</w:t>
      </w:r>
      <w:bookmarkEnd w:id="101"/>
    </w:p>
    <w:p>
      <w:pPr>
        <w:spacing w:line="360" w:lineRule="auto"/>
        <w:rPr>
          <w:rFonts w:ascii="宋体" w:hAnsi="宋体"/>
          <w:szCs w:val="21"/>
        </w:rPr>
      </w:pPr>
      <w:r>
        <w:rPr>
          <w:rFonts w:ascii="宋体" w:hAnsi="宋体" w:hint="eastAsia"/>
          <w:szCs w:val="21"/>
        </w:rPr>
        <w:t>（1）</w:t>
      </w:r>
      <w:r>
        <w:rPr>
          <w:rFonts w:ascii="宋体" w:hAnsi="宋体"/>
          <w:szCs w:val="21"/>
        </w:rPr>
        <w:t>人员和人力</w:t>
      </w:r>
    </w:p>
    <w:p>
      <w:pPr>
        <w:spacing w:line="360" w:lineRule="auto"/>
        <w:rPr>
          <w:rFonts w:ascii="宋体" w:hAnsi="宋体"/>
          <w:szCs w:val="21"/>
        </w:rPr>
      </w:pPr>
      <w:r>
        <w:rPr>
          <w:rFonts w:ascii="宋体" w:hAnsi="宋体"/>
          <w:szCs w:val="21"/>
        </w:rPr>
        <w:t>在满足使用维修前提下尽量减少人数，降低技术水平要求。尽可能利用现有维修体制和维修人员完成修理任务。</w:t>
      </w:r>
    </w:p>
    <w:p>
      <w:pPr>
        <w:spacing w:line="360" w:lineRule="auto"/>
        <w:rPr>
          <w:rFonts w:ascii="宋体" w:hAnsi="宋体"/>
          <w:szCs w:val="21"/>
        </w:rPr>
      </w:pPr>
      <w:r>
        <w:rPr>
          <w:rFonts w:ascii="宋体" w:hAnsi="宋体" w:hint="eastAsia"/>
          <w:szCs w:val="21"/>
        </w:rPr>
        <w:t>（2）</w:t>
      </w:r>
      <w:r>
        <w:rPr>
          <w:rFonts w:ascii="宋体" w:hAnsi="宋体"/>
          <w:szCs w:val="21"/>
        </w:rPr>
        <w:t>供应保障</w:t>
      </w:r>
    </w:p>
    <w:p>
      <w:pPr>
        <w:spacing w:line="360" w:lineRule="auto"/>
        <w:rPr>
          <w:rFonts w:ascii="宋体" w:hAnsi="宋体"/>
          <w:szCs w:val="21"/>
        </w:rPr>
      </w:pPr>
      <w:r>
        <w:rPr>
          <w:rFonts w:ascii="宋体" w:hAnsi="宋体"/>
          <w:szCs w:val="21"/>
        </w:rPr>
        <w:t>根据系统可靠性水平、任务重要程度、生产周期和价格等因素合理配置系统备品备件。</w:t>
      </w:r>
    </w:p>
    <w:p>
      <w:pPr>
        <w:spacing w:line="360" w:lineRule="auto"/>
        <w:rPr>
          <w:rFonts w:ascii="宋体" w:hAnsi="宋体"/>
          <w:szCs w:val="21"/>
        </w:rPr>
      </w:pPr>
      <w:r>
        <w:rPr>
          <w:rFonts w:ascii="宋体" w:hAnsi="宋体" w:hint="eastAsia"/>
          <w:szCs w:val="21"/>
        </w:rPr>
        <w:t>（3）</w:t>
      </w:r>
      <w:r>
        <w:rPr>
          <w:rFonts w:ascii="宋体" w:hAnsi="宋体"/>
          <w:szCs w:val="21"/>
        </w:rPr>
        <w:t>保障设备</w:t>
      </w:r>
    </w:p>
    <w:p>
      <w:pPr>
        <w:spacing w:line="360" w:lineRule="auto"/>
        <w:rPr>
          <w:rFonts w:ascii="宋体" w:hAnsi="宋体"/>
          <w:szCs w:val="21"/>
        </w:rPr>
      </w:pPr>
      <w:r>
        <w:rPr>
          <w:rFonts w:ascii="宋体" w:hAnsi="宋体"/>
          <w:szCs w:val="21"/>
        </w:rPr>
        <w:t>从简化品种，考虑抢修和保障系统自身保障等方面规划准备的保障系统，优先采用已有的或同类系统的保障系统，精简保障系统的种类和数量，逐步实现通用、系列、组合化。</w:t>
      </w:r>
    </w:p>
    <w:p>
      <w:pPr>
        <w:spacing w:line="360" w:lineRule="auto"/>
        <w:rPr>
          <w:rFonts w:ascii="宋体" w:hAnsi="宋体"/>
          <w:szCs w:val="21"/>
        </w:rPr>
      </w:pPr>
      <w:r>
        <w:rPr>
          <w:rFonts w:ascii="宋体" w:hAnsi="宋体" w:hint="eastAsia"/>
          <w:szCs w:val="21"/>
        </w:rPr>
        <w:t>（4）</w:t>
      </w:r>
      <w:r>
        <w:rPr>
          <w:rFonts w:ascii="宋体" w:hAnsi="宋体"/>
          <w:szCs w:val="21"/>
        </w:rPr>
        <w:t>保障设施</w:t>
      </w:r>
    </w:p>
    <w:p>
      <w:pPr>
        <w:spacing w:line="360" w:lineRule="auto"/>
        <w:rPr>
          <w:rFonts w:ascii="宋体" w:hAnsi="宋体"/>
          <w:szCs w:val="21"/>
        </w:rPr>
      </w:pPr>
      <w:r>
        <w:rPr>
          <w:rFonts w:ascii="宋体" w:hAnsi="宋体"/>
          <w:szCs w:val="21"/>
        </w:rPr>
        <w:t>综合分析定期检修和维修的保障设施的需求。</w:t>
      </w:r>
    </w:p>
    <w:p>
      <w:pPr>
        <w:spacing w:line="360" w:lineRule="auto"/>
        <w:rPr>
          <w:rFonts w:ascii="宋体" w:hAnsi="宋体"/>
          <w:szCs w:val="21"/>
        </w:rPr>
      </w:pPr>
      <w:r>
        <w:rPr>
          <w:rFonts w:ascii="宋体" w:hAnsi="宋体" w:hint="eastAsia"/>
          <w:szCs w:val="21"/>
        </w:rPr>
        <w:t>（5）</w:t>
      </w:r>
      <w:r>
        <w:rPr>
          <w:rFonts w:ascii="宋体" w:hAnsi="宋体"/>
          <w:szCs w:val="21"/>
        </w:rPr>
        <w:t>培训和培训保障</w:t>
      </w:r>
    </w:p>
    <w:p>
      <w:pPr>
        <w:spacing w:line="360" w:lineRule="auto"/>
        <w:rPr>
          <w:rFonts w:ascii="宋体" w:hAnsi="宋体"/>
          <w:szCs w:val="21"/>
        </w:rPr>
      </w:pPr>
      <w:r>
        <w:rPr>
          <w:rFonts w:ascii="宋体" w:hAnsi="宋体"/>
          <w:szCs w:val="21"/>
        </w:rPr>
        <w:t>按照有关要求，同步考虑培训和培训保障问题；</w:t>
      </w:r>
    </w:p>
    <w:p>
      <w:pPr>
        <w:spacing w:line="360" w:lineRule="auto"/>
        <w:rPr>
          <w:rFonts w:ascii="宋体" w:hAnsi="宋体"/>
          <w:szCs w:val="21"/>
        </w:rPr>
      </w:pPr>
      <w:r>
        <w:rPr>
          <w:rFonts w:ascii="宋体" w:hAnsi="宋体"/>
          <w:szCs w:val="21"/>
        </w:rPr>
        <w:t>及时编制满足在培训需要的培训教材，为弥补原有培训手段的不足，在培训时利用多媒体技术等现代教学手段，进行形象化教学，提高培训效果。</w:t>
      </w:r>
    </w:p>
    <w:p>
      <w:pPr>
        <w:spacing w:line="360" w:lineRule="auto"/>
        <w:rPr>
          <w:rFonts w:ascii="宋体" w:hAnsi="宋体"/>
          <w:szCs w:val="21"/>
        </w:rPr>
      </w:pPr>
      <w:r>
        <w:rPr>
          <w:rFonts w:ascii="宋体" w:hAnsi="宋体" w:hint="eastAsia"/>
          <w:szCs w:val="21"/>
        </w:rPr>
        <w:t>（6）</w:t>
      </w:r>
      <w:r>
        <w:rPr>
          <w:rFonts w:ascii="宋体" w:hAnsi="宋体"/>
          <w:szCs w:val="21"/>
        </w:rPr>
        <w:t>技术资料</w:t>
      </w:r>
    </w:p>
    <w:p>
      <w:pPr>
        <w:spacing w:line="360" w:lineRule="auto"/>
        <w:rPr>
          <w:rFonts w:ascii="宋体" w:hAnsi="宋体"/>
          <w:szCs w:val="21"/>
        </w:rPr>
      </w:pPr>
      <w:r>
        <w:rPr>
          <w:rFonts w:ascii="宋体" w:hAnsi="宋体"/>
          <w:szCs w:val="21"/>
        </w:rPr>
        <w:t>技术资料应配套齐全，在编制过程中应使其内容完整、准确、通俗易懂，充分满足平时和战时使用与维修的需要；</w:t>
      </w:r>
    </w:p>
    <w:p>
      <w:pPr>
        <w:spacing w:line="360" w:lineRule="auto"/>
        <w:rPr>
          <w:rFonts w:ascii="宋体" w:hAnsi="宋体"/>
          <w:szCs w:val="21"/>
        </w:rPr>
      </w:pPr>
      <w:r>
        <w:rPr>
          <w:rFonts w:ascii="宋体" w:hAnsi="宋体"/>
          <w:szCs w:val="21"/>
        </w:rPr>
        <w:t>技术资料采用的术语应统一；</w:t>
      </w:r>
    </w:p>
    <w:p>
      <w:pPr>
        <w:spacing w:line="360" w:lineRule="auto"/>
        <w:rPr>
          <w:rFonts w:ascii="宋体" w:hAnsi="宋体"/>
          <w:szCs w:val="21"/>
        </w:rPr>
      </w:pPr>
      <w:r>
        <w:rPr>
          <w:rFonts w:ascii="宋体" w:hAnsi="宋体"/>
          <w:szCs w:val="21"/>
        </w:rPr>
        <w:t>技术资料的构成和格式应统一；</w:t>
      </w:r>
    </w:p>
    <w:p>
      <w:pPr>
        <w:spacing w:line="360" w:lineRule="auto"/>
        <w:rPr>
          <w:rFonts w:ascii="宋体" w:hAnsi="宋体"/>
          <w:szCs w:val="21"/>
        </w:rPr>
      </w:pPr>
      <w:r>
        <w:rPr>
          <w:rFonts w:ascii="宋体" w:hAnsi="宋体"/>
          <w:szCs w:val="21"/>
        </w:rPr>
        <w:t>技术资料应正确与充分反映系统的技术状态及其具体的使用与维修要求；</w:t>
      </w:r>
    </w:p>
    <w:p>
      <w:pPr>
        <w:spacing w:line="360" w:lineRule="auto"/>
        <w:rPr>
          <w:rFonts w:ascii="宋体" w:hAnsi="宋体"/>
          <w:szCs w:val="21"/>
        </w:rPr>
      </w:pPr>
      <w:r>
        <w:rPr>
          <w:rFonts w:ascii="宋体" w:hAnsi="宋体"/>
          <w:szCs w:val="21"/>
        </w:rPr>
        <w:t>技术资料应文字通顺、图表清晰、易懂程度与使用、维修人员的技术水平相一致；</w:t>
      </w:r>
    </w:p>
    <w:p>
      <w:pPr>
        <w:spacing w:line="360" w:lineRule="auto"/>
        <w:rPr>
          <w:rFonts w:ascii="宋体" w:hAnsi="宋体"/>
          <w:szCs w:val="21"/>
        </w:rPr>
      </w:pPr>
      <w:r>
        <w:rPr>
          <w:rFonts w:ascii="宋体" w:hAnsi="宋体"/>
          <w:szCs w:val="21"/>
        </w:rPr>
        <w:t>应按规定的进度、交付形式和数量，交付质量符合要求的技术资料；</w:t>
      </w:r>
    </w:p>
    <w:p>
      <w:pPr>
        <w:spacing w:line="360" w:lineRule="auto"/>
        <w:rPr>
          <w:rFonts w:ascii="宋体" w:hAnsi="宋体"/>
          <w:szCs w:val="21"/>
        </w:rPr>
      </w:pPr>
      <w:r>
        <w:rPr>
          <w:rFonts w:ascii="宋体" w:hAnsi="宋体"/>
          <w:szCs w:val="21"/>
        </w:rPr>
        <w:t>当系统技术状态变更、使用与维修工作调整及其他需求，应及时进行更改和补充，以保证技术资料在系统使用期内现行有效。</w:t>
      </w:r>
    </w:p>
    <w:p>
      <w:pPr>
        <w:spacing w:line="360" w:lineRule="auto"/>
        <w:rPr>
          <w:rFonts w:ascii="宋体" w:hAnsi="宋体"/>
          <w:b/>
          <w:szCs w:val="21"/>
        </w:rPr>
      </w:pPr>
      <w:bookmarkStart w:id="102" w:name="_Toc1144"/>
      <w:r>
        <w:rPr>
          <w:rFonts w:ascii="宋体" w:hAnsi="宋体" w:hint="eastAsia"/>
          <w:b/>
          <w:szCs w:val="21"/>
        </w:rPr>
        <w:t>3.3.1.9安全性</w:t>
      </w:r>
      <w:bookmarkEnd w:id="102"/>
    </w:p>
    <w:p>
      <w:pPr>
        <w:spacing w:line="360" w:lineRule="auto"/>
        <w:rPr>
          <w:rFonts w:ascii="宋体" w:hAnsi="宋体"/>
          <w:szCs w:val="21"/>
        </w:rPr>
      </w:pPr>
      <w:r>
        <w:rPr>
          <w:rFonts w:ascii="宋体" w:hAnsi="宋体"/>
          <w:szCs w:val="21"/>
        </w:rPr>
        <w:t>无人机作业单元依据《民用无人机驾驶航空器系统安全要求》（GB 42590—2023）制定安全性要求，内容如下：</w:t>
      </w:r>
    </w:p>
    <w:p>
      <w:pPr>
        <w:spacing w:line="360" w:lineRule="auto"/>
        <w:rPr>
          <w:rFonts w:ascii="宋体" w:hAnsi="宋体"/>
          <w:szCs w:val="21"/>
        </w:rPr>
      </w:pPr>
      <w:r>
        <w:rPr>
          <w:rFonts w:ascii="宋体" w:hAnsi="宋体" w:hint="eastAsia"/>
          <w:szCs w:val="21"/>
        </w:rPr>
        <w:t>（1）</w:t>
      </w:r>
      <w:r>
        <w:rPr>
          <w:rFonts w:ascii="宋体" w:hAnsi="宋体"/>
          <w:szCs w:val="21"/>
        </w:rPr>
        <w:t>电子围栏</w:t>
      </w:r>
    </w:p>
    <w:p>
      <w:pPr>
        <w:spacing w:line="360" w:lineRule="auto"/>
        <w:rPr>
          <w:rFonts w:ascii="宋体" w:hAnsi="宋体"/>
          <w:szCs w:val="21"/>
        </w:rPr>
      </w:pPr>
      <w:r>
        <w:rPr>
          <w:rFonts w:ascii="宋体" w:hAnsi="宋体"/>
          <w:szCs w:val="21"/>
        </w:rPr>
        <w:t>应在检测到其与特定地理范围可能或正在发生冲突时，向无人驾驶航空器操作员提供通知、警告或自动执行飞行预案，飞行预案可选择阻止起飞、限制飞行高度、悬停、降落、返航等一种或多种。</w:t>
      </w:r>
    </w:p>
    <w:p>
      <w:pPr>
        <w:spacing w:line="360" w:lineRule="auto"/>
        <w:rPr>
          <w:rFonts w:ascii="宋体" w:hAnsi="宋体"/>
          <w:szCs w:val="21"/>
        </w:rPr>
      </w:pPr>
      <w:r>
        <w:rPr>
          <w:rFonts w:ascii="宋体" w:hAnsi="宋体" w:hint="eastAsia"/>
          <w:szCs w:val="21"/>
        </w:rPr>
        <w:t>（2）</w:t>
      </w:r>
      <w:r>
        <w:rPr>
          <w:rFonts w:ascii="宋体" w:hAnsi="宋体"/>
          <w:szCs w:val="21"/>
        </w:rPr>
        <w:t>远程识别</w:t>
      </w:r>
    </w:p>
    <w:p>
      <w:pPr>
        <w:spacing w:line="360" w:lineRule="auto"/>
        <w:rPr>
          <w:rFonts w:ascii="宋体" w:hAnsi="宋体"/>
          <w:szCs w:val="21"/>
        </w:rPr>
      </w:pPr>
      <w:r>
        <w:rPr>
          <w:rFonts w:ascii="宋体" w:hAnsi="宋体"/>
          <w:szCs w:val="21"/>
        </w:rPr>
        <w:t>应通过网络主动向综合监管服务平台报送识别信息。无人驾驶航空器在飞行过程中应通过无线局域网（Wi-Fi)或蓝牙自动广播识别信息。</w:t>
      </w:r>
    </w:p>
    <w:p>
      <w:pPr>
        <w:spacing w:line="360" w:lineRule="auto"/>
        <w:rPr>
          <w:rFonts w:ascii="宋体" w:hAnsi="宋体"/>
          <w:szCs w:val="21"/>
        </w:rPr>
      </w:pPr>
      <w:r>
        <w:rPr>
          <w:rFonts w:ascii="宋体" w:hAnsi="宋体" w:hint="eastAsia"/>
          <w:szCs w:val="21"/>
        </w:rPr>
        <w:t>（3）</w:t>
      </w:r>
      <w:r>
        <w:rPr>
          <w:rFonts w:ascii="宋体" w:hAnsi="宋体"/>
          <w:szCs w:val="21"/>
        </w:rPr>
        <w:t>应急处置</w:t>
      </w:r>
    </w:p>
    <w:p>
      <w:pPr>
        <w:spacing w:line="360" w:lineRule="auto"/>
        <w:rPr>
          <w:rFonts w:ascii="宋体" w:hAnsi="宋体"/>
          <w:szCs w:val="21"/>
        </w:rPr>
      </w:pPr>
      <w:r>
        <w:rPr>
          <w:rFonts w:ascii="宋体" w:hAnsi="宋体"/>
          <w:szCs w:val="21"/>
        </w:rPr>
        <w:t>在飞行过程中遇到数据链中断或丢失、电量/油量不足等突发状况时，应具有悬停/空中盘旋、返航、降落、开伞等一种或多种处置能力,遇到导航失效情况，应通过操控软件或产品手册中说明的其他方式向无人驾驶航空器操作员提供通知或警告。</w:t>
      </w:r>
    </w:p>
    <w:p>
      <w:pPr>
        <w:spacing w:line="360" w:lineRule="auto"/>
        <w:rPr>
          <w:rFonts w:ascii="宋体" w:hAnsi="宋体"/>
          <w:szCs w:val="21"/>
        </w:rPr>
      </w:pPr>
      <w:r>
        <w:rPr>
          <w:rFonts w:ascii="宋体" w:hAnsi="宋体" w:hint="eastAsia"/>
          <w:szCs w:val="21"/>
        </w:rPr>
        <w:t>（4）</w:t>
      </w:r>
      <w:r>
        <w:rPr>
          <w:rFonts w:ascii="宋体" w:hAnsi="宋体"/>
          <w:szCs w:val="21"/>
        </w:rPr>
        <w:t>结构强度</w:t>
      </w:r>
    </w:p>
    <w:p>
      <w:pPr>
        <w:spacing w:line="360" w:lineRule="auto"/>
        <w:rPr>
          <w:rFonts w:ascii="宋体" w:hAnsi="宋体"/>
          <w:szCs w:val="21"/>
        </w:rPr>
      </w:pPr>
      <w:r>
        <w:rPr>
          <w:rFonts w:ascii="宋体" w:hAnsi="宋体"/>
          <w:szCs w:val="21"/>
        </w:rPr>
        <w:t>在承受各种规定的载荷状态下具有足够的强度和刚度，无人驾驶航空器结构不产生有害变形；</w:t>
      </w:r>
    </w:p>
    <w:p>
      <w:pPr>
        <w:spacing w:line="360" w:lineRule="auto"/>
        <w:rPr>
          <w:rFonts w:ascii="宋体" w:hAnsi="宋体"/>
          <w:szCs w:val="21"/>
        </w:rPr>
      </w:pPr>
      <w:r>
        <w:rPr>
          <w:rFonts w:ascii="宋体" w:hAnsi="宋体"/>
          <w:szCs w:val="21"/>
        </w:rPr>
        <w:t>在承受最大起飞重量的1.33倍的载荷时，无人驾驶航空器的主要承力结构不被破坏。</w:t>
      </w:r>
    </w:p>
    <w:p>
      <w:pPr>
        <w:spacing w:line="360" w:lineRule="auto"/>
        <w:rPr>
          <w:rFonts w:ascii="宋体" w:hAnsi="宋体"/>
          <w:szCs w:val="21"/>
        </w:rPr>
      </w:pPr>
      <w:r>
        <w:rPr>
          <w:rFonts w:ascii="宋体" w:hAnsi="宋体" w:hint="eastAsia"/>
          <w:szCs w:val="21"/>
        </w:rPr>
        <w:t>（5）</w:t>
      </w:r>
      <w:r>
        <w:rPr>
          <w:rFonts w:ascii="宋体" w:hAnsi="宋体"/>
          <w:szCs w:val="21"/>
        </w:rPr>
        <w:t>防差错</w:t>
      </w:r>
    </w:p>
    <w:p>
      <w:pPr>
        <w:spacing w:line="360" w:lineRule="auto"/>
        <w:rPr>
          <w:rFonts w:ascii="宋体" w:hAnsi="宋体"/>
          <w:szCs w:val="21"/>
        </w:rPr>
      </w:pPr>
      <w:r>
        <w:rPr>
          <w:rFonts w:ascii="宋体" w:hAnsi="宋体"/>
          <w:szCs w:val="21"/>
        </w:rPr>
        <w:t>无人驾驶航空器电池、电机、桨叶等部件的机械接口应具有防差错功能。</w:t>
      </w:r>
    </w:p>
    <w:p>
      <w:pPr>
        <w:spacing w:line="360" w:lineRule="auto"/>
        <w:rPr>
          <w:rFonts w:ascii="宋体" w:hAnsi="宋体"/>
          <w:szCs w:val="21"/>
        </w:rPr>
      </w:pPr>
      <w:r>
        <w:rPr>
          <w:rFonts w:ascii="宋体" w:hAnsi="宋体" w:hint="eastAsia"/>
          <w:szCs w:val="21"/>
        </w:rPr>
        <w:t>（6）</w:t>
      </w:r>
      <w:r>
        <w:rPr>
          <w:rFonts w:ascii="宋体" w:hAnsi="宋体"/>
          <w:szCs w:val="21"/>
        </w:rPr>
        <w:t>数据链保护</w:t>
      </w:r>
    </w:p>
    <w:p>
      <w:pPr>
        <w:spacing w:line="360" w:lineRule="auto"/>
        <w:rPr>
          <w:rFonts w:ascii="宋体" w:hAnsi="宋体"/>
          <w:szCs w:val="21"/>
        </w:rPr>
      </w:pPr>
      <w:r>
        <w:rPr>
          <w:rFonts w:ascii="宋体" w:hAnsi="宋体"/>
          <w:szCs w:val="21"/>
        </w:rPr>
        <w:t>无人驾驶航空器应采用信息安全技术手段进行防护，防止链路非授权访问。</w:t>
      </w:r>
    </w:p>
    <w:p>
      <w:pPr>
        <w:spacing w:line="360" w:lineRule="auto"/>
        <w:rPr>
          <w:rFonts w:ascii="宋体" w:hAnsi="宋体"/>
          <w:b/>
          <w:szCs w:val="21"/>
        </w:rPr>
      </w:pPr>
      <w:bookmarkStart w:id="103" w:name="_Toc13073"/>
      <w:bookmarkStart w:id="104" w:name="_Toc203143646"/>
      <w:r>
        <w:rPr>
          <w:rFonts w:ascii="宋体" w:hAnsi="宋体" w:hint="eastAsia"/>
          <w:b/>
          <w:szCs w:val="21"/>
        </w:rPr>
        <w:t>3.3.</w:t>
      </w:r>
      <w:bookmarkStart w:id="105" w:name="OLE_LINK15"/>
      <w:r>
        <w:rPr>
          <w:rFonts w:ascii="宋体" w:hAnsi="宋体" w:hint="eastAsia"/>
          <w:b/>
          <w:szCs w:val="21"/>
        </w:rPr>
        <w:t>1.10</w:t>
      </w:r>
      <w:bookmarkEnd w:id="105"/>
      <w:r>
        <w:rPr>
          <w:rFonts w:ascii="宋体" w:hAnsi="宋体" w:hint="eastAsia"/>
          <w:b/>
          <w:szCs w:val="21"/>
        </w:rPr>
        <w:t>机体结构</w:t>
      </w:r>
      <w:bookmarkEnd w:id="103"/>
      <w:bookmarkEnd w:id="104"/>
    </w:p>
    <w:p>
      <w:pPr>
        <w:spacing w:line="360" w:lineRule="auto"/>
        <w:rPr>
          <w:rFonts w:ascii="宋体" w:hAnsi="宋体"/>
          <w:szCs w:val="21"/>
        </w:rPr>
      </w:pPr>
      <w:r>
        <w:rPr>
          <w:rFonts w:ascii="宋体" w:hAnsi="宋体" w:hint="eastAsia"/>
          <w:szCs w:val="21"/>
        </w:rPr>
        <w:t>（1）</w:t>
      </w:r>
      <w:r>
        <w:rPr>
          <w:rFonts w:ascii="宋体" w:hAnsi="宋体"/>
          <w:szCs w:val="21"/>
        </w:rPr>
        <w:t>采用模块化设计，便于拆装和转场运输。</w:t>
      </w:r>
    </w:p>
    <w:p>
      <w:pPr>
        <w:spacing w:line="360" w:lineRule="auto"/>
        <w:rPr>
          <w:rFonts w:ascii="宋体" w:hAnsi="宋体"/>
          <w:szCs w:val="21"/>
        </w:rPr>
      </w:pPr>
      <w:r>
        <w:rPr>
          <w:rFonts w:ascii="宋体" w:hAnsi="宋体" w:hint="eastAsia"/>
          <w:szCs w:val="21"/>
        </w:rPr>
        <w:t>（2）</w:t>
      </w:r>
      <w:r>
        <w:rPr>
          <w:rFonts w:ascii="宋体" w:hAnsi="宋体"/>
          <w:szCs w:val="21"/>
        </w:rPr>
        <w:t>可适应复杂气象环境，设计时应考虑防水和防腐蚀设计。</w:t>
      </w:r>
    </w:p>
    <w:p>
      <w:pPr>
        <w:spacing w:line="360" w:lineRule="auto"/>
        <w:rPr>
          <w:rFonts w:ascii="宋体" w:hAnsi="宋体"/>
          <w:szCs w:val="21"/>
        </w:rPr>
      </w:pPr>
      <w:r>
        <w:rPr>
          <w:rFonts w:ascii="宋体" w:hAnsi="宋体" w:hint="eastAsia"/>
          <w:szCs w:val="21"/>
        </w:rPr>
        <w:t>（3）</w:t>
      </w:r>
      <w:r>
        <w:rPr>
          <w:rFonts w:ascii="宋体" w:hAnsi="宋体"/>
          <w:szCs w:val="21"/>
        </w:rPr>
        <w:t>用于安装、维修的口盖设计合理，便于机载各设备的拆装、保养和维护。</w:t>
      </w:r>
    </w:p>
    <w:p>
      <w:pPr>
        <w:spacing w:line="360" w:lineRule="auto"/>
        <w:rPr>
          <w:rFonts w:ascii="宋体" w:hAnsi="宋体"/>
          <w:szCs w:val="21"/>
        </w:rPr>
      </w:pPr>
      <w:r>
        <w:rPr>
          <w:rFonts w:ascii="宋体" w:hAnsi="宋体" w:hint="eastAsia"/>
          <w:szCs w:val="21"/>
        </w:rPr>
        <w:t>（4）</w:t>
      </w:r>
      <w:r>
        <w:rPr>
          <w:rFonts w:ascii="宋体" w:hAnsi="宋体"/>
          <w:szCs w:val="21"/>
        </w:rPr>
        <w:t>为各机载成品、电缆、管路及附件等提供安装空间。</w:t>
      </w:r>
    </w:p>
    <w:p>
      <w:pPr>
        <w:spacing w:line="360" w:lineRule="auto"/>
        <w:rPr>
          <w:rFonts w:ascii="宋体" w:hAnsi="宋体"/>
          <w:szCs w:val="21"/>
        </w:rPr>
      </w:pPr>
      <w:r>
        <w:rPr>
          <w:rFonts w:ascii="宋体" w:hAnsi="宋体" w:hint="eastAsia"/>
          <w:szCs w:val="21"/>
        </w:rPr>
        <w:t>（5）</w:t>
      </w:r>
      <w:r>
        <w:rPr>
          <w:rFonts w:ascii="宋体" w:hAnsi="宋体"/>
          <w:szCs w:val="21"/>
        </w:rPr>
        <w:t>机体结构应满足运输、飞机吊挂、系留和支撑等需求。</w:t>
      </w:r>
    </w:p>
    <w:p>
      <w:pPr>
        <w:spacing w:line="360" w:lineRule="auto"/>
        <w:rPr>
          <w:rFonts w:ascii="宋体" w:hAnsi="宋体"/>
          <w:szCs w:val="21"/>
        </w:rPr>
      </w:pPr>
      <w:r>
        <w:rPr>
          <w:rFonts w:ascii="宋体" w:hAnsi="宋体" w:hint="eastAsia"/>
          <w:szCs w:val="21"/>
        </w:rPr>
        <w:t>（6）</w:t>
      </w:r>
      <w:r>
        <w:rPr>
          <w:rFonts w:ascii="宋体" w:hAnsi="宋体"/>
          <w:szCs w:val="21"/>
        </w:rPr>
        <w:t>机体结构能够承受不同飞行阶段突风或阵风引起的载荷。</w:t>
      </w:r>
    </w:p>
    <w:p>
      <w:pPr>
        <w:spacing w:line="360" w:lineRule="auto"/>
        <w:rPr>
          <w:rFonts w:ascii="宋体" w:hAnsi="宋体"/>
          <w:szCs w:val="21"/>
        </w:rPr>
      </w:pPr>
      <w:r>
        <w:rPr>
          <w:rFonts w:ascii="宋体" w:hAnsi="宋体" w:hint="eastAsia"/>
          <w:szCs w:val="21"/>
        </w:rPr>
        <w:t>（7）</w:t>
      </w:r>
      <w:r>
        <w:rPr>
          <w:rFonts w:ascii="宋体" w:hAnsi="宋体"/>
          <w:szCs w:val="21"/>
        </w:rPr>
        <w:t>机体结构能够承受不同阶段转换时引起的载荷。</w:t>
      </w:r>
    </w:p>
    <w:p>
      <w:pPr>
        <w:spacing w:line="360" w:lineRule="auto"/>
        <w:rPr>
          <w:rFonts w:ascii="宋体" w:hAnsi="宋体"/>
          <w:b/>
          <w:szCs w:val="21"/>
        </w:rPr>
      </w:pPr>
      <w:bookmarkStart w:id="106" w:name="_Toc203143647"/>
      <w:bookmarkStart w:id="107" w:name="_Toc29280"/>
      <w:r>
        <w:rPr>
          <w:rFonts w:ascii="宋体" w:hAnsi="宋体" w:hint="eastAsia"/>
          <w:b/>
          <w:szCs w:val="21"/>
        </w:rPr>
        <w:t>3.3.</w:t>
      </w:r>
      <w:r>
        <w:rPr>
          <w:rFonts w:ascii="宋体" w:hAnsi="宋体"/>
          <w:b/>
          <w:szCs w:val="21"/>
        </w:rPr>
        <w:t>1.1</w:t>
      </w:r>
      <w:r>
        <w:rPr>
          <w:rFonts w:ascii="宋体" w:hAnsi="宋体" w:hint="eastAsia"/>
          <w:b/>
          <w:szCs w:val="21"/>
        </w:rPr>
        <w:t>1</w:t>
      </w:r>
      <w:r>
        <w:rPr>
          <w:rFonts w:ascii="宋体" w:hAnsi="宋体"/>
          <w:b/>
          <w:szCs w:val="21"/>
        </w:rPr>
        <w:t>起落架系统</w:t>
      </w:r>
      <w:bookmarkEnd w:id="106"/>
      <w:bookmarkEnd w:id="107"/>
    </w:p>
    <w:p>
      <w:pPr>
        <w:spacing w:line="360" w:lineRule="auto"/>
        <w:rPr>
          <w:rFonts w:ascii="宋体" w:hAnsi="宋体"/>
          <w:szCs w:val="21"/>
        </w:rPr>
      </w:pPr>
      <w:r>
        <w:rPr>
          <w:rFonts w:ascii="宋体" w:hAnsi="宋体" w:hint="eastAsia"/>
          <w:szCs w:val="21"/>
        </w:rPr>
        <w:t>（1）</w:t>
      </w:r>
      <w:r>
        <w:rPr>
          <w:rFonts w:ascii="宋体" w:hAnsi="宋体"/>
          <w:szCs w:val="21"/>
        </w:rPr>
        <w:t>为无人机在地面状态下提供支撑。</w:t>
      </w:r>
    </w:p>
    <w:p>
      <w:pPr>
        <w:spacing w:line="360" w:lineRule="auto"/>
        <w:rPr>
          <w:rFonts w:ascii="宋体" w:hAnsi="宋体"/>
          <w:szCs w:val="21"/>
        </w:rPr>
      </w:pPr>
      <w:r>
        <w:rPr>
          <w:rFonts w:ascii="宋体" w:hAnsi="宋体" w:hint="eastAsia"/>
          <w:szCs w:val="21"/>
        </w:rPr>
        <w:t>（2）</w:t>
      </w:r>
      <w:r>
        <w:rPr>
          <w:rFonts w:ascii="宋体" w:hAnsi="宋体"/>
          <w:szCs w:val="21"/>
        </w:rPr>
        <w:t>缓冲无人机在起飞、着陆和地面运动中产生的冲击力。</w:t>
      </w:r>
    </w:p>
    <w:p>
      <w:pPr>
        <w:spacing w:line="360" w:lineRule="auto"/>
        <w:rPr>
          <w:rFonts w:ascii="宋体" w:hAnsi="宋体"/>
          <w:szCs w:val="21"/>
        </w:rPr>
      </w:pPr>
      <w:r>
        <w:rPr>
          <w:rFonts w:ascii="宋体" w:hAnsi="宋体" w:hint="eastAsia"/>
          <w:szCs w:val="21"/>
        </w:rPr>
        <w:t>（3）</w:t>
      </w:r>
      <w:r>
        <w:rPr>
          <w:rFonts w:ascii="宋体" w:hAnsi="宋体"/>
          <w:szCs w:val="21"/>
        </w:rPr>
        <w:t>在规定的限制载荷下，起落架结构不发生永久变形。</w:t>
      </w:r>
    </w:p>
    <w:p>
      <w:pPr>
        <w:spacing w:line="360" w:lineRule="auto"/>
        <w:rPr>
          <w:rFonts w:ascii="宋体" w:hAnsi="宋体"/>
          <w:b/>
          <w:szCs w:val="21"/>
        </w:rPr>
      </w:pPr>
      <w:bookmarkStart w:id="108" w:name="_Toc203143648"/>
      <w:bookmarkStart w:id="109" w:name="_Toc17813"/>
      <w:r>
        <w:rPr>
          <w:rFonts w:ascii="宋体" w:hAnsi="宋体" w:hint="eastAsia"/>
          <w:b/>
          <w:szCs w:val="21"/>
        </w:rPr>
        <w:t>3.3.</w:t>
      </w:r>
      <w:r>
        <w:rPr>
          <w:rFonts w:ascii="宋体" w:hAnsi="宋体"/>
          <w:b/>
          <w:szCs w:val="21"/>
        </w:rPr>
        <w:t>1.1</w:t>
      </w:r>
      <w:r>
        <w:rPr>
          <w:rFonts w:ascii="宋体" w:hAnsi="宋体" w:hint="eastAsia"/>
          <w:b/>
          <w:szCs w:val="21"/>
        </w:rPr>
        <w:t>2飞管系统</w:t>
      </w:r>
      <w:bookmarkEnd w:id="108"/>
      <w:bookmarkEnd w:id="109"/>
    </w:p>
    <w:p>
      <w:pPr>
        <w:spacing w:line="360" w:lineRule="auto"/>
        <w:rPr>
          <w:rFonts w:ascii="宋体" w:hAnsi="宋体"/>
          <w:szCs w:val="21"/>
        </w:rPr>
      </w:pPr>
      <w:r>
        <w:rPr>
          <w:rFonts w:ascii="宋体" w:hAnsi="宋体" w:hint="eastAsia"/>
          <w:szCs w:val="21"/>
        </w:rPr>
        <w:t>（1）</w:t>
      </w:r>
      <w:r>
        <w:rPr>
          <w:rFonts w:ascii="宋体" w:hAnsi="宋体"/>
          <w:szCs w:val="21"/>
        </w:rPr>
        <w:t>具备飞行模式控制和切换功能。</w:t>
      </w:r>
    </w:p>
    <w:p>
      <w:pPr>
        <w:spacing w:line="360" w:lineRule="auto"/>
        <w:rPr>
          <w:rFonts w:ascii="宋体" w:hAnsi="宋体"/>
          <w:szCs w:val="21"/>
        </w:rPr>
      </w:pPr>
      <w:r>
        <w:rPr>
          <w:rFonts w:ascii="宋体" w:hAnsi="宋体" w:hint="eastAsia"/>
          <w:szCs w:val="21"/>
        </w:rPr>
        <w:t>（2）</w:t>
      </w:r>
      <w:r>
        <w:rPr>
          <w:rFonts w:ascii="宋体" w:hAnsi="宋体"/>
          <w:szCs w:val="21"/>
        </w:rPr>
        <w:t>具备导航计算、导航方式控制与管理功能。</w:t>
      </w:r>
    </w:p>
    <w:p>
      <w:pPr>
        <w:spacing w:line="360" w:lineRule="auto"/>
        <w:rPr>
          <w:rFonts w:ascii="宋体" w:hAnsi="宋体"/>
          <w:szCs w:val="21"/>
        </w:rPr>
      </w:pPr>
      <w:r>
        <w:rPr>
          <w:rFonts w:ascii="宋体" w:hAnsi="宋体" w:hint="eastAsia"/>
          <w:szCs w:val="21"/>
        </w:rPr>
        <w:t>（3）</w:t>
      </w:r>
      <w:r>
        <w:rPr>
          <w:rFonts w:ascii="宋体" w:hAnsi="宋体"/>
          <w:szCs w:val="21"/>
        </w:rPr>
        <w:t>具备自主航线飞行、指令飞行控制模式，具备应急返航功能。</w:t>
      </w:r>
    </w:p>
    <w:p>
      <w:pPr>
        <w:spacing w:line="360" w:lineRule="auto"/>
        <w:rPr>
          <w:rFonts w:ascii="宋体" w:hAnsi="宋体"/>
          <w:szCs w:val="21"/>
        </w:rPr>
      </w:pPr>
      <w:r>
        <w:rPr>
          <w:rFonts w:ascii="宋体" w:hAnsi="宋体" w:hint="eastAsia"/>
          <w:szCs w:val="21"/>
        </w:rPr>
        <w:t>（4）</w:t>
      </w:r>
      <w:r>
        <w:rPr>
          <w:rFonts w:ascii="宋体" w:hAnsi="宋体"/>
          <w:szCs w:val="21"/>
        </w:rPr>
        <w:t>具备飞行极限状态限制功能，包括姿态异常保护、高度异常保护、超出航线安全围栏保护。</w:t>
      </w:r>
    </w:p>
    <w:p>
      <w:pPr>
        <w:spacing w:line="360" w:lineRule="auto"/>
        <w:rPr>
          <w:rFonts w:ascii="宋体" w:hAnsi="宋体"/>
          <w:szCs w:val="21"/>
        </w:rPr>
      </w:pPr>
      <w:r>
        <w:rPr>
          <w:rFonts w:ascii="宋体" w:hAnsi="宋体" w:hint="eastAsia"/>
          <w:szCs w:val="21"/>
        </w:rPr>
        <w:t>（5）</w:t>
      </w:r>
      <w:r>
        <w:rPr>
          <w:rFonts w:ascii="宋体" w:hAnsi="宋体"/>
          <w:szCs w:val="21"/>
        </w:rPr>
        <w:t>完成机载系统状态监测、控制与管理，具备一定的故障自动处置和自动决策能力。</w:t>
      </w:r>
    </w:p>
    <w:p>
      <w:pPr>
        <w:spacing w:line="360" w:lineRule="auto"/>
        <w:rPr>
          <w:rFonts w:ascii="宋体" w:hAnsi="宋体"/>
          <w:szCs w:val="21"/>
        </w:rPr>
      </w:pPr>
      <w:r>
        <w:rPr>
          <w:rFonts w:ascii="宋体" w:hAnsi="宋体" w:hint="eastAsia"/>
          <w:szCs w:val="21"/>
        </w:rPr>
        <w:t>（6）</w:t>
      </w:r>
      <w:r>
        <w:rPr>
          <w:rFonts w:ascii="宋体" w:hAnsi="宋体"/>
          <w:szCs w:val="21"/>
        </w:rPr>
        <w:t>卫星导航系统支持GPS、BDS双系统导航定位，支持载波相位差分RTK导航。</w:t>
      </w:r>
    </w:p>
    <w:p>
      <w:pPr>
        <w:spacing w:line="360" w:lineRule="auto"/>
        <w:rPr>
          <w:rFonts w:ascii="宋体" w:hAnsi="宋体"/>
          <w:szCs w:val="21"/>
        </w:rPr>
      </w:pPr>
      <w:r>
        <w:rPr>
          <w:rFonts w:ascii="宋体" w:hAnsi="宋体" w:hint="eastAsia"/>
          <w:szCs w:val="21"/>
        </w:rPr>
        <w:t>（7）</w:t>
      </w:r>
      <w:r>
        <w:rPr>
          <w:rFonts w:ascii="宋体" w:hAnsi="宋体"/>
          <w:szCs w:val="21"/>
        </w:rPr>
        <w:t>具备纯惯性、惯性/卫星组合导航能力。</w:t>
      </w:r>
    </w:p>
    <w:p>
      <w:pPr>
        <w:spacing w:line="360" w:lineRule="auto"/>
        <w:rPr>
          <w:rFonts w:ascii="宋体" w:hAnsi="宋体"/>
          <w:szCs w:val="21"/>
        </w:rPr>
      </w:pPr>
      <w:r>
        <w:rPr>
          <w:rFonts w:ascii="宋体" w:hAnsi="宋体" w:hint="eastAsia"/>
          <w:szCs w:val="21"/>
        </w:rPr>
        <w:t>（8）</w:t>
      </w:r>
      <w:r>
        <w:rPr>
          <w:rFonts w:ascii="宋体" w:hAnsi="宋体"/>
          <w:szCs w:val="21"/>
        </w:rPr>
        <w:t>配置毫米波雷达，为无人机提供无线电测高数据。</w:t>
      </w:r>
    </w:p>
    <w:p>
      <w:pPr>
        <w:spacing w:line="360" w:lineRule="auto"/>
        <w:rPr>
          <w:rFonts w:ascii="宋体" w:hAnsi="宋体"/>
          <w:szCs w:val="21"/>
        </w:rPr>
      </w:pPr>
      <w:r>
        <w:rPr>
          <w:rFonts w:ascii="宋体" w:hAnsi="宋体" w:hint="eastAsia"/>
          <w:szCs w:val="21"/>
        </w:rPr>
        <w:t>（9）</w:t>
      </w:r>
      <w:r>
        <w:rPr>
          <w:rFonts w:ascii="宋体" w:hAnsi="宋体"/>
          <w:szCs w:val="21"/>
        </w:rPr>
        <w:t>具备ADS-B IN/OUT功能，能够对本机位置、速度、航向等进行广播，能够接收周边空域的ADS-B广播信息。</w:t>
      </w:r>
    </w:p>
    <w:p>
      <w:pPr>
        <w:spacing w:line="360" w:lineRule="auto"/>
        <w:rPr>
          <w:rFonts w:ascii="宋体" w:hAnsi="宋体"/>
          <w:szCs w:val="21"/>
        </w:rPr>
      </w:pPr>
      <w:r>
        <w:rPr>
          <w:rFonts w:ascii="宋体" w:hAnsi="宋体" w:hint="eastAsia"/>
          <w:szCs w:val="21"/>
        </w:rPr>
        <w:t>（10）</w:t>
      </w:r>
      <w:r>
        <w:rPr>
          <w:rFonts w:ascii="宋体" w:hAnsi="宋体"/>
          <w:szCs w:val="21"/>
        </w:rPr>
        <w:t>具备任务载荷状态监控、控制功能。</w:t>
      </w:r>
    </w:p>
    <w:p>
      <w:pPr>
        <w:spacing w:line="360" w:lineRule="auto"/>
        <w:rPr>
          <w:rFonts w:ascii="宋体" w:hAnsi="宋体"/>
          <w:b/>
          <w:szCs w:val="21"/>
        </w:rPr>
      </w:pPr>
      <w:bookmarkStart w:id="110" w:name="_Toc319"/>
      <w:bookmarkStart w:id="111" w:name="_Toc203143649"/>
      <w:r>
        <w:rPr>
          <w:rFonts w:ascii="宋体" w:hAnsi="宋体" w:hint="eastAsia"/>
          <w:b/>
          <w:szCs w:val="21"/>
        </w:rPr>
        <w:t>3.3</w:t>
      </w:r>
      <w:bookmarkStart w:id="112" w:name="OLE_LINK26"/>
      <w:r>
        <w:rPr>
          <w:rFonts w:ascii="宋体" w:hAnsi="宋体" w:hint="eastAsia"/>
          <w:b/>
          <w:szCs w:val="21"/>
        </w:rPr>
        <w:t>.</w:t>
      </w:r>
      <w:r>
        <w:rPr>
          <w:rFonts w:ascii="宋体" w:hAnsi="宋体"/>
          <w:b/>
          <w:szCs w:val="21"/>
        </w:rPr>
        <w:t>1.1</w:t>
      </w:r>
      <w:r>
        <w:rPr>
          <w:rFonts w:ascii="宋体" w:hAnsi="宋体" w:hint="eastAsia"/>
          <w:b/>
          <w:szCs w:val="21"/>
        </w:rPr>
        <w:t>3</w:t>
      </w:r>
      <w:bookmarkEnd w:id="112"/>
      <w:r>
        <w:rPr>
          <w:rFonts w:ascii="宋体" w:hAnsi="宋体"/>
          <w:b/>
          <w:szCs w:val="21"/>
        </w:rPr>
        <w:t>巡航动力系统</w:t>
      </w:r>
      <w:bookmarkEnd w:id="110"/>
      <w:bookmarkEnd w:id="111"/>
    </w:p>
    <w:p>
      <w:pPr>
        <w:spacing w:line="360" w:lineRule="auto"/>
        <w:rPr>
          <w:rFonts w:ascii="宋体" w:hAnsi="宋体"/>
          <w:szCs w:val="21"/>
        </w:rPr>
      </w:pPr>
      <w:r>
        <w:rPr>
          <w:rFonts w:ascii="宋体" w:hAnsi="宋体" w:hint="eastAsia"/>
          <w:szCs w:val="21"/>
        </w:rPr>
        <w:t>（1）</w:t>
      </w:r>
      <w:r>
        <w:rPr>
          <w:rFonts w:ascii="宋体" w:hAnsi="宋体"/>
          <w:szCs w:val="21"/>
        </w:rPr>
        <w:t>应能保证在所有飞行包线内，发动机工作稳定可靠。</w:t>
      </w:r>
    </w:p>
    <w:p>
      <w:pPr>
        <w:spacing w:line="360" w:lineRule="auto"/>
        <w:rPr>
          <w:rFonts w:ascii="宋体" w:hAnsi="宋体"/>
          <w:szCs w:val="21"/>
        </w:rPr>
      </w:pPr>
      <w:r>
        <w:rPr>
          <w:rFonts w:ascii="宋体" w:hAnsi="宋体" w:hint="eastAsia"/>
          <w:szCs w:val="21"/>
        </w:rPr>
        <w:t>（2）</w:t>
      </w:r>
      <w:r>
        <w:rPr>
          <w:rFonts w:ascii="宋体" w:hAnsi="宋体"/>
          <w:szCs w:val="21"/>
        </w:rPr>
        <w:t>发动机安装应可达性良好，以进行必要的检查和维护。</w:t>
      </w:r>
    </w:p>
    <w:p>
      <w:pPr>
        <w:spacing w:line="360" w:lineRule="auto"/>
        <w:rPr>
          <w:rFonts w:ascii="宋体" w:hAnsi="宋体"/>
          <w:szCs w:val="21"/>
        </w:rPr>
      </w:pPr>
      <w:r>
        <w:rPr>
          <w:rFonts w:ascii="宋体" w:hAnsi="宋体" w:hint="eastAsia"/>
          <w:szCs w:val="21"/>
        </w:rPr>
        <w:t>（3）</w:t>
      </w:r>
      <w:r>
        <w:rPr>
          <w:rFonts w:ascii="宋体" w:hAnsi="宋体"/>
          <w:szCs w:val="21"/>
        </w:rPr>
        <w:t>发动机及其附件应尽量集成，以便整体拆装。</w:t>
      </w:r>
    </w:p>
    <w:p>
      <w:pPr>
        <w:spacing w:line="360" w:lineRule="auto"/>
        <w:rPr>
          <w:rFonts w:ascii="宋体" w:hAnsi="宋体"/>
          <w:szCs w:val="21"/>
        </w:rPr>
      </w:pPr>
      <w:r>
        <w:rPr>
          <w:rFonts w:ascii="宋体" w:hAnsi="宋体" w:hint="eastAsia"/>
          <w:szCs w:val="21"/>
        </w:rPr>
        <w:t>（4）</w:t>
      </w:r>
      <w:r>
        <w:rPr>
          <w:rFonts w:ascii="宋体" w:hAnsi="宋体"/>
          <w:szCs w:val="21"/>
        </w:rPr>
        <w:t>配套螺旋桨应具备电防冰功能。</w:t>
      </w:r>
    </w:p>
    <w:p>
      <w:pPr>
        <w:spacing w:line="360" w:lineRule="auto"/>
        <w:rPr>
          <w:rFonts w:ascii="宋体" w:hAnsi="宋体"/>
          <w:b/>
          <w:szCs w:val="21"/>
        </w:rPr>
      </w:pPr>
      <w:bookmarkStart w:id="113" w:name="_Toc13398"/>
      <w:bookmarkStart w:id="114" w:name="_Toc203143650"/>
      <w:r>
        <w:rPr>
          <w:rFonts w:ascii="宋体" w:hAnsi="宋体" w:hint="eastAsia"/>
          <w:b/>
          <w:szCs w:val="21"/>
        </w:rPr>
        <w:t>3.3</w:t>
      </w:r>
      <w:r>
        <w:rPr>
          <w:rFonts w:ascii="宋体" w:hAnsi="宋体"/>
          <w:b/>
          <w:szCs w:val="21"/>
        </w:rPr>
        <w:t>.1.1</w:t>
      </w:r>
      <w:r>
        <w:rPr>
          <w:rFonts w:ascii="宋体" w:hAnsi="宋体" w:hint="eastAsia"/>
          <w:b/>
          <w:szCs w:val="21"/>
        </w:rPr>
        <w:t>4</w:t>
      </w:r>
      <w:r>
        <w:rPr>
          <w:rFonts w:ascii="宋体" w:hAnsi="宋体"/>
          <w:b/>
          <w:szCs w:val="21"/>
        </w:rPr>
        <w:t>垂起动力系统</w:t>
      </w:r>
      <w:bookmarkEnd w:id="113"/>
      <w:bookmarkEnd w:id="114"/>
    </w:p>
    <w:p>
      <w:pPr>
        <w:spacing w:line="360" w:lineRule="auto"/>
        <w:rPr>
          <w:rFonts w:ascii="宋体" w:hAnsi="宋体"/>
          <w:szCs w:val="21"/>
        </w:rPr>
      </w:pPr>
      <w:r>
        <w:rPr>
          <w:rFonts w:ascii="宋体" w:hAnsi="宋体" w:hint="eastAsia"/>
          <w:szCs w:val="21"/>
        </w:rPr>
        <w:t>（1）</w:t>
      </w:r>
      <w:r>
        <w:rPr>
          <w:rFonts w:ascii="宋体" w:hAnsi="宋体"/>
          <w:szCs w:val="21"/>
        </w:rPr>
        <w:t>与巡航动力相互独立，任意一动力系统失效应不危害另一动力系统正常工作。</w:t>
      </w:r>
    </w:p>
    <w:p>
      <w:pPr>
        <w:spacing w:line="360" w:lineRule="auto"/>
        <w:rPr>
          <w:rFonts w:ascii="宋体" w:hAnsi="宋体"/>
          <w:szCs w:val="21"/>
        </w:rPr>
      </w:pPr>
      <w:r>
        <w:rPr>
          <w:rFonts w:ascii="宋体" w:hAnsi="宋体" w:hint="eastAsia"/>
          <w:szCs w:val="21"/>
        </w:rPr>
        <w:t>（2）</w:t>
      </w:r>
      <w:r>
        <w:rPr>
          <w:rFonts w:ascii="宋体" w:hAnsi="宋体"/>
          <w:szCs w:val="21"/>
        </w:rPr>
        <w:t>垂起动力单个电机失效的情况下，系统能够安全着陆，具有一定的应急保护功能；</w:t>
      </w:r>
    </w:p>
    <w:p>
      <w:pPr>
        <w:spacing w:line="360" w:lineRule="auto"/>
        <w:rPr>
          <w:rFonts w:ascii="宋体" w:hAnsi="宋体"/>
          <w:szCs w:val="21"/>
        </w:rPr>
      </w:pPr>
      <w:r>
        <w:rPr>
          <w:rFonts w:ascii="宋体" w:hAnsi="宋体" w:hint="eastAsia"/>
          <w:szCs w:val="21"/>
        </w:rPr>
        <w:t>（3）</w:t>
      </w:r>
      <w:r>
        <w:rPr>
          <w:rFonts w:ascii="宋体" w:hAnsi="宋体"/>
          <w:szCs w:val="21"/>
        </w:rPr>
        <w:t>垂起动力电机控制器应具备刹车设置、过压、低压保护功能和可支持编程功能。</w:t>
      </w:r>
    </w:p>
    <w:p>
      <w:pPr>
        <w:spacing w:line="360" w:lineRule="auto"/>
        <w:rPr>
          <w:rFonts w:ascii="宋体" w:hAnsi="宋体"/>
          <w:szCs w:val="21"/>
        </w:rPr>
      </w:pPr>
      <w:r>
        <w:rPr>
          <w:rFonts w:ascii="宋体" w:hAnsi="宋体" w:hint="eastAsia"/>
          <w:szCs w:val="21"/>
        </w:rPr>
        <w:t>（4）</w:t>
      </w:r>
      <w:r>
        <w:rPr>
          <w:rFonts w:ascii="宋体" w:hAnsi="宋体"/>
          <w:szCs w:val="21"/>
        </w:rPr>
        <w:t>垂起动力电机、电机控制器应保证在小雨环境下正常工作。</w:t>
      </w:r>
    </w:p>
    <w:p>
      <w:pPr>
        <w:spacing w:line="360" w:lineRule="auto"/>
        <w:rPr>
          <w:rFonts w:ascii="宋体" w:hAnsi="宋体"/>
          <w:szCs w:val="21"/>
        </w:rPr>
      </w:pPr>
      <w:r>
        <w:rPr>
          <w:rFonts w:ascii="宋体" w:hAnsi="宋体" w:hint="eastAsia"/>
          <w:szCs w:val="21"/>
        </w:rPr>
        <w:t>（5）</w:t>
      </w:r>
      <w:r>
        <w:rPr>
          <w:rFonts w:ascii="宋体" w:hAnsi="宋体"/>
          <w:szCs w:val="21"/>
        </w:rPr>
        <w:t>动力电池最大连续放电倍率应满足垂起模式电机最大功率需求。</w:t>
      </w:r>
    </w:p>
    <w:p>
      <w:pPr>
        <w:spacing w:line="360" w:lineRule="auto"/>
        <w:rPr>
          <w:rFonts w:ascii="宋体" w:hAnsi="宋体"/>
          <w:b/>
          <w:szCs w:val="21"/>
        </w:rPr>
      </w:pPr>
      <w:bookmarkStart w:id="115" w:name="_Toc203143651"/>
      <w:bookmarkStart w:id="116" w:name="_Toc5886"/>
      <w:r>
        <w:rPr>
          <w:rFonts w:ascii="宋体" w:hAnsi="宋体" w:hint="eastAsia"/>
          <w:b/>
          <w:szCs w:val="21"/>
        </w:rPr>
        <w:t>3.3</w:t>
      </w:r>
      <w:r>
        <w:rPr>
          <w:rFonts w:ascii="宋体" w:hAnsi="宋体"/>
          <w:b/>
          <w:szCs w:val="21"/>
        </w:rPr>
        <w:t>.1.1</w:t>
      </w:r>
      <w:r>
        <w:rPr>
          <w:rFonts w:ascii="宋体" w:hAnsi="宋体" w:hint="eastAsia"/>
          <w:b/>
          <w:szCs w:val="21"/>
        </w:rPr>
        <w:t>5电气系统</w:t>
      </w:r>
      <w:bookmarkEnd w:id="115"/>
      <w:bookmarkEnd w:id="116"/>
    </w:p>
    <w:p>
      <w:pPr>
        <w:spacing w:line="360" w:lineRule="auto"/>
        <w:rPr>
          <w:rFonts w:ascii="宋体" w:hAnsi="宋体"/>
          <w:szCs w:val="21"/>
        </w:rPr>
      </w:pPr>
      <w:r>
        <w:rPr>
          <w:rFonts w:ascii="宋体" w:hAnsi="宋体" w:hint="eastAsia"/>
          <w:szCs w:val="21"/>
        </w:rPr>
        <w:t>（1）</w:t>
      </w:r>
      <w:r>
        <w:rPr>
          <w:rFonts w:ascii="宋体" w:hAnsi="宋体"/>
          <w:szCs w:val="21"/>
        </w:rPr>
        <w:t>在地面、空中为平台提供可靠电源。</w:t>
      </w:r>
    </w:p>
    <w:p>
      <w:pPr>
        <w:spacing w:line="360" w:lineRule="auto"/>
        <w:rPr>
          <w:rFonts w:ascii="宋体" w:hAnsi="宋体"/>
          <w:szCs w:val="21"/>
        </w:rPr>
      </w:pPr>
      <w:r>
        <w:rPr>
          <w:rFonts w:ascii="宋体" w:hAnsi="宋体" w:hint="eastAsia"/>
          <w:szCs w:val="21"/>
        </w:rPr>
        <w:t>（2）</w:t>
      </w:r>
      <w:r>
        <w:rPr>
          <w:rFonts w:ascii="宋体" w:hAnsi="宋体"/>
          <w:szCs w:val="21"/>
        </w:rPr>
        <w:t>配置应急电源，当主电源故障时，应急电源可向无人机安全飞行必需的关键设备进行应急供电。</w:t>
      </w:r>
    </w:p>
    <w:p>
      <w:pPr>
        <w:spacing w:line="360" w:lineRule="auto"/>
        <w:rPr>
          <w:rFonts w:ascii="宋体" w:hAnsi="宋体"/>
          <w:szCs w:val="21"/>
        </w:rPr>
      </w:pPr>
      <w:r>
        <w:rPr>
          <w:rFonts w:ascii="宋体" w:hAnsi="宋体" w:hint="eastAsia"/>
          <w:szCs w:val="21"/>
        </w:rPr>
        <w:t>（3）</w:t>
      </w:r>
      <w:r>
        <w:rPr>
          <w:rFonts w:ascii="宋体" w:hAnsi="宋体"/>
          <w:szCs w:val="21"/>
        </w:rPr>
        <w:t>实现电功率全机分配，供电故障时优先保证关键设备供电。</w:t>
      </w:r>
    </w:p>
    <w:p>
      <w:pPr>
        <w:spacing w:line="360" w:lineRule="auto"/>
        <w:rPr>
          <w:rFonts w:ascii="宋体" w:hAnsi="宋体"/>
          <w:szCs w:val="21"/>
        </w:rPr>
      </w:pPr>
      <w:r>
        <w:rPr>
          <w:rFonts w:ascii="宋体" w:hAnsi="宋体" w:hint="eastAsia"/>
          <w:szCs w:val="21"/>
        </w:rPr>
        <w:t>（4）</w:t>
      </w:r>
      <w:r>
        <w:rPr>
          <w:rFonts w:ascii="宋体" w:hAnsi="宋体"/>
          <w:szCs w:val="21"/>
        </w:rPr>
        <w:t>实现电气信号转换和传输。</w:t>
      </w:r>
    </w:p>
    <w:p>
      <w:pPr>
        <w:spacing w:line="360" w:lineRule="auto"/>
        <w:rPr>
          <w:rFonts w:ascii="宋体" w:hAnsi="宋体"/>
          <w:szCs w:val="21"/>
        </w:rPr>
      </w:pPr>
      <w:r>
        <w:rPr>
          <w:rFonts w:ascii="宋体" w:hAnsi="宋体" w:hint="eastAsia"/>
          <w:szCs w:val="21"/>
        </w:rPr>
        <w:t>（5）</w:t>
      </w:r>
      <w:r>
        <w:rPr>
          <w:rFonts w:ascii="宋体" w:hAnsi="宋体"/>
          <w:szCs w:val="21"/>
        </w:rPr>
        <w:t>提供电气系统实时状态监测数据接口，提供上位机。</w:t>
      </w:r>
    </w:p>
    <w:p>
      <w:pPr>
        <w:spacing w:line="360" w:lineRule="auto"/>
        <w:rPr>
          <w:rFonts w:ascii="宋体" w:hAnsi="宋体"/>
          <w:b/>
          <w:szCs w:val="21"/>
        </w:rPr>
      </w:pPr>
      <w:bookmarkStart w:id="117" w:name="_Toc12459"/>
      <w:bookmarkStart w:id="118" w:name="_Toc203143652"/>
      <w:r>
        <w:rPr>
          <w:rFonts w:ascii="宋体" w:hAnsi="宋体" w:hint="eastAsia"/>
          <w:b/>
          <w:szCs w:val="21"/>
        </w:rPr>
        <w:t>3.3</w:t>
      </w:r>
      <w:r>
        <w:rPr>
          <w:rFonts w:ascii="宋体" w:hAnsi="宋体"/>
          <w:b/>
          <w:szCs w:val="21"/>
        </w:rPr>
        <w:t>.1.1</w:t>
      </w:r>
      <w:r>
        <w:rPr>
          <w:rFonts w:ascii="宋体" w:hAnsi="宋体" w:hint="eastAsia"/>
          <w:b/>
          <w:szCs w:val="21"/>
        </w:rPr>
        <w:t>6燃油系统</w:t>
      </w:r>
      <w:bookmarkEnd w:id="117"/>
      <w:bookmarkEnd w:id="118"/>
    </w:p>
    <w:p>
      <w:pPr>
        <w:spacing w:line="360" w:lineRule="auto"/>
        <w:rPr>
          <w:rFonts w:ascii="宋体" w:hAnsi="宋体"/>
          <w:szCs w:val="21"/>
        </w:rPr>
      </w:pPr>
      <w:r>
        <w:rPr>
          <w:rFonts w:ascii="宋体" w:hAnsi="宋体" w:hint="eastAsia"/>
          <w:szCs w:val="21"/>
        </w:rPr>
        <w:t>（1）</w:t>
      </w:r>
      <w:r>
        <w:rPr>
          <w:rFonts w:ascii="宋体" w:hAnsi="宋体"/>
          <w:szCs w:val="21"/>
        </w:rPr>
        <w:t>储存飞行所需燃油。</w:t>
      </w:r>
    </w:p>
    <w:p>
      <w:pPr>
        <w:spacing w:line="360" w:lineRule="auto"/>
        <w:rPr>
          <w:rFonts w:ascii="宋体" w:hAnsi="宋体"/>
          <w:szCs w:val="21"/>
        </w:rPr>
      </w:pPr>
      <w:r>
        <w:rPr>
          <w:rFonts w:ascii="宋体" w:hAnsi="宋体" w:hint="eastAsia"/>
          <w:szCs w:val="21"/>
        </w:rPr>
        <w:t>（2）</w:t>
      </w:r>
      <w:r>
        <w:rPr>
          <w:rFonts w:ascii="宋体" w:hAnsi="宋体"/>
          <w:szCs w:val="21"/>
        </w:rPr>
        <w:t>具备低油量告警功能。</w:t>
      </w:r>
    </w:p>
    <w:p>
      <w:pPr>
        <w:spacing w:line="360" w:lineRule="auto"/>
        <w:rPr>
          <w:rFonts w:ascii="宋体" w:hAnsi="宋体"/>
          <w:szCs w:val="21"/>
        </w:rPr>
      </w:pPr>
      <w:r>
        <w:rPr>
          <w:rFonts w:ascii="宋体" w:hAnsi="宋体" w:hint="eastAsia"/>
          <w:szCs w:val="21"/>
        </w:rPr>
        <w:t>（3）</w:t>
      </w:r>
      <w:r>
        <w:rPr>
          <w:rFonts w:ascii="宋体" w:hAnsi="宋体"/>
          <w:szCs w:val="21"/>
        </w:rPr>
        <w:t>设置加油口，采用重量加油方式。</w:t>
      </w:r>
    </w:p>
    <w:p>
      <w:pPr>
        <w:spacing w:line="360" w:lineRule="auto"/>
        <w:rPr>
          <w:rFonts w:ascii="宋体" w:hAnsi="宋体"/>
          <w:szCs w:val="21"/>
        </w:rPr>
      </w:pPr>
      <w:r>
        <w:rPr>
          <w:rFonts w:ascii="宋体" w:hAnsi="宋体" w:hint="eastAsia"/>
          <w:szCs w:val="21"/>
        </w:rPr>
        <w:t>（4）</w:t>
      </w:r>
      <w:r>
        <w:rPr>
          <w:rFonts w:ascii="宋体" w:hAnsi="宋体"/>
          <w:szCs w:val="21"/>
        </w:rPr>
        <w:t>设置放油口，采用重量放油方式，用于地面排放燃油。</w:t>
      </w:r>
    </w:p>
    <w:p>
      <w:pPr>
        <w:spacing w:line="360" w:lineRule="auto"/>
        <w:rPr>
          <w:rFonts w:ascii="宋体" w:hAnsi="宋体"/>
          <w:szCs w:val="21"/>
        </w:rPr>
      </w:pPr>
      <w:r>
        <w:rPr>
          <w:rFonts w:ascii="宋体" w:hAnsi="宋体" w:hint="eastAsia"/>
          <w:szCs w:val="21"/>
        </w:rPr>
        <w:t>（5）</w:t>
      </w:r>
      <w:r>
        <w:rPr>
          <w:rFonts w:ascii="宋体" w:hAnsi="宋体"/>
          <w:szCs w:val="21"/>
        </w:rPr>
        <w:t>采用双燃油泵设计，能够保证供输油的安全可靠。</w:t>
      </w:r>
    </w:p>
    <w:p>
      <w:pPr>
        <w:spacing w:line="360" w:lineRule="auto"/>
        <w:rPr>
          <w:rFonts w:ascii="宋体" w:hAnsi="宋体"/>
          <w:b/>
          <w:szCs w:val="21"/>
        </w:rPr>
      </w:pPr>
      <w:bookmarkStart w:id="119" w:name="_Toc203143653"/>
      <w:bookmarkStart w:id="120" w:name="_Toc15977"/>
      <w:r>
        <w:rPr>
          <w:rFonts w:ascii="宋体" w:hAnsi="宋体" w:hint="eastAsia"/>
          <w:b/>
          <w:szCs w:val="21"/>
        </w:rPr>
        <w:t>3.3</w:t>
      </w:r>
      <w:r>
        <w:rPr>
          <w:rFonts w:ascii="宋体" w:hAnsi="宋体"/>
          <w:b/>
          <w:szCs w:val="21"/>
        </w:rPr>
        <w:t>.1.1</w:t>
      </w:r>
      <w:r>
        <w:rPr>
          <w:rFonts w:ascii="宋体" w:hAnsi="宋体" w:hint="eastAsia"/>
          <w:b/>
          <w:szCs w:val="21"/>
        </w:rPr>
        <w:t>7机载链路系统</w:t>
      </w:r>
      <w:bookmarkEnd w:id="119"/>
      <w:bookmarkEnd w:id="120"/>
    </w:p>
    <w:p>
      <w:pPr>
        <w:spacing w:line="360" w:lineRule="auto"/>
        <w:rPr>
          <w:rFonts w:ascii="宋体" w:hAnsi="宋体"/>
          <w:szCs w:val="21"/>
        </w:rPr>
      </w:pPr>
      <w:r>
        <w:rPr>
          <w:rFonts w:ascii="宋体" w:hAnsi="宋体" w:hint="eastAsia"/>
          <w:szCs w:val="21"/>
        </w:rPr>
        <w:t>（1）</w:t>
      </w:r>
      <w:r>
        <w:rPr>
          <w:rFonts w:ascii="宋体" w:hAnsi="宋体"/>
          <w:szCs w:val="21"/>
        </w:rPr>
        <w:t>实现无人机飞行控制指令、链路控制指令等遥控指令的实时传输。</w:t>
      </w:r>
    </w:p>
    <w:p>
      <w:pPr>
        <w:spacing w:line="360" w:lineRule="auto"/>
        <w:rPr>
          <w:rFonts w:ascii="宋体" w:hAnsi="宋体"/>
          <w:szCs w:val="21"/>
        </w:rPr>
      </w:pPr>
      <w:r>
        <w:rPr>
          <w:rFonts w:ascii="宋体" w:hAnsi="宋体" w:hint="eastAsia"/>
          <w:szCs w:val="21"/>
        </w:rPr>
        <w:t>（2）</w:t>
      </w:r>
      <w:r>
        <w:rPr>
          <w:rFonts w:ascii="宋体" w:hAnsi="宋体"/>
          <w:szCs w:val="21"/>
        </w:rPr>
        <w:t>实现无人机机载系统工作状态参数、飞行参数、任务载荷和链路工作状态等遥测信息的实时传输。</w:t>
      </w:r>
    </w:p>
    <w:p>
      <w:pPr>
        <w:spacing w:line="360" w:lineRule="auto"/>
        <w:rPr>
          <w:rFonts w:ascii="宋体" w:hAnsi="宋体"/>
          <w:szCs w:val="21"/>
        </w:rPr>
      </w:pPr>
      <w:r>
        <w:rPr>
          <w:rFonts w:ascii="宋体" w:hAnsi="宋体" w:hint="eastAsia"/>
          <w:szCs w:val="21"/>
        </w:rPr>
        <w:t>（3）</w:t>
      </w:r>
      <w:r>
        <w:rPr>
          <w:rFonts w:ascii="宋体" w:hAnsi="宋体"/>
          <w:szCs w:val="21"/>
        </w:rPr>
        <w:t>可实时传输无人机获取到的信息。</w:t>
      </w:r>
    </w:p>
    <w:p>
      <w:pPr>
        <w:spacing w:line="360" w:lineRule="auto"/>
        <w:rPr>
          <w:rFonts w:ascii="宋体" w:hAnsi="宋体"/>
          <w:szCs w:val="21"/>
        </w:rPr>
      </w:pPr>
      <w:r>
        <w:rPr>
          <w:rFonts w:ascii="宋体" w:hAnsi="宋体" w:hint="eastAsia"/>
          <w:szCs w:val="21"/>
        </w:rPr>
        <w:t>（4）</w:t>
      </w:r>
      <w:r>
        <w:rPr>
          <w:rFonts w:ascii="宋体" w:hAnsi="宋体"/>
          <w:szCs w:val="21"/>
        </w:rPr>
        <w:t>具备一定的抗干扰能力。</w:t>
      </w:r>
    </w:p>
    <w:p>
      <w:pPr>
        <w:spacing w:line="360" w:lineRule="auto"/>
        <w:rPr>
          <w:rFonts w:ascii="宋体" w:hAnsi="宋体"/>
          <w:szCs w:val="21"/>
        </w:rPr>
      </w:pPr>
      <w:r>
        <w:rPr>
          <w:rFonts w:ascii="宋体" w:hAnsi="宋体" w:hint="eastAsia"/>
          <w:szCs w:val="21"/>
        </w:rPr>
        <w:t>（5）</w:t>
      </w:r>
      <w:r>
        <w:rPr>
          <w:rFonts w:ascii="宋体" w:hAnsi="宋体"/>
          <w:szCs w:val="21"/>
        </w:rPr>
        <w:t>实现对无人机监视数据的获取、处理和传输。</w:t>
      </w:r>
    </w:p>
    <w:p>
      <w:pPr>
        <w:spacing w:line="360" w:lineRule="auto"/>
        <w:rPr>
          <w:rFonts w:ascii="宋体" w:hAnsi="宋体"/>
          <w:b/>
          <w:szCs w:val="21"/>
        </w:rPr>
      </w:pPr>
      <w:bookmarkStart w:id="121" w:name="_Toc26068"/>
      <w:bookmarkStart w:id="122" w:name="_Toc203143654"/>
      <w:r>
        <w:rPr>
          <w:rFonts w:ascii="宋体" w:hAnsi="宋体" w:hint="eastAsia"/>
          <w:b/>
          <w:szCs w:val="21"/>
        </w:rPr>
        <w:t>3.3</w:t>
      </w:r>
      <w:r>
        <w:rPr>
          <w:rFonts w:ascii="宋体" w:hAnsi="宋体"/>
          <w:b/>
          <w:szCs w:val="21"/>
        </w:rPr>
        <w:t>.1.1</w:t>
      </w:r>
      <w:r>
        <w:rPr>
          <w:rFonts w:ascii="宋体" w:hAnsi="宋体" w:hint="eastAsia"/>
          <w:b/>
          <w:szCs w:val="21"/>
        </w:rPr>
        <w:t>8防除冰系统</w:t>
      </w:r>
      <w:bookmarkEnd w:id="121"/>
      <w:bookmarkEnd w:id="122"/>
    </w:p>
    <w:p>
      <w:pPr>
        <w:spacing w:line="360" w:lineRule="auto"/>
        <w:rPr>
          <w:rFonts w:ascii="宋体" w:hAnsi="宋体"/>
          <w:szCs w:val="21"/>
        </w:rPr>
      </w:pPr>
      <w:r>
        <w:rPr>
          <w:rFonts w:ascii="宋体" w:hAnsi="宋体" w:hint="eastAsia"/>
          <w:szCs w:val="21"/>
        </w:rPr>
        <w:t>（1）</w:t>
      </w:r>
      <w:r>
        <w:rPr>
          <w:rFonts w:ascii="宋体" w:hAnsi="宋体"/>
          <w:szCs w:val="21"/>
        </w:rPr>
        <w:t>具备通过设置合理的加热区域和加热能力，</w:t>
      </w:r>
      <w:r>
        <w:rPr>
          <w:rFonts w:ascii="宋体" w:hAnsi="宋体" w:hint="eastAsia"/>
          <w:szCs w:val="21"/>
        </w:rPr>
        <w:t>在无人机关键部位</w:t>
      </w:r>
      <w:r>
        <w:rPr>
          <w:rFonts w:ascii="宋体" w:hAnsi="宋体"/>
          <w:szCs w:val="21"/>
        </w:rPr>
        <w:t>具有前缘结冰防护功能。</w:t>
      </w:r>
    </w:p>
    <w:p>
      <w:pPr>
        <w:spacing w:line="360" w:lineRule="auto"/>
        <w:rPr>
          <w:rFonts w:ascii="宋体" w:hAnsi="宋体"/>
          <w:szCs w:val="21"/>
        </w:rPr>
      </w:pPr>
      <w:r>
        <w:rPr>
          <w:rFonts w:ascii="宋体" w:hAnsi="宋体" w:hint="eastAsia"/>
          <w:szCs w:val="21"/>
        </w:rPr>
        <w:t>（2）</w:t>
      </w:r>
      <w:r>
        <w:rPr>
          <w:rFonts w:ascii="宋体" w:hAnsi="宋体"/>
          <w:szCs w:val="21"/>
        </w:rPr>
        <w:t>具备防除冰系统的工作状态及故障警告信息发送到上位机的功能。</w:t>
      </w:r>
    </w:p>
    <w:p>
      <w:pPr>
        <w:spacing w:line="360" w:lineRule="auto"/>
        <w:rPr>
          <w:rFonts w:ascii="宋体" w:hAnsi="宋体"/>
          <w:szCs w:val="21"/>
        </w:rPr>
      </w:pPr>
      <w:r>
        <w:rPr>
          <w:rFonts w:ascii="宋体" w:hAnsi="宋体" w:hint="eastAsia"/>
          <w:szCs w:val="21"/>
        </w:rPr>
        <w:t>（3）</w:t>
      </w:r>
      <w:r>
        <w:rPr>
          <w:rFonts w:ascii="宋体" w:hAnsi="宋体"/>
          <w:szCs w:val="21"/>
        </w:rPr>
        <w:t>具备结冰探测和结冰告警功能。</w:t>
      </w:r>
    </w:p>
    <w:p>
      <w:pPr>
        <w:spacing w:line="360" w:lineRule="auto"/>
        <w:rPr>
          <w:rFonts w:ascii="宋体" w:hAnsi="宋体"/>
          <w:szCs w:val="21"/>
        </w:rPr>
      </w:pPr>
      <w:r>
        <w:rPr>
          <w:rFonts w:ascii="宋体" w:hAnsi="宋体" w:hint="eastAsia"/>
          <w:szCs w:val="21"/>
        </w:rPr>
        <w:t>（4）</w:t>
      </w:r>
      <w:r>
        <w:rPr>
          <w:rFonts w:ascii="宋体" w:hAnsi="宋体"/>
          <w:szCs w:val="21"/>
        </w:rPr>
        <w:t>实现接收上位机指令开启不同部位的电加热元件。</w:t>
      </w:r>
    </w:p>
    <w:p>
      <w:pPr>
        <w:spacing w:line="360" w:lineRule="auto"/>
        <w:rPr>
          <w:rFonts w:ascii="宋体" w:hAnsi="宋体"/>
          <w:szCs w:val="21"/>
        </w:rPr>
      </w:pPr>
      <w:r>
        <w:rPr>
          <w:rFonts w:ascii="宋体" w:hAnsi="宋体" w:hint="eastAsia"/>
          <w:szCs w:val="21"/>
        </w:rPr>
        <w:t>（5）</w:t>
      </w:r>
      <w:r>
        <w:rPr>
          <w:rFonts w:ascii="宋体" w:hAnsi="宋体"/>
          <w:szCs w:val="21"/>
        </w:rPr>
        <w:t>实现防除冰装置的配电状态监控与管理，并具备配电异常情况的保护功能，并将系统工作状态信息上传给上位机。</w:t>
      </w:r>
    </w:p>
    <w:p>
      <w:pPr>
        <w:spacing w:line="360" w:lineRule="auto"/>
        <w:rPr>
          <w:rFonts w:ascii="宋体" w:hAnsi="宋体"/>
          <w:b/>
          <w:szCs w:val="21"/>
        </w:rPr>
      </w:pPr>
      <w:bookmarkStart w:id="123" w:name="_Toc203143655"/>
      <w:bookmarkStart w:id="124" w:name="_Toc6865"/>
      <w:r>
        <w:rPr>
          <w:rFonts w:ascii="宋体" w:hAnsi="宋体" w:hint="eastAsia"/>
          <w:b/>
          <w:szCs w:val="21"/>
        </w:rPr>
        <w:t>3.3</w:t>
      </w:r>
      <w:r>
        <w:rPr>
          <w:rFonts w:ascii="宋体" w:hAnsi="宋体"/>
          <w:b/>
          <w:szCs w:val="21"/>
        </w:rPr>
        <w:t>.1</w:t>
      </w:r>
      <w:r>
        <w:rPr>
          <w:rFonts w:ascii="宋体" w:hAnsi="宋体" w:hint="eastAsia"/>
          <w:b/>
          <w:szCs w:val="21"/>
        </w:rPr>
        <w:t>.</w:t>
      </w:r>
      <w:r>
        <w:rPr>
          <w:rFonts w:ascii="宋体" w:hAnsi="宋体"/>
          <w:b/>
          <w:szCs w:val="21"/>
        </w:rPr>
        <w:t>1</w:t>
      </w:r>
      <w:r>
        <w:rPr>
          <w:rFonts w:ascii="宋体" w:hAnsi="宋体" w:hint="eastAsia"/>
          <w:b/>
          <w:szCs w:val="21"/>
        </w:rPr>
        <w:t>9</w:t>
      </w:r>
      <w:r>
        <w:rPr>
          <w:rFonts w:ascii="宋体" w:hAnsi="宋体"/>
          <w:b/>
          <w:szCs w:val="21"/>
        </w:rPr>
        <w:t>人影载荷</w:t>
      </w:r>
      <w:bookmarkEnd w:id="123"/>
      <w:bookmarkEnd w:id="124"/>
    </w:p>
    <w:p>
      <w:pPr>
        <w:spacing w:line="360" w:lineRule="auto"/>
        <w:rPr>
          <w:rFonts w:ascii="宋体" w:hAnsi="宋体"/>
          <w:szCs w:val="21"/>
        </w:rPr>
      </w:pPr>
      <w:r>
        <w:rPr>
          <w:rFonts w:ascii="宋体" w:hAnsi="宋体" w:hint="eastAsia"/>
          <w:szCs w:val="21"/>
        </w:rPr>
        <w:t>（1）</w:t>
      </w:r>
      <w:r>
        <w:rPr>
          <w:rFonts w:ascii="宋体" w:hAnsi="宋体"/>
          <w:szCs w:val="21"/>
        </w:rPr>
        <w:t>焰条播撒控制器接收上位机指令，对焰条点火，播撒催化剂，实时人工影响天气作业。</w:t>
      </w:r>
    </w:p>
    <w:p>
      <w:pPr>
        <w:spacing w:line="360" w:lineRule="auto"/>
        <w:rPr>
          <w:rFonts w:ascii="宋体" w:hAnsi="宋体"/>
          <w:szCs w:val="21"/>
        </w:rPr>
      </w:pPr>
      <w:r>
        <w:rPr>
          <w:rFonts w:ascii="宋体" w:hAnsi="宋体" w:hint="eastAsia"/>
          <w:szCs w:val="21"/>
        </w:rPr>
        <w:t>（2）</w:t>
      </w:r>
      <w:r>
        <w:rPr>
          <w:rFonts w:ascii="宋体" w:hAnsi="宋体"/>
          <w:szCs w:val="21"/>
        </w:rPr>
        <w:t>能够检测焰条状态，包括有/无、正常/故障。</w:t>
      </w:r>
    </w:p>
    <w:p>
      <w:pPr>
        <w:spacing w:line="360" w:lineRule="auto"/>
        <w:rPr>
          <w:rFonts w:ascii="宋体" w:hAnsi="宋体"/>
          <w:szCs w:val="21"/>
        </w:rPr>
      </w:pPr>
      <w:r>
        <w:rPr>
          <w:rFonts w:ascii="宋体" w:hAnsi="宋体" w:hint="eastAsia"/>
          <w:szCs w:val="21"/>
        </w:rPr>
        <w:t>（3）</w:t>
      </w:r>
      <w:r>
        <w:rPr>
          <w:rFonts w:ascii="宋体" w:hAnsi="宋体"/>
          <w:szCs w:val="21"/>
        </w:rPr>
        <w:t>配置焰条播撒器，一次装载量催化作业时间不小于</w:t>
      </w:r>
      <w:r>
        <w:rPr>
          <w:rFonts w:ascii="宋体" w:hAnsi="宋体" w:hint="eastAsia"/>
          <w:szCs w:val="21"/>
        </w:rPr>
        <w:t>4</w:t>
      </w:r>
      <w:r>
        <w:rPr>
          <w:rFonts w:ascii="宋体" w:hAnsi="宋体"/>
          <w:szCs w:val="21"/>
        </w:rPr>
        <w:t>h。</w:t>
      </w:r>
    </w:p>
    <w:p>
      <w:pPr>
        <w:spacing w:line="360" w:lineRule="auto"/>
        <w:rPr>
          <w:rFonts w:ascii="宋体" w:hAnsi="宋体"/>
          <w:szCs w:val="21"/>
        </w:rPr>
      </w:pPr>
      <w:r>
        <w:rPr>
          <w:rFonts w:ascii="宋体" w:hAnsi="宋体" w:hint="eastAsia"/>
          <w:szCs w:val="21"/>
        </w:rPr>
        <w:t>（4）</w:t>
      </w:r>
      <w:r>
        <w:rPr>
          <w:rFonts w:ascii="宋体" w:hAnsi="宋体"/>
          <w:szCs w:val="21"/>
        </w:rPr>
        <w:t>具备向机载云水含量探测仪和云粒子谱探测仪数据通讯、供电的能力。</w:t>
      </w:r>
    </w:p>
    <w:p>
      <w:pPr>
        <w:spacing w:line="360" w:lineRule="auto"/>
        <w:rPr>
          <w:rFonts w:ascii="宋体" w:hAnsi="宋体"/>
          <w:b/>
          <w:szCs w:val="21"/>
        </w:rPr>
      </w:pPr>
      <w:bookmarkStart w:id="125" w:name="_Toc203143656"/>
      <w:bookmarkStart w:id="126" w:name="_Toc25230"/>
      <w:r>
        <w:rPr>
          <w:rFonts w:ascii="宋体" w:hAnsi="宋体" w:hint="eastAsia"/>
          <w:b/>
          <w:szCs w:val="21"/>
        </w:rPr>
        <w:t>3.3</w:t>
      </w:r>
      <w:r>
        <w:rPr>
          <w:rFonts w:ascii="宋体" w:hAnsi="宋体"/>
          <w:b/>
          <w:szCs w:val="21"/>
        </w:rPr>
        <w:t>.1.</w:t>
      </w:r>
      <w:r>
        <w:rPr>
          <w:rFonts w:ascii="宋体" w:hAnsi="宋体" w:hint="eastAsia"/>
          <w:b/>
          <w:szCs w:val="21"/>
        </w:rPr>
        <w:t>20</w:t>
      </w:r>
      <w:r>
        <w:rPr>
          <w:rFonts w:ascii="宋体" w:hAnsi="宋体"/>
          <w:b/>
          <w:szCs w:val="21"/>
        </w:rPr>
        <w:t>地面控制站</w:t>
      </w:r>
      <w:bookmarkEnd w:id="125"/>
      <w:bookmarkEnd w:id="126"/>
    </w:p>
    <w:p>
      <w:pPr>
        <w:spacing w:line="360" w:lineRule="auto"/>
        <w:rPr>
          <w:rFonts w:ascii="宋体" w:hAnsi="宋体"/>
          <w:szCs w:val="21"/>
        </w:rPr>
      </w:pPr>
      <w:r>
        <w:rPr>
          <w:rFonts w:ascii="宋体" w:hAnsi="宋体" w:hint="eastAsia"/>
          <w:szCs w:val="21"/>
        </w:rPr>
        <w:t>（1）</w:t>
      </w:r>
      <w:r>
        <w:rPr>
          <w:rFonts w:ascii="宋体" w:hAnsi="宋体"/>
          <w:szCs w:val="21"/>
        </w:rPr>
        <w:t>具备飞行前离线任务规划和飞行中在线任务规划的能力。</w:t>
      </w:r>
    </w:p>
    <w:p>
      <w:pPr>
        <w:spacing w:line="360" w:lineRule="auto"/>
        <w:rPr>
          <w:rFonts w:ascii="宋体" w:hAnsi="宋体"/>
          <w:szCs w:val="21"/>
        </w:rPr>
      </w:pPr>
      <w:r>
        <w:rPr>
          <w:rFonts w:ascii="宋体" w:hAnsi="宋体" w:hint="eastAsia"/>
          <w:szCs w:val="21"/>
        </w:rPr>
        <w:t>（2）</w:t>
      </w:r>
      <w:r>
        <w:rPr>
          <w:rFonts w:ascii="宋体" w:hAnsi="宋体"/>
          <w:szCs w:val="21"/>
        </w:rPr>
        <w:t>具备自主、指令等多种飞行控制能力。</w:t>
      </w:r>
    </w:p>
    <w:p>
      <w:pPr>
        <w:spacing w:line="360" w:lineRule="auto"/>
        <w:rPr>
          <w:rFonts w:ascii="宋体" w:hAnsi="宋体"/>
          <w:szCs w:val="21"/>
        </w:rPr>
      </w:pPr>
      <w:r>
        <w:rPr>
          <w:rFonts w:ascii="宋体" w:hAnsi="宋体" w:hint="eastAsia"/>
          <w:szCs w:val="21"/>
        </w:rPr>
        <w:t>（3）</w:t>
      </w:r>
      <w:r>
        <w:rPr>
          <w:rFonts w:ascii="宋体" w:hAnsi="宋体"/>
          <w:szCs w:val="21"/>
        </w:rPr>
        <w:t>能够实时监控无人机各系统的工作状态。</w:t>
      </w:r>
    </w:p>
    <w:p>
      <w:pPr>
        <w:spacing w:line="360" w:lineRule="auto"/>
        <w:rPr>
          <w:rFonts w:ascii="宋体" w:hAnsi="宋体"/>
          <w:szCs w:val="21"/>
        </w:rPr>
      </w:pPr>
      <w:r>
        <w:rPr>
          <w:rFonts w:ascii="宋体" w:hAnsi="宋体" w:hint="eastAsia"/>
          <w:szCs w:val="21"/>
        </w:rPr>
        <w:t>（4）</w:t>
      </w:r>
      <w:r>
        <w:rPr>
          <w:rFonts w:ascii="宋体" w:hAnsi="宋体"/>
          <w:szCs w:val="21"/>
        </w:rPr>
        <w:t>能够存储和管理无人机下传的遥测数据、视频和其它信息，并提供快速下载功能。</w:t>
      </w:r>
    </w:p>
    <w:p>
      <w:pPr>
        <w:spacing w:line="360" w:lineRule="auto"/>
        <w:rPr>
          <w:rFonts w:ascii="宋体" w:hAnsi="宋体"/>
          <w:szCs w:val="21"/>
        </w:rPr>
      </w:pPr>
      <w:r>
        <w:rPr>
          <w:rFonts w:ascii="宋体" w:hAnsi="宋体" w:hint="eastAsia"/>
          <w:szCs w:val="21"/>
        </w:rPr>
        <w:t>（5）</w:t>
      </w:r>
      <w:r>
        <w:rPr>
          <w:rFonts w:ascii="宋体" w:hAnsi="宋体"/>
          <w:szCs w:val="21"/>
        </w:rPr>
        <w:t>集成视距数据链地面终端，可加密传输。</w:t>
      </w:r>
    </w:p>
    <w:p>
      <w:pPr>
        <w:spacing w:line="360" w:lineRule="auto"/>
        <w:rPr>
          <w:rFonts w:ascii="宋体" w:hAnsi="宋体"/>
          <w:szCs w:val="21"/>
        </w:rPr>
      </w:pPr>
      <w:r>
        <w:rPr>
          <w:rFonts w:ascii="宋体" w:hAnsi="宋体" w:hint="eastAsia"/>
          <w:szCs w:val="21"/>
        </w:rPr>
        <w:t>（6）</w:t>
      </w:r>
      <w:r>
        <w:rPr>
          <w:rFonts w:ascii="宋体" w:hAnsi="宋体"/>
          <w:szCs w:val="21"/>
        </w:rPr>
        <w:t>具备数字地图显示功能，地图包含卫星地图、高程信息等。</w:t>
      </w:r>
    </w:p>
    <w:p>
      <w:pPr>
        <w:spacing w:line="360" w:lineRule="auto"/>
        <w:rPr>
          <w:rFonts w:ascii="宋体" w:hAnsi="宋体"/>
          <w:szCs w:val="21"/>
        </w:rPr>
      </w:pPr>
      <w:r>
        <w:rPr>
          <w:rFonts w:ascii="宋体" w:hAnsi="宋体" w:hint="eastAsia"/>
          <w:szCs w:val="21"/>
        </w:rPr>
        <w:t>（7）</w:t>
      </w:r>
      <w:r>
        <w:rPr>
          <w:rFonts w:ascii="宋体" w:hAnsi="宋体"/>
          <w:szCs w:val="21"/>
        </w:rPr>
        <w:t>与</w:t>
      </w:r>
      <w:r>
        <w:rPr>
          <w:rFonts w:ascii="宋体" w:hAnsi="宋体" w:hint="eastAsia"/>
          <w:szCs w:val="21"/>
        </w:rPr>
        <w:t>“</w:t>
      </w:r>
      <w:r>
        <w:rPr>
          <w:rFonts w:ascii="宋体" w:hAnsi="宋体"/>
          <w:szCs w:val="21"/>
        </w:rPr>
        <w:t>天工</w:t>
      </w:r>
      <w:r>
        <w:rPr>
          <w:rFonts w:ascii="宋体" w:hAnsi="宋体" w:hint="eastAsia"/>
          <w:szCs w:val="21"/>
        </w:rPr>
        <w:t>”平台</w:t>
      </w:r>
      <w:r>
        <w:rPr>
          <w:rFonts w:ascii="宋体" w:hAnsi="宋体"/>
          <w:szCs w:val="21"/>
        </w:rPr>
        <w:t>实时传输载荷图像。</w:t>
      </w:r>
    </w:p>
    <w:p>
      <w:pPr>
        <w:spacing w:line="360" w:lineRule="auto"/>
        <w:rPr>
          <w:rFonts w:ascii="宋体" w:hAnsi="宋体"/>
          <w:szCs w:val="21"/>
        </w:rPr>
      </w:pPr>
    </w:p>
    <w:p>
      <w:pPr>
        <w:spacing w:line="360" w:lineRule="auto"/>
        <w:rPr>
          <w:rFonts w:ascii="宋体" w:hAnsi="宋体"/>
          <w:szCs w:val="21"/>
        </w:rPr>
      </w:pPr>
      <w:r>
        <w:rPr>
          <w:rFonts w:ascii="宋体" w:hAnsi="宋体"/>
          <w:b/>
          <w:bCs/>
          <w:szCs w:val="21"/>
        </w:rPr>
        <w:t>3.3.</w:t>
      </w:r>
      <w:r>
        <w:rPr>
          <w:rFonts w:ascii="宋体" w:hAnsi="宋体" w:hint="eastAsia"/>
          <w:b/>
          <w:bCs/>
          <w:szCs w:val="21"/>
        </w:rPr>
        <w:t>2</w:t>
      </w:r>
      <w:r>
        <w:rPr>
          <w:rFonts w:ascii="宋体" w:hAnsi="宋体"/>
          <w:b/>
          <w:bCs/>
          <w:szCs w:val="21"/>
        </w:rPr>
        <w:t>功能要求（第</w:t>
      </w:r>
      <w:r>
        <w:rPr>
          <w:rFonts w:ascii="宋体" w:hAnsi="宋体" w:hint="eastAsia"/>
          <w:b/>
          <w:bCs/>
          <w:szCs w:val="21"/>
        </w:rPr>
        <w:t>二</w:t>
      </w:r>
      <w:r>
        <w:rPr>
          <w:rFonts w:ascii="宋体" w:hAnsi="宋体"/>
          <w:b/>
          <w:bCs/>
          <w:szCs w:val="21"/>
        </w:rPr>
        <w:t>套技术要求）</w:t>
      </w:r>
    </w:p>
    <w:p>
      <w:pPr>
        <w:spacing w:line="360" w:lineRule="auto"/>
        <w:rPr>
          <w:rFonts w:ascii="宋体" w:hAnsi="宋体"/>
          <w:szCs w:val="21"/>
        </w:rPr>
      </w:pPr>
      <w:r>
        <w:rPr>
          <w:rFonts w:ascii="宋体" w:hAnsi="宋体" w:hint="eastAsia"/>
          <w:b/>
          <w:bCs/>
          <w:szCs w:val="21"/>
        </w:rPr>
        <w:t>3</w:t>
      </w:r>
      <w:r>
        <w:rPr>
          <w:rFonts w:ascii="宋体" w:hAnsi="宋体"/>
          <w:b/>
          <w:bCs/>
          <w:szCs w:val="21"/>
        </w:rPr>
        <w:t>.3.</w:t>
      </w:r>
      <w:r>
        <w:rPr>
          <w:rFonts w:ascii="宋体" w:hAnsi="宋体" w:hint="eastAsia"/>
          <w:b/>
          <w:bCs/>
          <w:szCs w:val="21"/>
        </w:rPr>
        <w:t>2</w:t>
      </w:r>
      <w:r>
        <w:rPr>
          <w:rFonts w:ascii="宋体" w:hAnsi="宋体"/>
          <w:b/>
          <w:bCs/>
          <w:szCs w:val="21"/>
        </w:rPr>
        <w:t>.1总体功能要求</w:t>
      </w:r>
    </w:p>
    <w:p>
      <w:pPr>
        <w:spacing w:line="360" w:lineRule="auto"/>
        <w:rPr>
          <w:rFonts w:ascii="宋体" w:hAnsi="宋体"/>
          <w:szCs w:val="21"/>
        </w:rPr>
      </w:pPr>
      <w:r>
        <w:rPr>
          <w:rFonts w:ascii="宋体" w:hAnsi="宋体"/>
          <w:szCs w:val="21"/>
        </w:rPr>
        <w:t>（1）具备挂载云粒子谱探测仪、机载云水含量探测器、焰条播撒器的能力。</w:t>
      </w:r>
    </w:p>
    <w:p>
      <w:pPr>
        <w:spacing w:line="360" w:lineRule="auto"/>
        <w:rPr>
          <w:rFonts w:ascii="宋体" w:hAnsi="宋体"/>
          <w:szCs w:val="21"/>
        </w:rPr>
      </w:pPr>
      <w:r>
        <w:rPr>
          <w:rFonts w:ascii="宋体" w:hAnsi="宋体"/>
          <w:szCs w:val="21"/>
        </w:rPr>
        <w:t>（2）具备机翼前缘电加热防除冰能力。</w:t>
      </w:r>
    </w:p>
    <w:p>
      <w:pPr>
        <w:spacing w:line="360" w:lineRule="auto"/>
        <w:rPr>
          <w:rFonts w:ascii="宋体" w:hAnsi="宋体"/>
          <w:szCs w:val="21"/>
        </w:rPr>
      </w:pPr>
      <w:r>
        <w:rPr>
          <w:rFonts w:ascii="宋体" w:hAnsi="宋体"/>
          <w:szCs w:val="21"/>
        </w:rPr>
        <w:t>（3）具备任务载荷的实时数据传输和显控能力。</w:t>
      </w:r>
    </w:p>
    <w:p>
      <w:pPr>
        <w:spacing w:line="360" w:lineRule="auto"/>
        <w:rPr>
          <w:rFonts w:ascii="宋体" w:hAnsi="宋体"/>
          <w:szCs w:val="21"/>
        </w:rPr>
      </w:pPr>
      <w:r>
        <w:rPr>
          <w:rFonts w:ascii="宋体" w:hAnsi="宋体"/>
          <w:szCs w:val="21"/>
        </w:rPr>
        <w:t>（4）具备C、U或L波段的视距链路通讯能力。</w:t>
      </w:r>
    </w:p>
    <w:p>
      <w:pPr>
        <w:spacing w:line="360" w:lineRule="auto"/>
        <w:rPr>
          <w:rFonts w:ascii="宋体" w:hAnsi="宋体"/>
          <w:szCs w:val="21"/>
        </w:rPr>
      </w:pPr>
      <w:r>
        <w:rPr>
          <w:rFonts w:ascii="宋体" w:hAnsi="宋体"/>
          <w:szCs w:val="21"/>
        </w:rPr>
        <w:t>（5）具备GPS/BDS卫星定位能力。</w:t>
      </w:r>
    </w:p>
    <w:p>
      <w:pPr>
        <w:spacing w:line="360" w:lineRule="auto"/>
        <w:rPr>
          <w:rFonts w:ascii="宋体" w:hAnsi="宋体"/>
          <w:szCs w:val="21"/>
        </w:rPr>
      </w:pPr>
      <w:r>
        <w:rPr>
          <w:rFonts w:ascii="宋体" w:hAnsi="宋体"/>
          <w:szCs w:val="21"/>
        </w:rPr>
        <w:t>（6）具</w:t>
      </w:r>
      <w:bookmarkStart w:id="127" w:name="OLE_LINK2"/>
      <w:r>
        <w:rPr>
          <w:rFonts w:ascii="宋体" w:hAnsi="宋体"/>
          <w:szCs w:val="21"/>
        </w:rPr>
        <w:t>备ADS-B</w:t>
      </w:r>
      <w:r>
        <w:rPr>
          <w:rFonts w:ascii="宋体" w:hAnsi="宋体" w:hint="eastAsia"/>
          <w:szCs w:val="21"/>
        </w:rPr>
        <w:t xml:space="preserve"> in/out功能</w:t>
      </w:r>
      <w:r>
        <w:rPr>
          <w:rFonts w:ascii="宋体" w:hAnsi="宋体"/>
          <w:szCs w:val="21"/>
        </w:rPr>
        <w:t>。</w:t>
      </w:r>
    </w:p>
    <w:p>
      <w:pPr>
        <w:spacing w:line="360" w:lineRule="auto"/>
        <w:rPr>
          <w:rFonts w:ascii="宋体" w:hAnsi="宋体"/>
          <w:szCs w:val="21"/>
          <w:highlight w:val="yellow"/>
        </w:rPr>
      </w:pPr>
      <w:bookmarkStart w:id="128" w:name="OLE_LINK30"/>
      <w:bookmarkStart w:id="129" w:name="OLE_LINK28"/>
      <w:r>
        <w:rPr>
          <w:rFonts w:ascii="宋体" w:hAnsi="宋体" w:hint="eastAsia"/>
          <w:szCs w:val="21"/>
          <w:highlight w:val="yellow"/>
        </w:rPr>
        <w:t>*</w:t>
      </w:r>
      <w:bookmarkEnd w:id="128"/>
      <w:bookmarkEnd w:id="129"/>
      <w:r>
        <w:rPr>
          <w:rFonts w:ascii="宋体" w:hAnsi="宋体"/>
          <w:szCs w:val="21"/>
          <w:highlight w:val="yellow"/>
        </w:rPr>
        <w:t>（7）</w:t>
      </w:r>
      <w:bookmarkStart w:id="130" w:name="OLE_LINK1"/>
      <w:r>
        <w:rPr>
          <w:rFonts w:ascii="宋体" w:hAnsi="宋体"/>
          <w:szCs w:val="21"/>
          <w:highlight w:val="yellow"/>
        </w:rPr>
        <w:t>质保期</w:t>
      </w:r>
      <w:bookmarkEnd w:id="127"/>
      <w:r>
        <w:rPr>
          <w:rFonts w:ascii="宋体" w:hAnsi="宋体"/>
          <w:szCs w:val="21"/>
          <w:highlight w:val="yellow"/>
        </w:rPr>
        <w:t>≥2年，提供不少于2名飞手的培训，及不少于5年的易损和运维耗材。</w:t>
      </w:r>
      <w:bookmarkEnd w:id="130"/>
    </w:p>
    <w:p>
      <w:pPr>
        <w:pStyle w:val="p2"/>
        <w:widowControl/>
        <w:spacing w:line="360" w:lineRule="auto"/>
        <w:rPr>
          <w:rFonts w:ascii="宋体" w:eastAsia="宋体" w:hAnsi="宋体" w:hint="default"/>
          <w:color w:val="auto"/>
          <w:highlight w:val="yellow"/>
        </w:rPr>
      </w:pPr>
      <w:r>
        <w:rPr>
          <w:rFonts w:ascii="宋体" w:hAnsi="宋体"/>
          <w:highlight w:val="yellow"/>
        </w:rPr>
        <w:t>*</w:t>
      </w:r>
      <w:r>
        <w:rPr>
          <w:rFonts w:ascii="宋体" w:eastAsia="宋体" w:hAnsi="宋体"/>
          <w:color w:val="auto"/>
          <w:highlight w:val="yellow"/>
        </w:rPr>
        <w:t>（8）无人机运维服务：</w:t>
      </w:r>
    </w:p>
    <w:p>
      <w:pPr>
        <w:pStyle w:val="p2"/>
        <w:widowControl/>
        <w:spacing w:line="360" w:lineRule="auto"/>
        <w:ind w:firstLine="420" w:firstLineChars="200"/>
        <w:rPr>
          <w:rFonts w:ascii="宋体" w:eastAsia="宋体" w:hAnsi="宋体" w:hint="default"/>
          <w:color w:val="auto"/>
          <w:highlight w:val="yellow"/>
        </w:rPr>
      </w:pPr>
      <w:r>
        <w:rPr>
          <w:rFonts w:ascii="宋体" w:eastAsia="宋体" w:hAnsi="宋体"/>
          <w:color w:val="auto"/>
          <w:highlight w:val="yellow"/>
        </w:rPr>
        <w:t>为期2年的飞行服务(含人员、机场、空域、燃油费用，每年按服务4个月120小时计算）、保险(飞机及载荷的机损险、三者险) 等全部费用。</w:t>
      </w:r>
    </w:p>
    <w:p>
      <w:pPr>
        <w:pStyle w:val="p2"/>
        <w:widowControl/>
        <w:spacing w:line="360" w:lineRule="auto"/>
        <w:rPr>
          <w:rFonts w:ascii="宋体" w:eastAsia="宋体" w:hAnsi="宋体" w:hint="default"/>
          <w:color w:val="auto"/>
          <w:highlight w:val="yellow"/>
        </w:rPr>
      </w:pPr>
      <w:r>
        <w:rPr>
          <w:rFonts w:ascii="宋体" w:hAnsi="宋体"/>
          <w:highlight w:val="yellow"/>
        </w:rPr>
        <w:t>*</w:t>
      </w:r>
      <w:r>
        <w:rPr>
          <w:rFonts w:ascii="宋体" w:eastAsia="宋体" w:hAnsi="宋体"/>
          <w:color w:val="auto"/>
          <w:highlight w:val="yellow"/>
        </w:rPr>
        <w:t>（9）具备机载卫通设备，任务载荷带宽不小于2Mbps并包含2年期机载卫通设备的流量无限量使用；</w:t>
      </w:r>
    </w:p>
    <w:p>
      <w:pPr>
        <w:pStyle w:val="p2"/>
        <w:widowControl/>
        <w:spacing w:line="360" w:lineRule="auto"/>
        <w:rPr>
          <w:rFonts w:ascii="宋体" w:eastAsia="宋体" w:hAnsi="宋体" w:hint="default"/>
          <w:color w:val="auto"/>
        </w:rPr>
      </w:pPr>
      <w:r>
        <w:rPr>
          <w:rFonts w:ascii="宋体" w:eastAsia="宋体" w:hAnsi="宋体"/>
          <w:color w:val="auto"/>
        </w:rPr>
        <w:t>（1</w:t>
      </w:r>
      <w:r>
        <w:rPr>
          <w:rFonts w:ascii="宋体" w:eastAsia="宋体" w:hAnsi="宋体" w:hint="default"/>
          <w:color w:val="auto"/>
        </w:rPr>
        <w:t>0</w:t>
      </w:r>
      <w:r>
        <w:rPr>
          <w:rFonts w:ascii="宋体" w:eastAsia="宋体" w:hAnsi="宋体"/>
          <w:color w:val="auto"/>
        </w:rPr>
        <w:t>）燃油类型为汽油或柴油。</w:t>
      </w:r>
    </w:p>
    <w:p>
      <w:pPr>
        <w:spacing w:line="360" w:lineRule="auto"/>
        <w:rPr>
          <w:rStyle w:val="CommentReference"/>
          <w:rFonts w:ascii="宋体" w:hAnsi="宋体"/>
        </w:rPr>
      </w:pPr>
    </w:p>
    <w:p>
      <w:pPr>
        <w:spacing w:line="360" w:lineRule="auto"/>
        <w:rPr>
          <w:rFonts w:ascii="宋体" w:hAnsi="宋体"/>
          <w:szCs w:val="21"/>
        </w:rPr>
      </w:pPr>
      <w:r>
        <w:rPr>
          <w:rFonts w:ascii="宋体" w:hAnsi="宋体"/>
          <w:b/>
          <w:bCs/>
          <w:szCs w:val="21"/>
        </w:rPr>
        <w:t>3.3.</w:t>
      </w:r>
      <w:r>
        <w:rPr>
          <w:rFonts w:ascii="宋体" w:hAnsi="宋体" w:hint="eastAsia"/>
          <w:b/>
          <w:bCs/>
          <w:szCs w:val="21"/>
        </w:rPr>
        <w:t>2</w:t>
      </w:r>
      <w:r>
        <w:rPr>
          <w:rFonts w:ascii="宋体" w:hAnsi="宋体"/>
          <w:b/>
          <w:bCs/>
          <w:szCs w:val="21"/>
        </w:rPr>
        <w:t>.2运行要求</w:t>
      </w:r>
    </w:p>
    <w:p>
      <w:pPr>
        <w:spacing w:line="360" w:lineRule="auto"/>
        <w:rPr>
          <w:rFonts w:ascii="宋体" w:hAnsi="宋体"/>
          <w:szCs w:val="21"/>
        </w:rPr>
      </w:pPr>
      <w:r>
        <w:rPr>
          <w:rFonts w:ascii="宋体" w:hAnsi="宋体"/>
          <w:szCs w:val="21"/>
        </w:rPr>
        <w:t>（1）适航</w:t>
      </w:r>
    </w:p>
    <w:p>
      <w:pPr>
        <w:spacing w:line="360" w:lineRule="auto"/>
        <w:rPr>
          <w:rFonts w:ascii="宋体" w:hAnsi="宋体"/>
          <w:szCs w:val="21"/>
        </w:rPr>
      </w:pPr>
      <w:r>
        <w:rPr>
          <w:rFonts w:ascii="宋体" w:hAnsi="宋体"/>
          <w:szCs w:val="21"/>
        </w:rPr>
        <w:t>应通过中国民用航空主管部门进行的适航性检查，处于适航状态。</w:t>
      </w:r>
    </w:p>
    <w:p>
      <w:pPr>
        <w:spacing w:line="360" w:lineRule="auto"/>
        <w:rPr>
          <w:rFonts w:ascii="宋体" w:hAnsi="宋体"/>
          <w:szCs w:val="21"/>
        </w:rPr>
      </w:pPr>
      <w:r>
        <w:rPr>
          <w:rFonts w:ascii="宋体" w:hAnsi="宋体"/>
          <w:szCs w:val="21"/>
        </w:rPr>
        <w:t>▲提供适航取证承诺函。</w:t>
      </w:r>
    </w:p>
    <w:p>
      <w:pPr>
        <w:pStyle w:val="p2"/>
        <w:widowControl/>
        <w:spacing w:line="360" w:lineRule="auto"/>
        <w:rPr>
          <w:rFonts w:ascii="宋体" w:hAnsi="宋体" w:hint="default"/>
          <w:color w:val="auto"/>
        </w:rPr>
      </w:pPr>
      <w:r>
        <w:rPr>
          <w:rFonts w:ascii="宋体" w:eastAsia="宋体" w:hAnsi="宋体"/>
          <w:color w:val="auto"/>
        </w:rPr>
        <w:t>（2）最大起飞重量不小于1300</w:t>
      </w:r>
      <w:r>
        <w:rPr>
          <w:rFonts w:ascii="宋体" w:eastAsia="宋体" w:hAnsi="宋体" w:hint="default"/>
          <w:color w:val="auto"/>
        </w:rPr>
        <w:t>kg</w:t>
      </w:r>
    </w:p>
    <w:p>
      <w:pPr>
        <w:spacing w:line="360" w:lineRule="auto"/>
        <w:rPr>
          <w:rFonts w:ascii="宋体" w:hAnsi="宋体"/>
          <w:szCs w:val="21"/>
        </w:rPr>
      </w:pPr>
      <w:r>
        <w:rPr>
          <w:rFonts w:ascii="宋体" w:hAnsi="宋体"/>
          <w:szCs w:val="21"/>
        </w:rPr>
        <w:t>（</w:t>
      </w:r>
      <w:r>
        <w:rPr>
          <w:rFonts w:ascii="宋体" w:hAnsi="宋体" w:hint="eastAsia"/>
          <w:szCs w:val="21"/>
        </w:rPr>
        <w:t>3</w:t>
      </w:r>
      <w:r>
        <w:rPr>
          <w:rFonts w:ascii="宋体" w:hAnsi="宋体"/>
          <w:szCs w:val="21"/>
        </w:rPr>
        <w:t>）最大载重能力</w:t>
      </w:r>
    </w:p>
    <w:p>
      <w:pPr>
        <w:spacing w:line="360" w:lineRule="auto"/>
        <w:rPr>
          <w:rFonts w:ascii="宋体" w:hAnsi="宋体"/>
          <w:szCs w:val="21"/>
        </w:rPr>
      </w:pPr>
      <w:r>
        <w:rPr>
          <w:rFonts w:ascii="宋体" w:hAnsi="宋体" w:hint="eastAsia"/>
          <w:szCs w:val="21"/>
        </w:rPr>
        <w:t>不小于200kg（满油（电）），最大可达300</w:t>
      </w:r>
      <w:r>
        <w:rPr>
          <w:rFonts w:ascii="宋体" w:hAnsi="宋体"/>
          <w:szCs w:val="21"/>
        </w:rPr>
        <w:t>kg。</w:t>
      </w:r>
    </w:p>
    <w:p>
      <w:pPr>
        <w:pStyle w:val="p2"/>
        <w:widowControl/>
        <w:spacing w:line="360" w:lineRule="auto"/>
        <w:rPr>
          <w:rFonts w:ascii="宋体" w:eastAsia="宋体" w:hAnsi="宋体" w:hint="default"/>
          <w:color w:val="auto"/>
        </w:rPr>
      </w:pPr>
      <w:r>
        <w:rPr>
          <w:rFonts w:ascii="宋体" w:eastAsia="宋体" w:hAnsi="宋体"/>
          <w:color w:val="auto"/>
        </w:rPr>
        <w:t>▲提供该项性能指标方案设计、仿真计算、试飞验证、飞行性能第三方证明材料，同时提供承诺函，承诺该指标接受验收实测。</w:t>
      </w:r>
    </w:p>
    <w:p>
      <w:pPr>
        <w:spacing w:line="360" w:lineRule="auto"/>
        <w:rPr>
          <w:rFonts w:ascii="宋体" w:hAnsi="宋体"/>
          <w:szCs w:val="21"/>
        </w:rPr>
      </w:pPr>
      <w:r>
        <w:rPr>
          <w:rFonts w:ascii="宋体" w:hAnsi="宋体"/>
          <w:szCs w:val="21"/>
        </w:rPr>
        <w:t>（</w:t>
      </w:r>
      <w:r>
        <w:rPr>
          <w:rFonts w:ascii="宋体" w:hAnsi="宋体" w:hint="eastAsia"/>
          <w:szCs w:val="21"/>
        </w:rPr>
        <w:t>4</w:t>
      </w:r>
      <w:r>
        <w:rPr>
          <w:rFonts w:ascii="宋体" w:hAnsi="宋体"/>
          <w:szCs w:val="21"/>
        </w:rPr>
        <w:t>）最大续航时间</w:t>
      </w:r>
    </w:p>
    <w:p>
      <w:pPr>
        <w:spacing w:line="360" w:lineRule="auto"/>
        <w:rPr>
          <w:rFonts w:ascii="宋体" w:hAnsi="宋体"/>
          <w:szCs w:val="21"/>
        </w:rPr>
      </w:pPr>
      <w:r>
        <w:rPr>
          <w:rFonts w:ascii="宋体" w:eastAsia="宋体" w:hAnsi="宋体"/>
        </w:rPr>
        <w:t>不小于24h（满油（电））</w:t>
      </w:r>
      <w:r>
        <w:rPr>
          <w:rFonts w:ascii="宋体" w:hAnsi="宋体" w:hint="eastAsia"/>
        </w:rPr>
        <w:t>；</w:t>
      </w:r>
      <w:r>
        <w:rPr>
          <w:rFonts w:ascii="宋体" w:hAnsi="宋体"/>
          <w:szCs w:val="21"/>
        </w:rPr>
        <w:t>携带120kg任务载荷，不小于</w:t>
      </w:r>
      <w:r>
        <w:rPr>
          <w:rFonts w:ascii="宋体" w:hAnsi="宋体" w:hint="eastAsia"/>
          <w:szCs w:val="21"/>
        </w:rPr>
        <w:t>24</w:t>
      </w:r>
      <w:r>
        <w:rPr>
          <w:rFonts w:ascii="宋体" w:hAnsi="宋体"/>
          <w:szCs w:val="21"/>
        </w:rPr>
        <w:t>h。</w:t>
      </w:r>
    </w:p>
    <w:p>
      <w:pPr>
        <w:pStyle w:val="p2"/>
        <w:widowControl/>
        <w:spacing w:line="360" w:lineRule="auto"/>
        <w:rPr>
          <w:rFonts w:ascii="宋体" w:eastAsia="宋体" w:hAnsi="宋体" w:hint="default"/>
          <w:color w:val="auto"/>
        </w:rPr>
      </w:pPr>
      <w:r>
        <w:rPr>
          <w:rFonts w:ascii="宋体" w:eastAsia="宋体" w:hAnsi="宋体"/>
          <w:color w:val="auto"/>
        </w:rPr>
        <w:t>▲提供该项性能指标方案设计、仿真计算、试飞验证、飞行性能第三方证明材料，同时提供承诺函，承诺该指标接受验收实测。</w:t>
      </w:r>
    </w:p>
    <w:p>
      <w:pPr>
        <w:spacing w:line="360" w:lineRule="auto"/>
        <w:rPr>
          <w:rFonts w:ascii="宋体" w:hAnsi="宋体"/>
          <w:szCs w:val="21"/>
        </w:rPr>
      </w:pPr>
      <w:r>
        <w:rPr>
          <w:rFonts w:ascii="宋体" w:hAnsi="宋体"/>
          <w:szCs w:val="21"/>
        </w:rPr>
        <w:t>（</w:t>
      </w:r>
      <w:r>
        <w:rPr>
          <w:rFonts w:ascii="宋体" w:hAnsi="宋体" w:hint="eastAsia"/>
          <w:szCs w:val="21"/>
        </w:rPr>
        <w:t>5</w:t>
      </w:r>
      <w:r>
        <w:rPr>
          <w:rFonts w:ascii="宋体" w:hAnsi="宋体"/>
          <w:szCs w:val="21"/>
        </w:rPr>
        <w:t>）最大飞行速度</w:t>
      </w:r>
    </w:p>
    <w:p>
      <w:pPr>
        <w:spacing w:line="360" w:lineRule="auto"/>
        <w:rPr>
          <w:rFonts w:ascii="宋体" w:hAnsi="宋体"/>
          <w:szCs w:val="21"/>
        </w:rPr>
      </w:pPr>
      <w:r>
        <w:rPr>
          <w:rFonts w:ascii="宋体" w:hAnsi="宋体"/>
          <w:szCs w:val="21"/>
        </w:rPr>
        <w:t>不小于150km/h（满油（电））。</w:t>
      </w:r>
    </w:p>
    <w:p>
      <w:pPr>
        <w:spacing w:line="360" w:lineRule="auto"/>
        <w:rPr>
          <w:rFonts w:ascii="宋体" w:hAnsi="宋体"/>
          <w:szCs w:val="21"/>
        </w:rPr>
      </w:pPr>
      <w:r>
        <w:rPr>
          <w:rFonts w:ascii="宋体" w:hAnsi="宋体"/>
          <w:szCs w:val="21"/>
        </w:rPr>
        <w:t>（</w:t>
      </w:r>
      <w:r>
        <w:rPr>
          <w:rFonts w:ascii="宋体" w:hAnsi="宋体" w:hint="eastAsia"/>
          <w:szCs w:val="21"/>
        </w:rPr>
        <w:t>6</w:t>
      </w:r>
      <w:r>
        <w:rPr>
          <w:rFonts w:ascii="宋体" w:hAnsi="宋体"/>
          <w:szCs w:val="21"/>
        </w:rPr>
        <w:t>）巡航速度</w:t>
      </w:r>
    </w:p>
    <w:p>
      <w:pPr>
        <w:spacing w:line="360" w:lineRule="auto"/>
        <w:rPr>
          <w:rFonts w:ascii="宋体" w:hAnsi="宋体"/>
          <w:szCs w:val="21"/>
        </w:rPr>
      </w:pPr>
      <w:r>
        <w:rPr>
          <w:rFonts w:ascii="宋体" w:hAnsi="宋体"/>
          <w:szCs w:val="21"/>
        </w:rPr>
        <w:t>不小于140km/h（满油（电））。</w:t>
      </w:r>
    </w:p>
    <w:p>
      <w:pPr>
        <w:spacing w:line="360" w:lineRule="auto"/>
        <w:rPr>
          <w:rFonts w:ascii="宋体" w:hAnsi="宋体"/>
          <w:szCs w:val="21"/>
        </w:rPr>
      </w:pPr>
      <w:r>
        <w:rPr>
          <w:rFonts w:ascii="宋体" w:hAnsi="宋体"/>
          <w:szCs w:val="21"/>
        </w:rPr>
        <w:t>（</w:t>
      </w:r>
      <w:r>
        <w:rPr>
          <w:rFonts w:ascii="宋体" w:hAnsi="宋体" w:hint="eastAsia"/>
          <w:szCs w:val="21"/>
        </w:rPr>
        <w:t>7</w:t>
      </w:r>
      <w:r>
        <w:rPr>
          <w:rFonts w:ascii="宋体" w:hAnsi="宋体"/>
          <w:szCs w:val="21"/>
        </w:rPr>
        <w:t>）平均爬升率</w:t>
      </w:r>
    </w:p>
    <w:p>
      <w:pPr>
        <w:spacing w:line="360" w:lineRule="auto"/>
        <w:rPr>
          <w:rFonts w:ascii="宋体" w:hAnsi="宋体"/>
          <w:szCs w:val="21"/>
        </w:rPr>
      </w:pPr>
      <w:r>
        <w:rPr>
          <w:rFonts w:ascii="宋体" w:hAnsi="宋体"/>
          <w:szCs w:val="21"/>
        </w:rPr>
        <w:t>不小于3.5m/s（满油（电））。</w:t>
      </w:r>
    </w:p>
    <w:p>
      <w:pPr>
        <w:spacing w:line="360" w:lineRule="auto"/>
        <w:rPr>
          <w:rFonts w:ascii="宋体" w:hAnsi="宋体"/>
          <w:szCs w:val="21"/>
        </w:rPr>
      </w:pPr>
      <w:r>
        <w:rPr>
          <w:rFonts w:ascii="宋体" w:hAnsi="宋体"/>
          <w:szCs w:val="21"/>
        </w:rPr>
        <w:t>带载120kg任务载荷，爬升至7000m平均爬升率不小于3.5m/s。</w:t>
      </w:r>
    </w:p>
    <w:p>
      <w:pPr>
        <w:pStyle w:val="p2"/>
        <w:widowControl/>
        <w:spacing w:line="360" w:lineRule="auto"/>
        <w:rPr>
          <w:rFonts w:ascii="宋体" w:eastAsia="宋体" w:hAnsi="宋体" w:hint="default"/>
          <w:color w:val="auto"/>
        </w:rPr>
      </w:pPr>
      <w:r>
        <w:rPr>
          <w:rFonts w:ascii="宋体" w:eastAsia="宋体" w:hAnsi="宋体"/>
          <w:color w:val="auto"/>
        </w:rPr>
        <w:t>▲提供该项性能指标方案设计、仿真计算、试飞验证、飞行性能第三方证明材料，同时提供承诺函，承诺该指标接受验收实测。</w:t>
      </w:r>
    </w:p>
    <w:p>
      <w:pPr>
        <w:spacing w:line="360" w:lineRule="auto"/>
        <w:rPr>
          <w:rFonts w:ascii="宋体" w:hAnsi="宋体"/>
          <w:szCs w:val="21"/>
        </w:rPr>
      </w:pPr>
      <w:r>
        <w:rPr>
          <w:rFonts w:ascii="宋体" w:hAnsi="宋体"/>
          <w:szCs w:val="21"/>
        </w:rPr>
        <w:t>（</w:t>
      </w:r>
      <w:r>
        <w:rPr>
          <w:rFonts w:ascii="宋体" w:hAnsi="宋体" w:hint="eastAsia"/>
          <w:szCs w:val="21"/>
        </w:rPr>
        <w:t>8</w:t>
      </w:r>
      <w:r>
        <w:rPr>
          <w:rFonts w:ascii="宋体" w:hAnsi="宋体"/>
          <w:szCs w:val="21"/>
        </w:rPr>
        <w:t>）最大升限</w:t>
      </w:r>
    </w:p>
    <w:p>
      <w:pPr>
        <w:spacing w:line="360" w:lineRule="auto"/>
        <w:rPr>
          <w:rFonts w:ascii="宋体" w:hAnsi="宋体"/>
          <w:szCs w:val="21"/>
        </w:rPr>
      </w:pPr>
      <w:r>
        <w:rPr>
          <w:rFonts w:ascii="宋体" w:hAnsi="宋体"/>
          <w:szCs w:val="21"/>
        </w:rPr>
        <w:t>高原型不小于</w:t>
      </w:r>
      <w:r>
        <w:rPr>
          <w:rFonts w:ascii="宋体" w:hAnsi="宋体" w:hint="eastAsia"/>
          <w:szCs w:val="21"/>
        </w:rPr>
        <w:t>90</w:t>
      </w:r>
      <w:r>
        <w:rPr>
          <w:rFonts w:ascii="宋体" w:hAnsi="宋体"/>
          <w:szCs w:val="21"/>
        </w:rPr>
        <w:t>00m（满油（电）满载）。</w:t>
      </w:r>
    </w:p>
    <w:p>
      <w:pPr>
        <w:pStyle w:val="p2"/>
        <w:widowControl/>
        <w:spacing w:line="360" w:lineRule="auto"/>
        <w:rPr>
          <w:rFonts w:ascii="宋体" w:eastAsia="宋体" w:hAnsi="宋体" w:hint="default"/>
          <w:color w:val="auto"/>
        </w:rPr>
      </w:pPr>
      <w:r>
        <w:rPr>
          <w:rFonts w:ascii="宋体" w:eastAsia="宋体" w:hAnsi="宋体"/>
          <w:color w:val="auto"/>
        </w:rPr>
        <w:t>▲提供该项性能指标方案设计、仿真计算、试飞验证、飞行性能第三方证明材料，同时提供承诺函，承诺该指标接受验收实测。</w:t>
      </w:r>
    </w:p>
    <w:p>
      <w:pPr>
        <w:spacing w:line="360" w:lineRule="auto"/>
        <w:rPr>
          <w:rFonts w:ascii="宋体" w:hAnsi="宋体"/>
          <w:szCs w:val="21"/>
        </w:rPr>
      </w:pPr>
      <w:r>
        <w:rPr>
          <w:rFonts w:ascii="宋体" w:hAnsi="宋体"/>
          <w:szCs w:val="21"/>
        </w:rPr>
        <w:t>（</w:t>
      </w:r>
      <w:r>
        <w:rPr>
          <w:rFonts w:ascii="宋体" w:hAnsi="宋体" w:hint="eastAsia"/>
          <w:szCs w:val="21"/>
        </w:rPr>
        <w:t>9</w:t>
      </w:r>
      <w:r>
        <w:rPr>
          <w:rFonts w:ascii="宋体" w:hAnsi="宋体"/>
          <w:szCs w:val="21"/>
        </w:rPr>
        <w:t>）最大起飞海拔</w:t>
      </w:r>
    </w:p>
    <w:p>
      <w:pPr>
        <w:spacing w:line="360" w:lineRule="auto"/>
        <w:rPr>
          <w:rFonts w:ascii="宋体" w:hAnsi="宋体"/>
          <w:szCs w:val="21"/>
        </w:rPr>
      </w:pPr>
      <w:r>
        <w:rPr>
          <w:rFonts w:ascii="宋体" w:hAnsi="宋体"/>
          <w:szCs w:val="21"/>
        </w:rPr>
        <w:t>高原型不小于</w:t>
      </w:r>
      <w:r>
        <w:rPr>
          <w:rFonts w:ascii="宋体" w:hAnsi="宋体" w:hint="eastAsia"/>
          <w:szCs w:val="21"/>
        </w:rPr>
        <w:t>4</w:t>
      </w:r>
      <w:r>
        <w:rPr>
          <w:rFonts w:ascii="宋体" w:hAnsi="宋体"/>
          <w:szCs w:val="21"/>
        </w:rPr>
        <w:t>000m（满油（电）满载）。</w:t>
      </w:r>
    </w:p>
    <w:p>
      <w:pPr>
        <w:spacing w:line="360" w:lineRule="auto"/>
        <w:rPr>
          <w:rFonts w:ascii="宋体" w:hAnsi="宋体"/>
          <w:szCs w:val="21"/>
        </w:rPr>
      </w:pPr>
      <w:r>
        <w:rPr>
          <w:rFonts w:ascii="宋体" w:hAnsi="宋体"/>
          <w:szCs w:val="21"/>
        </w:rPr>
        <w:t>（</w:t>
      </w:r>
      <w:r>
        <w:rPr>
          <w:rFonts w:ascii="宋体" w:hAnsi="宋体" w:hint="eastAsia"/>
          <w:szCs w:val="21"/>
        </w:rPr>
        <w:t>10</w:t>
      </w:r>
      <w:r>
        <w:rPr>
          <w:rFonts w:ascii="宋体" w:hAnsi="宋体"/>
          <w:szCs w:val="21"/>
        </w:rPr>
        <w:t>）可用挂点</w:t>
      </w:r>
    </w:p>
    <w:p>
      <w:pPr>
        <w:spacing w:line="360" w:lineRule="auto"/>
        <w:rPr>
          <w:rFonts w:ascii="宋体" w:hAnsi="宋体"/>
          <w:szCs w:val="21"/>
        </w:rPr>
      </w:pPr>
      <w:r>
        <w:rPr>
          <w:rFonts w:ascii="宋体" w:hAnsi="宋体"/>
          <w:szCs w:val="21"/>
        </w:rPr>
        <w:t>不少于</w:t>
      </w:r>
      <w:r>
        <w:rPr>
          <w:rFonts w:ascii="宋体" w:hAnsi="宋体" w:hint="eastAsia"/>
          <w:szCs w:val="21"/>
        </w:rPr>
        <w:t>5</w:t>
      </w:r>
      <w:r>
        <w:rPr>
          <w:rFonts w:ascii="宋体" w:hAnsi="宋体"/>
          <w:szCs w:val="21"/>
        </w:rPr>
        <w:t>个。</w:t>
      </w:r>
    </w:p>
    <w:p>
      <w:pPr>
        <w:spacing w:line="360" w:lineRule="auto"/>
        <w:rPr>
          <w:rFonts w:ascii="宋体" w:hAnsi="宋体"/>
          <w:szCs w:val="21"/>
        </w:rPr>
      </w:pPr>
      <w:r>
        <w:rPr>
          <w:rFonts w:ascii="宋体" w:hAnsi="宋体"/>
          <w:szCs w:val="21"/>
        </w:rPr>
        <w:t>（1</w:t>
      </w:r>
      <w:r>
        <w:rPr>
          <w:rFonts w:ascii="宋体" w:hAnsi="宋体" w:hint="eastAsia"/>
          <w:szCs w:val="21"/>
        </w:rPr>
        <w:t>1</w:t>
      </w:r>
      <w:r>
        <w:rPr>
          <w:rFonts w:ascii="宋体" w:hAnsi="宋体"/>
          <w:szCs w:val="21"/>
        </w:rPr>
        <w:t>）额外供电能力</w:t>
      </w:r>
    </w:p>
    <w:p>
      <w:pPr>
        <w:spacing w:line="360" w:lineRule="auto"/>
        <w:rPr>
          <w:rFonts w:ascii="宋体" w:hAnsi="宋体"/>
          <w:szCs w:val="21"/>
        </w:rPr>
      </w:pPr>
      <w:r>
        <w:rPr>
          <w:rFonts w:ascii="宋体" w:hAnsi="宋体"/>
          <w:szCs w:val="21"/>
        </w:rPr>
        <w:t>不小于</w:t>
      </w:r>
      <w:r>
        <w:rPr>
          <w:rFonts w:ascii="宋体" w:hAnsi="宋体" w:hint="eastAsia"/>
          <w:szCs w:val="21"/>
        </w:rPr>
        <w:t>6</w:t>
      </w:r>
      <w:r>
        <w:rPr>
          <w:rFonts w:ascii="宋体" w:hAnsi="宋体"/>
          <w:szCs w:val="21"/>
        </w:rPr>
        <w:t>kW。</w:t>
      </w:r>
    </w:p>
    <w:p>
      <w:pPr>
        <w:spacing w:line="360" w:lineRule="auto"/>
        <w:rPr>
          <w:rFonts w:ascii="宋体" w:hAnsi="宋体"/>
          <w:szCs w:val="21"/>
        </w:rPr>
      </w:pPr>
      <w:r>
        <w:rPr>
          <w:rFonts w:ascii="宋体" w:hAnsi="宋体"/>
          <w:szCs w:val="21"/>
        </w:rPr>
        <w:t>（1</w:t>
      </w:r>
      <w:r>
        <w:rPr>
          <w:rFonts w:ascii="宋体" w:hAnsi="宋体" w:hint="eastAsia"/>
          <w:szCs w:val="21"/>
        </w:rPr>
        <w:t>2</w:t>
      </w:r>
      <w:r>
        <w:rPr>
          <w:rFonts w:ascii="宋体" w:hAnsi="宋体"/>
          <w:szCs w:val="21"/>
        </w:rPr>
        <w:t>）抗风等级</w:t>
      </w:r>
    </w:p>
    <w:p>
      <w:pPr>
        <w:spacing w:line="360" w:lineRule="auto"/>
        <w:rPr>
          <w:rFonts w:ascii="宋体" w:hAnsi="宋体"/>
          <w:szCs w:val="21"/>
        </w:rPr>
      </w:pPr>
      <w:r>
        <w:rPr>
          <w:rFonts w:ascii="宋体" w:hAnsi="宋体"/>
          <w:szCs w:val="21"/>
        </w:rPr>
        <w:t>满油（电）满载状态下，可抗空中大于20 m/s正侧风、30m/s连续风，可在小于等于7 m/s正侧风下起降。</w:t>
      </w:r>
    </w:p>
    <w:p>
      <w:pPr>
        <w:pStyle w:val="p2"/>
        <w:widowControl/>
        <w:spacing w:line="360" w:lineRule="auto"/>
        <w:rPr>
          <w:rFonts w:ascii="宋体" w:eastAsia="宋体" w:hAnsi="宋体" w:hint="default"/>
          <w:color w:val="auto"/>
        </w:rPr>
      </w:pPr>
      <w:r>
        <w:rPr>
          <w:rFonts w:ascii="宋体" w:eastAsia="宋体" w:hAnsi="宋体"/>
          <w:color w:val="auto"/>
        </w:rPr>
        <w:t>▲提供该项性能指标方案设计、仿真计算、试飞验证、飞行性能第三方证明材料，同时提供承诺函，承诺该指标接受验收实测。</w:t>
      </w:r>
    </w:p>
    <w:p>
      <w:pPr>
        <w:spacing w:line="360" w:lineRule="auto"/>
        <w:rPr>
          <w:rFonts w:ascii="宋体" w:hAnsi="宋体"/>
          <w:szCs w:val="21"/>
        </w:rPr>
      </w:pPr>
      <w:r>
        <w:rPr>
          <w:rFonts w:ascii="宋体" w:hAnsi="宋体" w:hint="eastAsia"/>
          <w:szCs w:val="21"/>
        </w:rPr>
        <w:t>（13）</w:t>
      </w:r>
      <w:r>
        <w:rPr>
          <w:rFonts w:ascii="宋体" w:hAnsi="宋体"/>
          <w:szCs w:val="21"/>
        </w:rPr>
        <w:t>机载卫通</w:t>
      </w:r>
    </w:p>
    <w:p>
      <w:pPr>
        <w:spacing w:line="360" w:lineRule="auto"/>
        <w:rPr>
          <w:rFonts w:ascii="宋体" w:hAnsi="宋体"/>
          <w:szCs w:val="21"/>
        </w:rPr>
      </w:pPr>
      <w:r>
        <w:rPr>
          <w:rFonts w:ascii="宋体" w:hAnsi="宋体"/>
          <w:szCs w:val="21"/>
        </w:rPr>
        <w:t>无人机任务载荷下行速率&gt;2Mbps，无人机遥控上行速率≥25.6kbps。</w:t>
      </w:r>
    </w:p>
    <w:p>
      <w:pPr>
        <w:spacing w:line="360" w:lineRule="auto"/>
        <w:rPr>
          <w:rFonts w:ascii="宋体" w:hAnsi="宋体"/>
          <w:szCs w:val="21"/>
        </w:rPr>
      </w:pPr>
      <w:r>
        <w:rPr>
          <w:rFonts w:ascii="宋体" w:hAnsi="宋体"/>
          <w:b/>
          <w:bCs/>
          <w:szCs w:val="21"/>
        </w:rPr>
        <w:t>3.3.</w:t>
      </w:r>
      <w:r>
        <w:rPr>
          <w:rFonts w:ascii="宋体" w:hAnsi="宋体" w:hint="eastAsia"/>
          <w:b/>
          <w:bCs/>
          <w:szCs w:val="21"/>
        </w:rPr>
        <w:t>2</w:t>
      </w:r>
      <w:r>
        <w:rPr>
          <w:rFonts w:ascii="宋体" w:hAnsi="宋体"/>
          <w:b/>
          <w:bCs/>
          <w:szCs w:val="21"/>
        </w:rPr>
        <w:t>.3环境适应性</w:t>
      </w:r>
    </w:p>
    <w:p>
      <w:pPr>
        <w:spacing w:line="360" w:lineRule="auto"/>
        <w:rPr>
          <w:rFonts w:ascii="宋体" w:hAnsi="宋体"/>
          <w:szCs w:val="21"/>
        </w:rPr>
      </w:pPr>
      <w:r>
        <w:rPr>
          <w:rFonts w:ascii="宋体" w:hAnsi="宋体"/>
          <w:szCs w:val="21"/>
        </w:rPr>
        <w:t>（1）工作温度：-</w:t>
      </w:r>
      <w:r>
        <w:rPr>
          <w:rFonts w:ascii="宋体" w:hAnsi="宋体" w:hint="eastAsia"/>
          <w:szCs w:val="21"/>
        </w:rPr>
        <w:t>50</w:t>
      </w:r>
      <w:r>
        <w:rPr>
          <w:rFonts w:ascii="宋体" w:hAnsi="宋体"/>
          <w:szCs w:val="21"/>
        </w:rPr>
        <w:t>～+</w:t>
      </w:r>
      <w:r>
        <w:rPr>
          <w:rFonts w:ascii="宋体" w:hAnsi="宋体" w:hint="eastAsia"/>
          <w:szCs w:val="21"/>
        </w:rPr>
        <w:t>5</w:t>
      </w:r>
      <w:r>
        <w:rPr>
          <w:rFonts w:ascii="宋体" w:hAnsi="宋体"/>
          <w:szCs w:val="21"/>
        </w:rPr>
        <w:t>5℃；</w:t>
      </w:r>
    </w:p>
    <w:p>
      <w:pPr>
        <w:spacing w:line="360" w:lineRule="auto"/>
        <w:rPr>
          <w:rFonts w:ascii="宋体" w:hAnsi="宋体"/>
          <w:szCs w:val="21"/>
        </w:rPr>
      </w:pPr>
      <w:r>
        <w:rPr>
          <w:rFonts w:ascii="宋体" w:hAnsi="宋体"/>
          <w:szCs w:val="21"/>
        </w:rPr>
        <w:t>（2）贮存温度：-40～+55℃；</w:t>
      </w:r>
    </w:p>
    <w:p>
      <w:pPr>
        <w:spacing w:line="360" w:lineRule="auto"/>
        <w:rPr>
          <w:rFonts w:ascii="宋体" w:hAnsi="宋体"/>
          <w:szCs w:val="21"/>
        </w:rPr>
      </w:pPr>
      <w:r>
        <w:rPr>
          <w:rFonts w:ascii="宋体" w:hAnsi="宋体"/>
          <w:szCs w:val="21"/>
        </w:rPr>
        <w:t>（3）相对湿度：100%条件下持续工作时间＞4h；</w:t>
      </w:r>
    </w:p>
    <w:p>
      <w:pPr>
        <w:spacing w:line="360" w:lineRule="auto"/>
        <w:rPr>
          <w:rFonts w:ascii="宋体" w:hAnsi="宋体"/>
          <w:szCs w:val="21"/>
        </w:rPr>
      </w:pPr>
      <w:r>
        <w:rPr>
          <w:rFonts w:ascii="宋体" w:hAnsi="宋体"/>
          <w:szCs w:val="21"/>
        </w:rPr>
        <w:t>（4）可在小雨（≤2.5mm/h）条件下工作；</w:t>
      </w:r>
    </w:p>
    <w:p>
      <w:pPr>
        <w:spacing w:line="360" w:lineRule="auto"/>
        <w:rPr>
          <w:rFonts w:ascii="宋体" w:hAnsi="宋体"/>
          <w:szCs w:val="21"/>
        </w:rPr>
      </w:pPr>
      <w:r>
        <w:rPr>
          <w:rFonts w:ascii="宋体" w:hAnsi="宋体"/>
          <w:szCs w:val="21"/>
        </w:rPr>
        <w:t>（5）具备防腐蚀、霉菌、潮湿、沙尘等措施。</w:t>
      </w:r>
    </w:p>
    <w:p>
      <w:pPr>
        <w:spacing w:line="360" w:lineRule="auto"/>
        <w:rPr>
          <w:rFonts w:ascii="宋体" w:hAnsi="宋体"/>
          <w:szCs w:val="21"/>
        </w:rPr>
      </w:pPr>
      <w:r>
        <w:rPr>
          <w:rFonts w:ascii="宋体" w:hAnsi="宋体"/>
          <w:b/>
          <w:bCs/>
          <w:szCs w:val="21"/>
        </w:rPr>
        <w:t>3.3.</w:t>
      </w:r>
      <w:r>
        <w:rPr>
          <w:rFonts w:ascii="宋体" w:hAnsi="宋体" w:hint="eastAsia"/>
          <w:b/>
          <w:bCs/>
          <w:szCs w:val="21"/>
        </w:rPr>
        <w:t>2</w:t>
      </w:r>
      <w:r>
        <w:rPr>
          <w:rFonts w:ascii="宋体" w:hAnsi="宋体"/>
          <w:b/>
          <w:bCs/>
          <w:szCs w:val="21"/>
        </w:rPr>
        <w:t>.4电磁兼容性性</w:t>
      </w:r>
    </w:p>
    <w:p>
      <w:pPr>
        <w:spacing w:line="360" w:lineRule="auto"/>
        <w:rPr>
          <w:rFonts w:ascii="宋体" w:hAnsi="宋体"/>
          <w:szCs w:val="21"/>
        </w:rPr>
      </w:pPr>
      <w:r>
        <w:rPr>
          <w:rFonts w:ascii="宋体" w:hAnsi="宋体"/>
          <w:szCs w:val="21"/>
        </w:rPr>
        <w:t>无人机作业单元需按照《民用轻小型无人机系统电磁兼容性要求与试验方法》（GB/T 38909—2020）</w:t>
      </w:r>
      <w:r>
        <w:rPr>
          <w:rFonts w:ascii="宋体" w:hAnsi="宋体" w:hint="eastAsia"/>
          <w:szCs w:val="21"/>
        </w:rPr>
        <w:t>或同类标准</w:t>
      </w:r>
      <w:r>
        <w:rPr>
          <w:rFonts w:ascii="宋体" w:hAnsi="宋体"/>
          <w:szCs w:val="21"/>
        </w:rPr>
        <w:t>要求，进行规定的发射和抗扰度试验，并达到要求的结果，以确保其在实际工作环境中的电磁兼容性。开展电磁兼容性试验应满足以下试验要求：</w:t>
      </w:r>
    </w:p>
    <w:p>
      <w:pPr>
        <w:spacing w:line="360" w:lineRule="auto"/>
        <w:rPr>
          <w:rFonts w:ascii="宋体" w:hAnsi="宋体"/>
          <w:szCs w:val="21"/>
        </w:rPr>
      </w:pPr>
      <w:r>
        <w:rPr>
          <w:rFonts w:ascii="宋体" w:hAnsi="宋体"/>
          <w:szCs w:val="21"/>
        </w:rPr>
        <w:t>（1）对于发射试验,产品应在产生最大发射工作状态下进行测量，应在典型使用和实际安装条件下，改变产品的配置以获得最大发射。</w:t>
      </w:r>
    </w:p>
    <w:p>
      <w:pPr>
        <w:spacing w:line="360" w:lineRule="auto"/>
        <w:rPr>
          <w:rFonts w:ascii="宋体" w:hAnsi="宋体"/>
          <w:szCs w:val="21"/>
        </w:rPr>
      </w:pPr>
      <w:r>
        <w:rPr>
          <w:rFonts w:ascii="宋体" w:hAnsi="宋体"/>
          <w:szCs w:val="21"/>
        </w:rPr>
        <w:t>（2）对于抗扰度试验，产品应在符合正常使用的最敏感的工作方式下进行试验，应变动受试设备的布置以获得与典型使用和实际装置一致的最大敏感度；如果产品需要连接辅助设备，那么产品在进行试验时应连接数量最少且有代表性的辅助设备，以便按相关的规定来使用端口。</w:t>
      </w:r>
    </w:p>
    <w:p>
      <w:pPr>
        <w:spacing w:line="360" w:lineRule="auto"/>
        <w:rPr>
          <w:rFonts w:ascii="宋体" w:hAnsi="宋体"/>
          <w:szCs w:val="21"/>
        </w:rPr>
      </w:pPr>
      <w:r>
        <w:rPr>
          <w:rFonts w:ascii="宋体" w:hAnsi="宋体"/>
          <w:szCs w:val="21"/>
        </w:rPr>
        <w:t>（3）如果制造商的产品技术规范中对外部保护装置或措施有特别要求，且已在产品使用手册中明确做出规定，则应在具有外部保护装置或措施的情况下进行试验。</w:t>
      </w:r>
    </w:p>
    <w:p>
      <w:pPr>
        <w:spacing w:line="360" w:lineRule="auto"/>
        <w:rPr>
          <w:rFonts w:ascii="宋体" w:hAnsi="宋体"/>
          <w:szCs w:val="21"/>
        </w:rPr>
      </w:pPr>
      <w:r>
        <w:rPr>
          <w:rFonts w:ascii="宋体" w:hAnsi="宋体"/>
          <w:szCs w:val="21"/>
        </w:rPr>
        <w:t>（4）试验期间的布置和工况都应准确地记录在试验报告中。若对产品的每项功能未能逐一进行试验时，应选择最关键的工况来试验。</w:t>
      </w:r>
    </w:p>
    <w:p>
      <w:pPr>
        <w:spacing w:line="360" w:lineRule="auto"/>
        <w:rPr>
          <w:rFonts w:ascii="宋体" w:hAnsi="宋体"/>
          <w:szCs w:val="21"/>
        </w:rPr>
      </w:pPr>
      <w:r>
        <w:rPr>
          <w:rFonts w:ascii="宋体" w:hAnsi="宋体"/>
          <w:szCs w:val="21"/>
        </w:rPr>
        <w:t>（5）如果产品有许多类似的端口，或许多端口有类似的连接，那么应选择足够数量的端口来模拟实际工作状态，以保证涉及所有不同类型的终端。</w:t>
      </w:r>
    </w:p>
    <w:p>
      <w:pPr>
        <w:spacing w:line="360" w:lineRule="auto"/>
        <w:rPr>
          <w:rFonts w:ascii="宋体" w:hAnsi="宋体"/>
          <w:szCs w:val="21"/>
        </w:rPr>
      </w:pPr>
      <w:r>
        <w:rPr>
          <w:rFonts w:ascii="宋体" w:hAnsi="宋体"/>
          <w:szCs w:val="21"/>
        </w:rPr>
        <w:t>（6）在产品规定的温度、湿度和气压范围内，以额定电源电压进行试验，除非基础标准另有规定。</w:t>
      </w:r>
    </w:p>
    <w:p>
      <w:pPr>
        <w:spacing w:line="360" w:lineRule="auto"/>
        <w:rPr>
          <w:rFonts w:ascii="宋体" w:hAnsi="宋体"/>
          <w:szCs w:val="21"/>
        </w:rPr>
      </w:pPr>
      <w:r>
        <w:rPr>
          <w:rFonts w:ascii="宋体" w:hAnsi="宋体"/>
          <w:b/>
          <w:bCs/>
          <w:szCs w:val="21"/>
        </w:rPr>
        <w:t>3.3.</w:t>
      </w:r>
      <w:r>
        <w:rPr>
          <w:rFonts w:ascii="宋体" w:hAnsi="宋体" w:hint="eastAsia"/>
          <w:b/>
          <w:bCs/>
          <w:szCs w:val="21"/>
        </w:rPr>
        <w:t>2</w:t>
      </w:r>
      <w:r>
        <w:rPr>
          <w:rFonts w:ascii="宋体" w:hAnsi="宋体"/>
          <w:b/>
          <w:bCs/>
          <w:szCs w:val="21"/>
        </w:rPr>
        <w:t>.5可靠性</w:t>
      </w:r>
    </w:p>
    <w:p>
      <w:pPr>
        <w:spacing w:line="360" w:lineRule="auto"/>
        <w:rPr>
          <w:rFonts w:ascii="宋体" w:hAnsi="宋体"/>
          <w:szCs w:val="21"/>
        </w:rPr>
      </w:pPr>
      <w:r>
        <w:rPr>
          <w:rFonts w:ascii="宋体" w:hAnsi="宋体"/>
          <w:szCs w:val="21"/>
        </w:rPr>
        <w:t>无人机作业单元可靠性要求依据《民用无人机可靠性飞行试验要求与方法》（GB/T 44717—2024）</w:t>
      </w:r>
      <w:r>
        <w:rPr>
          <w:rFonts w:ascii="宋体" w:hAnsi="宋体" w:hint="eastAsia"/>
          <w:szCs w:val="21"/>
        </w:rPr>
        <w:t>或同类标准</w:t>
      </w:r>
      <w:r>
        <w:rPr>
          <w:rFonts w:ascii="宋体" w:hAnsi="宋体"/>
          <w:szCs w:val="21"/>
        </w:rPr>
        <w:t>，结合行业内无人机平台性能进行设计。</w:t>
      </w:r>
    </w:p>
    <w:p>
      <w:pPr>
        <w:spacing w:line="360" w:lineRule="auto"/>
        <w:rPr>
          <w:rFonts w:ascii="宋体" w:hAnsi="宋体"/>
          <w:szCs w:val="21"/>
        </w:rPr>
      </w:pPr>
      <w:r>
        <w:rPr>
          <w:rFonts w:ascii="宋体" w:hAnsi="宋体"/>
          <w:szCs w:val="21"/>
        </w:rPr>
        <w:t>（1）可靠性要求包括：</w:t>
      </w:r>
    </w:p>
    <w:p>
      <w:pPr>
        <w:spacing w:line="360" w:lineRule="auto"/>
        <w:rPr>
          <w:rFonts w:ascii="宋体" w:hAnsi="宋体"/>
          <w:szCs w:val="21"/>
        </w:rPr>
      </w:pPr>
      <w:r>
        <w:rPr>
          <w:rFonts w:ascii="宋体" w:hAnsi="宋体"/>
          <w:szCs w:val="21"/>
        </w:rPr>
        <w:t>定量评估；</w:t>
      </w:r>
    </w:p>
    <w:p>
      <w:pPr>
        <w:spacing w:line="360" w:lineRule="auto"/>
        <w:rPr>
          <w:rFonts w:ascii="宋体" w:hAnsi="宋体"/>
          <w:szCs w:val="21"/>
        </w:rPr>
      </w:pPr>
      <w:r>
        <w:rPr>
          <w:rFonts w:ascii="宋体" w:hAnsi="宋体"/>
          <w:szCs w:val="21"/>
        </w:rPr>
        <w:t>定性评价；</w:t>
      </w:r>
    </w:p>
    <w:p>
      <w:pPr>
        <w:spacing w:line="360" w:lineRule="auto"/>
        <w:rPr>
          <w:rFonts w:ascii="宋体" w:hAnsi="宋体"/>
          <w:szCs w:val="21"/>
        </w:rPr>
      </w:pPr>
      <w:r>
        <w:rPr>
          <w:rFonts w:ascii="宋体" w:hAnsi="宋体"/>
          <w:szCs w:val="21"/>
        </w:rPr>
        <w:t>可靠性试飞。</w:t>
      </w:r>
    </w:p>
    <w:p>
      <w:pPr>
        <w:spacing w:line="360" w:lineRule="auto"/>
        <w:rPr>
          <w:rFonts w:ascii="宋体" w:hAnsi="宋体"/>
          <w:szCs w:val="21"/>
        </w:rPr>
      </w:pPr>
      <w:r>
        <w:rPr>
          <w:rFonts w:ascii="宋体" w:hAnsi="宋体"/>
          <w:szCs w:val="21"/>
        </w:rPr>
        <w:t>（2）定量评估包括：</w:t>
      </w:r>
    </w:p>
    <w:p>
      <w:pPr>
        <w:spacing w:line="360" w:lineRule="auto"/>
        <w:rPr>
          <w:rFonts w:ascii="宋体" w:hAnsi="宋体"/>
          <w:szCs w:val="21"/>
        </w:rPr>
      </w:pPr>
      <w:r>
        <w:rPr>
          <w:rFonts w:ascii="宋体" w:hAnsi="宋体"/>
          <w:szCs w:val="21"/>
        </w:rPr>
        <w:t>日历寿命：不小于5年；</w:t>
      </w:r>
    </w:p>
    <w:p>
      <w:pPr>
        <w:spacing w:line="360" w:lineRule="auto"/>
        <w:rPr>
          <w:rFonts w:ascii="宋体" w:hAnsi="宋体"/>
          <w:szCs w:val="21"/>
        </w:rPr>
      </w:pPr>
      <w:r>
        <w:rPr>
          <w:rFonts w:ascii="宋体" w:hAnsi="宋体"/>
          <w:szCs w:val="21"/>
        </w:rPr>
        <w:t>发动机TBO时间：不小于200h；</w:t>
      </w:r>
    </w:p>
    <w:p>
      <w:pPr>
        <w:spacing w:line="360" w:lineRule="auto"/>
        <w:rPr>
          <w:rFonts w:ascii="宋体" w:hAnsi="宋体"/>
          <w:szCs w:val="21"/>
        </w:rPr>
      </w:pPr>
      <w:r>
        <w:rPr>
          <w:rFonts w:ascii="宋体" w:hAnsi="宋体"/>
          <w:szCs w:val="21"/>
        </w:rPr>
        <w:t>平均无故障工作时间：MTBF不小于100h。</w:t>
      </w:r>
    </w:p>
    <w:p>
      <w:pPr>
        <w:spacing w:line="360" w:lineRule="auto"/>
        <w:rPr>
          <w:rFonts w:ascii="宋体" w:hAnsi="宋体"/>
          <w:szCs w:val="21"/>
        </w:rPr>
      </w:pPr>
      <w:r>
        <w:rPr>
          <w:rFonts w:ascii="宋体" w:hAnsi="宋体"/>
          <w:szCs w:val="21"/>
        </w:rPr>
        <w:t>（3）定性评价包括：</w:t>
      </w:r>
    </w:p>
    <w:p>
      <w:pPr>
        <w:spacing w:line="360" w:lineRule="auto"/>
        <w:rPr>
          <w:rFonts w:ascii="宋体" w:hAnsi="宋体"/>
          <w:szCs w:val="21"/>
        </w:rPr>
      </w:pPr>
      <w:r>
        <w:rPr>
          <w:rFonts w:ascii="宋体" w:hAnsi="宋体"/>
          <w:szCs w:val="21"/>
        </w:rPr>
        <w:t>故障统计与分析评价；</w:t>
      </w:r>
    </w:p>
    <w:p>
      <w:pPr>
        <w:spacing w:line="360" w:lineRule="auto"/>
        <w:rPr>
          <w:rFonts w:ascii="宋体" w:hAnsi="宋体"/>
          <w:szCs w:val="21"/>
        </w:rPr>
      </w:pPr>
      <w:r>
        <w:rPr>
          <w:rFonts w:ascii="宋体" w:hAnsi="宋体"/>
          <w:szCs w:val="21"/>
        </w:rPr>
        <w:t>可靠性变化趋势分析；</w:t>
      </w:r>
    </w:p>
    <w:p>
      <w:pPr>
        <w:spacing w:line="360" w:lineRule="auto"/>
        <w:rPr>
          <w:rFonts w:ascii="宋体" w:hAnsi="宋体"/>
          <w:szCs w:val="21"/>
        </w:rPr>
      </w:pPr>
      <w:r>
        <w:rPr>
          <w:rFonts w:ascii="宋体" w:hAnsi="宋体"/>
          <w:szCs w:val="21"/>
        </w:rPr>
        <w:t>其他要求。</w:t>
      </w:r>
    </w:p>
    <w:p>
      <w:pPr>
        <w:spacing w:line="360" w:lineRule="auto"/>
        <w:rPr>
          <w:rFonts w:ascii="宋体" w:hAnsi="宋体"/>
          <w:szCs w:val="21"/>
        </w:rPr>
      </w:pPr>
      <w:r>
        <w:rPr>
          <w:rFonts w:ascii="宋体" w:hAnsi="宋体"/>
          <w:szCs w:val="21"/>
        </w:rPr>
        <w:t>（4）可靠性试飞包括：</w:t>
      </w:r>
    </w:p>
    <w:p>
      <w:pPr>
        <w:spacing w:line="360" w:lineRule="auto"/>
        <w:rPr>
          <w:rFonts w:ascii="宋体" w:hAnsi="宋体"/>
          <w:szCs w:val="21"/>
        </w:rPr>
      </w:pPr>
      <w:r>
        <w:rPr>
          <w:rFonts w:ascii="宋体" w:hAnsi="宋体"/>
          <w:szCs w:val="21"/>
        </w:rPr>
        <w:t>适应性试飞，验证无人机在各种预期使用条件下运行的适应性；</w:t>
      </w:r>
    </w:p>
    <w:p>
      <w:pPr>
        <w:spacing w:line="360" w:lineRule="auto"/>
        <w:rPr>
          <w:rFonts w:ascii="宋体" w:hAnsi="宋体"/>
          <w:szCs w:val="21"/>
        </w:rPr>
      </w:pPr>
      <w:r>
        <w:rPr>
          <w:rFonts w:ascii="宋体" w:hAnsi="宋体"/>
          <w:szCs w:val="21"/>
        </w:rPr>
        <w:t>功能性试飞：依据无人机功能和性能要求在规定的典型任务剖面条件下开展可靠性飞行试验。</w:t>
      </w:r>
    </w:p>
    <w:p>
      <w:pPr>
        <w:spacing w:line="360" w:lineRule="auto"/>
        <w:rPr>
          <w:rFonts w:ascii="宋体" w:hAnsi="宋体"/>
          <w:szCs w:val="21"/>
        </w:rPr>
      </w:pPr>
      <w:r>
        <w:rPr>
          <w:rFonts w:ascii="宋体" w:hAnsi="宋体"/>
          <w:b/>
          <w:bCs/>
          <w:szCs w:val="21"/>
        </w:rPr>
        <w:t>3.3.</w:t>
      </w:r>
      <w:r>
        <w:rPr>
          <w:rFonts w:ascii="宋体" w:hAnsi="宋体" w:hint="eastAsia"/>
          <w:b/>
          <w:bCs/>
          <w:szCs w:val="21"/>
        </w:rPr>
        <w:t>2</w:t>
      </w:r>
      <w:r>
        <w:rPr>
          <w:rFonts w:ascii="宋体" w:hAnsi="宋体"/>
          <w:b/>
          <w:bCs/>
          <w:szCs w:val="21"/>
        </w:rPr>
        <w:t>.6维修性</w:t>
      </w:r>
    </w:p>
    <w:p>
      <w:pPr>
        <w:spacing w:line="360" w:lineRule="auto"/>
        <w:rPr>
          <w:rFonts w:ascii="宋体" w:hAnsi="宋体"/>
          <w:szCs w:val="21"/>
        </w:rPr>
      </w:pPr>
      <w:r>
        <w:rPr>
          <w:rFonts w:ascii="宋体" w:hAnsi="宋体"/>
          <w:szCs w:val="21"/>
        </w:rPr>
        <w:t>（1）定性要求</w:t>
      </w:r>
    </w:p>
    <w:p>
      <w:pPr>
        <w:spacing w:line="360" w:lineRule="auto"/>
        <w:rPr>
          <w:rFonts w:ascii="宋体" w:hAnsi="宋体"/>
          <w:szCs w:val="21"/>
        </w:rPr>
      </w:pPr>
      <w:r>
        <w:rPr>
          <w:rFonts w:ascii="宋体" w:hAnsi="宋体"/>
          <w:szCs w:val="21"/>
        </w:rPr>
        <w:t>降低维修频率和维修时的复杂性，以降低对维修人员技术水平、熟练程度、人员数量和工作量的要求；</w:t>
      </w:r>
    </w:p>
    <w:p>
      <w:pPr>
        <w:spacing w:line="360" w:lineRule="auto"/>
        <w:rPr>
          <w:rFonts w:ascii="宋体" w:hAnsi="宋体"/>
          <w:szCs w:val="21"/>
        </w:rPr>
      </w:pPr>
      <w:r>
        <w:rPr>
          <w:rFonts w:ascii="宋体" w:hAnsi="宋体"/>
          <w:szCs w:val="21"/>
        </w:rPr>
        <w:t>优先选用标准的或型号通用的元器件、零部件；</w:t>
      </w:r>
    </w:p>
    <w:p>
      <w:pPr>
        <w:spacing w:line="360" w:lineRule="auto"/>
        <w:rPr>
          <w:rFonts w:ascii="宋体" w:hAnsi="宋体"/>
          <w:szCs w:val="21"/>
        </w:rPr>
      </w:pPr>
      <w:r>
        <w:rPr>
          <w:rFonts w:ascii="宋体" w:hAnsi="宋体"/>
          <w:szCs w:val="21"/>
        </w:rPr>
        <w:t>合理安排个设备、部件的安装位置，使其检测、换件等维修操作简单方便；</w:t>
      </w:r>
    </w:p>
    <w:p>
      <w:pPr>
        <w:spacing w:line="360" w:lineRule="auto"/>
        <w:rPr>
          <w:rFonts w:ascii="宋体" w:hAnsi="宋体"/>
          <w:szCs w:val="21"/>
        </w:rPr>
      </w:pPr>
      <w:r>
        <w:rPr>
          <w:rFonts w:ascii="宋体" w:hAnsi="宋体"/>
          <w:szCs w:val="21"/>
        </w:rPr>
        <w:t>连接方式尽量唯一性设计，当无法实现唯一性时标注明显的防插错识别标记；</w:t>
      </w:r>
    </w:p>
    <w:p>
      <w:pPr>
        <w:spacing w:line="360" w:lineRule="auto"/>
        <w:rPr>
          <w:rFonts w:ascii="宋体" w:hAnsi="宋体"/>
          <w:szCs w:val="21"/>
        </w:rPr>
      </w:pPr>
      <w:r>
        <w:rPr>
          <w:rFonts w:ascii="宋体" w:hAnsi="宋体"/>
          <w:szCs w:val="21"/>
        </w:rPr>
        <w:t>定制维修操作手册，规范操作规程。</w:t>
      </w:r>
    </w:p>
    <w:p>
      <w:pPr>
        <w:spacing w:line="360" w:lineRule="auto"/>
        <w:rPr>
          <w:rFonts w:ascii="宋体" w:hAnsi="宋体"/>
          <w:szCs w:val="21"/>
        </w:rPr>
      </w:pPr>
      <w:r>
        <w:rPr>
          <w:rFonts w:ascii="宋体" w:hAnsi="宋体"/>
          <w:szCs w:val="21"/>
        </w:rPr>
        <w:t>（2）定量要求</w:t>
      </w:r>
    </w:p>
    <w:p>
      <w:pPr>
        <w:spacing w:line="360" w:lineRule="auto"/>
        <w:rPr>
          <w:rFonts w:ascii="宋体" w:hAnsi="宋体"/>
          <w:szCs w:val="21"/>
        </w:rPr>
      </w:pPr>
      <w:r>
        <w:rPr>
          <w:rFonts w:ascii="宋体" w:hAnsi="宋体"/>
          <w:szCs w:val="21"/>
        </w:rPr>
        <w:t>平均维修时间，MTTR≤1h。</w:t>
      </w:r>
    </w:p>
    <w:p>
      <w:pPr>
        <w:spacing w:line="360" w:lineRule="auto"/>
        <w:rPr>
          <w:rFonts w:ascii="宋体" w:hAnsi="宋体"/>
          <w:szCs w:val="21"/>
        </w:rPr>
      </w:pPr>
      <w:r>
        <w:rPr>
          <w:rFonts w:ascii="宋体" w:hAnsi="宋体"/>
          <w:b/>
          <w:bCs/>
          <w:szCs w:val="21"/>
        </w:rPr>
        <w:t>3.3.</w:t>
      </w:r>
      <w:r>
        <w:rPr>
          <w:rFonts w:ascii="宋体" w:hAnsi="宋体" w:hint="eastAsia"/>
          <w:b/>
          <w:bCs/>
          <w:szCs w:val="21"/>
        </w:rPr>
        <w:t>2</w:t>
      </w:r>
      <w:r>
        <w:rPr>
          <w:rFonts w:ascii="宋体" w:hAnsi="宋体"/>
          <w:b/>
          <w:bCs/>
          <w:szCs w:val="21"/>
        </w:rPr>
        <w:t>.7测试性</w:t>
      </w:r>
    </w:p>
    <w:p>
      <w:pPr>
        <w:spacing w:line="360" w:lineRule="auto"/>
        <w:rPr>
          <w:rFonts w:ascii="宋体" w:hAnsi="宋体"/>
          <w:szCs w:val="21"/>
        </w:rPr>
      </w:pPr>
      <w:r>
        <w:rPr>
          <w:rFonts w:ascii="宋体" w:hAnsi="宋体"/>
          <w:szCs w:val="21"/>
        </w:rPr>
        <w:t>无人机作业单元测试行要求依据《低空飞行服务系统技术规范第3部分：测试方法》（MH/T 4055.3—2022）</w:t>
      </w:r>
      <w:r>
        <w:rPr>
          <w:rFonts w:ascii="宋体" w:hAnsi="宋体" w:hint="eastAsia"/>
          <w:szCs w:val="21"/>
        </w:rPr>
        <w:t>或同类标准</w:t>
      </w:r>
      <w:r>
        <w:rPr>
          <w:rFonts w:ascii="宋体" w:hAnsi="宋体"/>
          <w:szCs w:val="21"/>
        </w:rPr>
        <w:t>进行设计，测试人员应根据被测产品说明、用户文档等分析被测系统，并确定以下内容：</w:t>
      </w:r>
    </w:p>
    <w:p>
      <w:pPr>
        <w:spacing w:line="360" w:lineRule="auto"/>
        <w:rPr>
          <w:rFonts w:ascii="宋体" w:hAnsi="宋体"/>
          <w:szCs w:val="21"/>
        </w:rPr>
      </w:pPr>
      <w:r>
        <w:rPr>
          <w:rFonts w:ascii="宋体" w:hAnsi="宋体"/>
          <w:szCs w:val="21"/>
        </w:rPr>
        <w:t>确定测试充分性要求。确定测试范围应覆盖产品说明、用户文档以及测试内容提及的所有功能、质量特性和操作；</w:t>
      </w:r>
    </w:p>
    <w:p>
      <w:pPr>
        <w:spacing w:line="360" w:lineRule="auto"/>
        <w:rPr>
          <w:rFonts w:ascii="宋体" w:hAnsi="宋体"/>
          <w:szCs w:val="21"/>
        </w:rPr>
      </w:pPr>
      <w:r>
        <w:rPr>
          <w:rFonts w:ascii="宋体" w:hAnsi="宋体"/>
          <w:szCs w:val="21"/>
        </w:rPr>
        <w:t>确定测试的通过/失败准则；</w:t>
      </w:r>
    </w:p>
    <w:p>
      <w:pPr>
        <w:spacing w:line="360" w:lineRule="auto"/>
        <w:rPr>
          <w:rFonts w:ascii="宋体" w:hAnsi="宋体"/>
          <w:szCs w:val="21"/>
        </w:rPr>
      </w:pPr>
      <w:r>
        <w:rPr>
          <w:rFonts w:ascii="宋体" w:hAnsi="宋体"/>
          <w:szCs w:val="21"/>
        </w:rPr>
        <w:t>确定测试过程中导致异常终止的可能情况；</w:t>
      </w:r>
    </w:p>
    <w:p>
      <w:pPr>
        <w:spacing w:line="360" w:lineRule="auto"/>
        <w:rPr>
          <w:rFonts w:ascii="宋体" w:hAnsi="宋体"/>
          <w:szCs w:val="21"/>
        </w:rPr>
      </w:pPr>
      <w:r>
        <w:rPr>
          <w:rFonts w:ascii="宋体" w:hAnsi="宋体"/>
          <w:szCs w:val="21"/>
        </w:rPr>
        <w:t>确定用于测试的资源要求，包括人力资源（人员数量、人员技能等）、测试工具等；</w:t>
      </w:r>
    </w:p>
    <w:p>
      <w:pPr>
        <w:spacing w:line="360" w:lineRule="auto"/>
        <w:rPr>
          <w:rFonts w:ascii="宋体" w:hAnsi="宋体"/>
          <w:szCs w:val="21"/>
        </w:rPr>
      </w:pPr>
      <w:r>
        <w:rPr>
          <w:rFonts w:ascii="宋体" w:hAnsi="宋体"/>
          <w:szCs w:val="21"/>
        </w:rPr>
        <w:t>确定测试需要的技术和方法，如测试数据生成、测试数据输入等；确定测试活动进度；</w:t>
      </w:r>
    </w:p>
    <w:p>
      <w:pPr>
        <w:spacing w:line="360" w:lineRule="auto"/>
        <w:rPr>
          <w:rFonts w:ascii="宋体" w:hAnsi="宋体"/>
          <w:szCs w:val="21"/>
        </w:rPr>
      </w:pPr>
      <w:r>
        <w:rPr>
          <w:rFonts w:ascii="宋体" w:hAnsi="宋体"/>
          <w:szCs w:val="21"/>
        </w:rPr>
        <w:t>对测试工作进行风险分析与评估，并制定对应的措施。</w:t>
      </w:r>
    </w:p>
    <w:p>
      <w:pPr>
        <w:spacing w:line="360" w:lineRule="auto"/>
        <w:rPr>
          <w:rFonts w:ascii="宋体" w:hAnsi="宋体"/>
          <w:szCs w:val="21"/>
        </w:rPr>
      </w:pPr>
      <w:r>
        <w:rPr>
          <w:rFonts w:ascii="宋体" w:hAnsi="宋体"/>
          <w:szCs w:val="21"/>
        </w:rPr>
        <w:t>应根据上述分析编写系统测试计划，并根据系统测试计划完成以下工作：</w:t>
      </w:r>
    </w:p>
    <w:p>
      <w:pPr>
        <w:spacing w:line="360" w:lineRule="auto"/>
        <w:rPr>
          <w:rFonts w:ascii="宋体" w:hAnsi="宋体"/>
          <w:szCs w:val="21"/>
        </w:rPr>
      </w:pPr>
      <w:r>
        <w:rPr>
          <w:rFonts w:ascii="宋体" w:hAnsi="宋体"/>
          <w:szCs w:val="21"/>
        </w:rPr>
        <w:t>设计测试用例，每个测试用例至少应包括：测试目标；唯一性标识符；环境要求；详细实施步骤；预期结果：判定测试用例肯定或否定结果的评价准则。</w:t>
      </w:r>
    </w:p>
    <w:p>
      <w:pPr>
        <w:spacing w:line="360" w:lineRule="auto"/>
        <w:rPr>
          <w:rFonts w:ascii="宋体" w:hAnsi="宋体"/>
          <w:szCs w:val="21"/>
        </w:rPr>
      </w:pPr>
      <w:r>
        <w:rPr>
          <w:rFonts w:ascii="宋体" w:hAnsi="宋体"/>
          <w:szCs w:val="21"/>
        </w:rPr>
        <w:t>确定测试顺序；</w:t>
      </w:r>
    </w:p>
    <w:p>
      <w:pPr>
        <w:spacing w:line="360" w:lineRule="auto"/>
        <w:rPr>
          <w:rFonts w:ascii="宋体" w:hAnsi="宋体"/>
          <w:szCs w:val="21"/>
        </w:rPr>
      </w:pPr>
      <w:r>
        <w:rPr>
          <w:rFonts w:ascii="宋体" w:hAnsi="宋体"/>
          <w:szCs w:val="21"/>
        </w:rPr>
        <w:t>编写系统测试说明。</w:t>
      </w:r>
    </w:p>
    <w:p>
      <w:pPr>
        <w:spacing w:line="360" w:lineRule="auto"/>
        <w:rPr>
          <w:rFonts w:ascii="宋体" w:hAnsi="宋体"/>
          <w:szCs w:val="21"/>
        </w:rPr>
      </w:pPr>
      <w:r>
        <w:rPr>
          <w:rFonts w:ascii="宋体" w:hAnsi="宋体"/>
          <w:szCs w:val="21"/>
        </w:rPr>
        <w:t>执行系统测试计划和测试项目和内容。在执行过程中，测试人员应认真观察并如实记录测试过程和测试结果，认真填写测试记录。根据每个测试用例期望测试结果、实际测试结果和评价准则判定该测试用例是否通过。</w:t>
      </w:r>
    </w:p>
    <w:p>
      <w:pPr>
        <w:spacing w:line="360" w:lineRule="auto"/>
        <w:rPr>
          <w:rFonts w:ascii="宋体" w:hAnsi="宋体"/>
          <w:szCs w:val="21"/>
        </w:rPr>
      </w:pPr>
      <w:r>
        <w:rPr>
          <w:rFonts w:ascii="宋体" w:hAnsi="宋体"/>
          <w:szCs w:val="21"/>
        </w:rPr>
        <w:t>测试记录至少应包括：测试用例标识符：测试执行日期：测试人员；测试步骤；测试用例执行结果。</w:t>
      </w:r>
    </w:p>
    <w:p>
      <w:pPr>
        <w:spacing w:line="360" w:lineRule="auto"/>
        <w:rPr>
          <w:rFonts w:ascii="宋体" w:hAnsi="宋体"/>
          <w:szCs w:val="21"/>
        </w:rPr>
      </w:pPr>
      <w:r>
        <w:rPr>
          <w:rFonts w:ascii="宋体" w:hAnsi="宋体"/>
          <w:szCs w:val="21"/>
        </w:rPr>
        <w:t>在测试执行过程中，若发现测试计划和测试说明的差错，应改正差错并记录差错改正信息，然后重新执行该测试项。</w:t>
      </w:r>
    </w:p>
    <w:p>
      <w:pPr>
        <w:spacing w:line="360" w:lineRule="auto"/>
        <w:rPr>
          <w:rFonts w:ascii="宋体" w:hAnsi="宋体"/>
          <w:szCs w:val="21"/>
        </w:rPr>
      </w:pPr>
      <w:r>
        <w:rPr>
          <w:rFonts w:ascii="宋体" w:hAnsi="宋体"/>
          <w:szCs w:val="21"/>
        </w:rPr>
        <w:t>按照测试计划完成测试后，测试人员应根据产品说明、系统测试计划、系统测试说明和测试记录等分析和评价测试工作，一般包含以下工作：</w:t>
      </w:r>
    </w:p>
    <w:p>
      <w:pPr>
        <w:spacing w:line="360" w:lineRule="auto"/>
        <w:rPr>
          <w:rFonts w:ascii="宋体" w:hAnsi="宋体"/>
          <w:szCs w:val="21"/>
        </w:rPr>
      </w:pPr>
      <w:r>
        <w:rPr>
          <w:rFonts w:ascii="宋体" w:hAnsi="宋体"/>
          <w:szCs w:val="21"/>
        </w:rPr>
        <w:t>确定未能测试的测试项，并将理由记录在系统测试报告中；</w:t>
      </w:r>
    </w:p>
    <w:p>
      <w:pPr>
        <w:spacing w:line="360" w:lineRule="auto"/>
        <w:rPr>
          <w:rFonts w:ascii="宋体" w:hAnsi="宋体"/>
          <w:szCs w:val="21"/>
        </w:rPr>
      </w:pPr>
      <w:r>
        <w:rPr>
          <w:rFonts w:ascii="宋体" w:hAnsi="宋体"/>
          <w:szCs w:val="21"/>
        </w:rPr>
        <w:t>对照测试记录与产品说明、用户文档，找出差异，提出系统改进建议，记录在系统测试报告中；</w:t>
      </w:r>
    </w:p>
    <w:p>
      <w:pPr>
        <w:spacing w:line="360" w:lineRule="auto"/>
        <w:rPr>
          <w:rFonts w:ascii="宋体" w:hAnsi="宋体"/>
          <w:szCs w:val="21"/>
        </w:rPr>
      </w:pPr>
      <w:r>
        <w:rPr>
          <w:rFonts w:ascii="宋体" w:hAnsi="宋体"/>
          <w:szCs w:val="21"/>
        </w:rPr>
        <w:t>对照测试记录与相关标准、政策法规，找出未能满足项，提出系统整改建议，记录在系统测试报告中；</w:t>
      </w:r>
    </w:p>
    <w:p>
      <w:pPr>
        <w:spacing w:line="360" w:lineRule="auto"/>
        <w:rPr>
          <w:rFonts w:ascii="宋体" w:hAnsi="宋体"/>
          <w:szCs w:val="21"/>
        </w:rPr>
      </w:pPr>
      <w:r>
        <w:rPr>
          <w:rFonts w:ascii="宋体" w:hAnsi="宋体"/>
          <w:szCs w:val="21"/>
        </w:rPr>
        <w:t>编写系统测试报告，报告应包含测试结果分析、对系统的评价和建议。</w:t>
      </w:r>
    </w:p>
    <w:p>
      <w:pPr>
        <w:spacing w:line="360" w:lineRule="auto"/>
        <w:rPr>
          <w:rFonts w:ascii="宋体" w:hAnsi="宋体"/>
          <w:szCs w:val="21"/>
        </w:rPr>
      </w:pPr>
      <w:r>
        <w:rPr>
          <w:rFonts w:ascii="宋体" w:hAnsi="宋体"/>
          <w:b/>
          <w:bCs/>
          <w:szCs w:val="21"/>
        </w:rPr>
        <w:t>3.3.</w:t>
      </w:r>
      <w:r>
        <w:rPr>
          <w:rFonts w:ascii="宋体" w:hAnsi="宋体" w:hint="eastAsia"/>
          <w:b/>
          <w:bCs/>
          <w:szCs w:val="21"/>
        </w:rPr>
        <w:t>2</w:t>
      </w:r>
      <w:r>
        <w:rPr>
          <w:rFonts w:ascii="宋体" w:hAnsi="宋体"/>
          <w:b/>
          <w:bCs/>
          <w:szCs w:val="21"/>
        </w:rPr>
        <w:t>.8保障性</w:t>
      </w:r>
    </w:p>
    <w:p>
      <w:pPr>
        <w:spacing w:line="360" w:lineRule="auto"/>
        <w:rPr>
          <w:rFonts w:ascii="宋体" w:hAnsi="宋体"/>
          <w:szCs w:val="21"/>
        </w:rPr>
      </w:pPr>
      <w:r>
        <w:rPr>
          <w:rFonts w:ascii="宋体" w:hAnsi="宋体"/>
          <w:szCs w:val="21"/>
        </w:rPr>
        <w:t>（1）人员和人力</w:t>
      </w:r>
    </w:p>
    <w:p>
      <w:pPr>
        <w:spacing w:line="360" w:lineRule="auto"/>
        <w:rPr>
          <w:rFonts w:ascii="宋体" w:hAnsi="宋体"/>
          <w:szCs w:val="21"/>
        </w:rPr>
      </w:pPr>
      <w:r>
        <w:rPr>
          <w:rFonts w:ascii="宋体" w:hAnsi="宋体"/>
          <w:szCs w:val="21"/>
        </w:rPr>
        <w:t>在满足使用维修前提下尽量减少人数，降低技术水平要求。尽可能利用现有维修体制和维修人员完成修理任务。</w:t>
      </w:r>
    </w:p>
    <w:p>
      <w:pPr>
        <w:spacing w:line="360" w:lineRule="auto"/>
        <w:rPr>
          <w:rFonts w:ascii="宋体" w:hAnsi="宋体"/>
          <w:szCs w:val="21"/>
        </w:rPr>
      </w:pPr>
      <w:r>
        <w:rPr>
          <w:rFonts w:ascii="宋体" w:hAnsi="宋体"/>
          <w:szCs w:val="21"/>
        </w:rPr>
        <w:t>（2）供应保障</w:t>
      </w:r>
    </w:p>
    <w:p>
      <w:pPr>
        <w:spacing w:line="360" w:lineRule="auto"/>
        <w:rPr>
          <w:rFonts w:ascii="宋体" w:hAnsi="宋体"/>
          <w:szCs w:val="21"/>
        </w:rPr>
      </w:pPr>
      <w:r>
        <w:rPr>
          <w:rFonts w:ascii="宋体" w:hAnsi="宋体"/>
          <w:szCs w:val="21"/>
        </w:rPr>
        <w:t>根据系统可靠性水平、任务重要程度、生产周期和价格等因素合理配置系统备品备件。</w:t>
      </w:r>
    </w:p>
    <w:p>
      <w:pPr>
        <w:spacing w:line="360" w:lineRule="auto"/>
        <w:rPr>
          <w:rFonts w:ascii="宋体" w:hAnsi="宋体"/>
          <w:szCs w:val="21"/>
        </w:rPr>
      </w:pPr>
      <w:r>
        <w:rPr>
          <w:rFonts w:ascii="宋体" w:hAnsi="宋体"/>
          <w:szCs w:val="21"/>
        </w:rPr>
        <w:t>（3）保障设备</w:t>
      </w:r>
    </w:p>
    <w:p>
      <w:pPr>
        <w:spacing w:line="360" w:lineRule="auto"/>
        <w:rPr>
          <w:rFonts w:ascii="宋体" w:hAnsi="宋体"/>
          <w:szCs w:val="21"/>
        </w:rPr>
      </w:pPr>
      <w:r>
        <w:rPr>
          <w:rFonts w:ascii="宋体" w:hAnsi="宋体"/>
          <w:szCs w:val="21"/>
        </w:rPr>
        <w:t>从简化品种，考虑抢修和保障系统自身保障等方面规划准备的保障系统，优先采用已有的或同类系统的保障系统，精简保障系统的种类和数量，逐步实现通用、系列、组合化。</w:t>
      </w:r>
    </w:p>
    <w:p>
      <w:pPr>
        <w:spacing w:line="360" w:lineRule="auto"/>
        <w:rPr>
          <w:rFonts w:ascii="宋体" w:hAnsi="宋体"/>
          <w:szCs w:val="21"/>
        </w:rPr>
      </w:pPr>
      <w:r>
        <w:rPr>
          <w:rFonts w:ascii="宋体" w:hAnsi="宋体"/>
          <w:szCs w:val="21"/>
        </w:rPr>
        <w:t>（4）保障设施</w:t>
      </w:r>
    </w:p>
    <w:p>
      <w:pPr>
        <w:spacing w:line="360" w:lineRule="auto"/>
        <w:rPr>
          <w:rFonts w:ascii="宋体" w:hAnsi="宋体"/>
          <w:szCs w:val="21"/>
        </w:rPr>
      </w:pPr>
      <w:r>
        <w:rPr>
          <w:rFonts w:ascii="宋体" w:hAnsi="宋体"/>
          <w:szCs w:val="21"/>
        </w:rPr>
        <w:t>综合分析定期检修和维修的保障设施的需求。</w:t>
      </w:r>
    </w:p>
    <w:p>
      <w:pPr>
        <w:spacing w:line="360" w:lineRule="auto"/>
        <w:rPr>
          <w:rFonts w:ascii="宋体" w:hAnsi="宋体"/>
          <w:szCs w:val="21"/>
        </w:rPr>
      </w:pPr>
      <w:r>
        <w:rPr>
          <w:rFonts w:ascii="宋体" w:hAnsi="宋体"/>
          <w:szCs w:val="21"/>
        </w:rPr>
        <w:t>（5）培训和培训保障</w:t>
      </w:r>
    </w:p>
    <w:p>
      <w:pPr>
        <w:spacing w:line="360" w:lineRule="auto"/>
        <w:rPr>
          <w:rFonts w:ascii="宋体" w:hAnsi="宋体"/>
          <w:szCs w:val="21"/>
        </w:rPr>
      </w:pPr>
      <w:r>
        <w:rPr>
          <w:rFonts w:ascii="宋体" w:hAnsi="宋体"/>
          <w:szCs w:val="21"/>
        </w:rPr>
        <w:t>按照有关要求，同步考虑培训和培训保障问题；</w:t>
      </w:r>
    </w:p>
    <w:p>
      <w:pPr>
        <w:spacing w:line="360" w:lineRule="auto"/>
        <w:rPr>
          <w:rFonts w:ascii="宋体" w:hAnsi="宋体"/>
          <w:szCs w:val="21"/>
        </w:rPr>
      </w:pPr>
      <w:r>
        <w:rPr>
          <w:rFonts w:ascii="宋体" w:hAnsi="宋体"/>
          <w:szCs w:val="21"/>
        </w:rPr>
        <w:t>及时编制满足在培训需要的培训教材，为弥补原有培训手段的不足，在培训时利用多媒体技术等现代教学手段，进行形象化教学，提高培训效果。</w:t>
      </w:r>
    </w:p>
    <w:p>
      <w:pPr>
        <w:spacing w:line="360" w:lineRule="auto"/>
        <w:rPr>
          <w:rFonts w:ascii="宋体" w:hAnsi="宋体"/>
          <w:szCs w:val="21"/>
        </w:rPr>
      </w:pPr>
      <w:r>
        <w:rPr>
          <w:rFonts w:ascii="宋体" w:hAnsi="宋体"/>
          <w:szCs w:val="21"/>
        </w:rPr>
        <w:t>（6）技术资料</w:t>
      </w:r>
    </w:p>
    <w:p>
      <w:pPr>
        <w:spacing w:line="360" w:lineRule="auto"/>
        <w:rPr>
          <w:rFonts w:ascii="宋体" w:hAnsi="宋体"/>
          <w:szCs w:val="21"/>
        </w:rPr>
      </w:pPr>
      <w:r>
        <w:rPr>
          <w:rFonts w:ascii="宋体" w:hAnsi="宋体"/>
          <w:szCs w:val="21"/>
        </w:rPr>
        <w:t>技术资料应配套齐全，在编制过程中应使其内容完整、准确、通俗易懂，充分满足平时和战时使用与维修的需要；</w:t>
      </w:r>
    </w:p>
    <w:p>
      <w:pPr>
        <w:spacing w:line="360" w:lineRule="auto"/>
        <w:rPr>
          <w:rFonts w:ascii="宋体" w:hAnsi="宋体"/>
          <w:szCs w:val="21"/>
        </w:rPr>
      </w:pPr>
      <w:r>
        <w:rPr>
          <w:rFonts w:ascii="宋体" w:hAnsi="宋体"/>
          <w:szCs w:val="21"/>
        </w:rPr>
        <w:t>技术资料采用的术语应统一；</w:t>
      </w:r>
    </w:p>
    <w:p>
      <w:pPr>
        <w:spacing w:line="360" w:lineRule="auto"/>
        <w:rPr>
          <w:rFonts w:ascii="宋体" w:hAnsi="宋体"/>
          <w:szCs w:val="21"/>
        </w:rPr>
      </w:pPr>
      <w:r>
        <w:rPr>
          <w:rFonts w:ascii="宋体" w:hAnsi="宋体"/>
          <w:szCs w:val="21"/>
        </w:rPr>
        <w:t>技术资料的构成和格式应统一；</w:t>
      </w:r>
    </w:p>
    <w:p>
      <w:pPr>
        <w:spacing w:line="360" w:lineRule="auto"/>
        <w:rPr>
          <w:rFonts w:ascii="宋体" w:hAnsi="宋体"/>
          <w:szCs w:val="21"/>
        </w:rPr>
      </w:pPr>
      <w:r>
        <w:rPr>
          <w:rFonts w:ascii="宋体" w:hAnsi="宋体"/>
          <w:szCs w:val="21"/>
        </w:rPr>
        <w:t>技术资料应正确与充分反映系统的技术状态及其具体的使用与维修要求；</w:t>
      </w:r>
    </w:p>
    <w:p>
      <w:pPr>
        <w:spacing w:line="360" w:lineRule="auto"/>
        <w:rPr>
          <w:rFonts w:ascii="宋体" w:hAnsi="宋体"/>
          <w:szCs w:val="21"/>
        </w:rPr>
      </w:pPr>
      <w:r>
        <w:rPr>
          <w:rFonts w:ascii="宋体" w:hAnsi="宋体"/>
          <w:szCs w:val="21"/>
        </w:rPr>
        <w:t>技术资料应文字通顺、图表清晰、易懂程度与使用、维修人员的技术水平相一致；</w:t>
      </w:r>
    </w:p>
    <w:p>
      <w:pPr>
        <w:spacing w:line="360" w:lineRule="auto"/>
        <w:rPr>
          <w:rFonts w:ascii="宋体" w:hAnsi="宋体"/>
          <w:szCs w:val="21"/>
        </w:rPr>
      </w:pPr>
      <w:r>
        <w:rPr>
          <w:rFonts w:ascii="宋体" w:hAnsi="宋体"/>
          <w:szCs w:val="21"/>
        </w:rPr>
        <w:t>应按规定的进度、交付形式和数量，交付质量符合要求的技术资料；</w:t>
      </w:r>
    </w:p>
    <w:p>
      <w:pPr>
        <w:spacing w:line="360" w:lineRule="auto"/>
        <w:rPr>
          <w:rFonts w:ascii="宋体" w:hAnsi="宋体"/>
          <w:szCs w:val="21"/>
        </w:rPr>
      </w:pPr>
      <w:r>
        <w:rPr>
          <w:rFonts w:ascii="宋体" w:hAnsi="宋体"/>
          <w:szCs w:val="21"/>
        </w:rPr>
        <w:t>当系统技术状态变更、使用与维修工作调整及其他需求，应及时进行更改和补充，以保证技术资料在系统使用期内现行有效。</w:t>
      </w:r>
    </w:p>
    <w:p>
      <w:pPr>
        <w:spacing w:line="360" w:lineRule="auto"/>
        <w:rPr>
          <w:rFonts w:ascii="宋体" w:hAnsi="宋体"/>
          <w:szCs w:val="21"/>
        </w:rPr>
      </w:pPr>
      <w:r>
        <w:rPr>
          <w:rFonts w:ascii="宋体" w:hAnsi="宋体"/>
          <w:b/>
          <w:bCs/>
          <w:szCs w:val="21"/>
        </w:rPr>
        <w:t>3.3.</w:t>
      </w:r>
      <w:r>
        <w:rPr>
          <w:rFonts w:ascii="宋体" w:hAnsi="宋体" w:hint="eastAsia"/>
          <w:b/>
          <w:bCs/>
          <w:szCs w:val="21"/>
        </w:rPr>
        <w:t>2</w:t>
      </w:r>
      <w:r>
        <w:rPr>
          <w:rFonts w:ascii="宋体" w:hAnsi="宋体"/>
          <w:b/>
          <w:bCs/>
          <w:szCs w:val="21"/>
        </w:rPr>
        <w:t>.9安全性</w:t>
      </w:r>
    </w:p>
    <w:p>
      <w:pPr>
        <w:spacing w:line="360" w:lineRule="auto"/>
        <w:rPr>
          <w:rFonts w:ascii="宋体" w:hAnsi="宋体"/>
          <w:szCs w:val="21"/>
        </w:rPr>
      </w:pPr>
      <w:r>
        <w:rPr>
          <w:rFonts w:ascii="宋体" w:hAnsi="宋体"/>
          <w:szCs w:val="21"/>
        </w:rPr>
        <w:t>无人机作业单元依据《民用无人机驾驶航空器系统安全要求》（GB 42590—2023）制定安全性要求，内容如下：</w:t>
      </w:r>
    </w:p>
    <w:p>
      <w:pPr>
        <w:spacing w:line="360" w:lineRule="auto"/>
        <w:rPr>
          <w:rFonts w:ascii="宋体" w:hAnsi="宋体"/>
          <w:szCs w:val="21"/>
        </w:rPr>
      </w:pPr>
      <w:r>
        <w:rPr>
          <w:rFonts w:ascii="宋体" w:hAnsi="宋体"/>
          <w:szCs w:val="21"/>
        </w:rPr>
        <w:t>（1）电子围栏</w:t>
      </w:r>
    </w:p>
    <w:p>
      <w:pPr>
        <w:spacing w:line="360" w:lineRule="auto"/>
        <w:rPr>
          <w:rFonts w:ascii="宋体" w:hAnsi="宋体"/>
          <w:szCs w:val="21"/>
        </w:rPr>
      </w:pPr>
      <w:r>
        <w:rPr>
          <w:rFonts w:ascii="宋体" w:hAnsi="宋体"/>
          <w:szCs w:val="21"/>
        </w:rPr>
        <w:t>应在检测到其与特定地理范围可能或正在发生冲突时，向无人驾驶航空器操作员提供通知、警告或自动执行飞行预案，飞行预案可选择阻止起飞、限制飞行高度、悬停、降落、返航等一种或多种。</w:t>
      </w:r>
    </w:p>
    <w:p>
      <w:pPr>
        <w:spacing w:line="360" w:lineRule="auto"/>
        <w:rPr>
          <w:rFonts w:ascii="宋体" w:hAnsi="宋体"/>
          <w:szCs w:val="21"/>
        </w:rPr>
      </w:pPr>
      <w:r>
        <w:rPr>
          <w:rFonts w:ascii="宋体" w:hAnsi="宋体"/>
          <w:szCs w:val="21"/>
        </w:rPr>
        <w:t>（2）远程识别</w:t>
      </w:r>
    </w:p>
    <w:p>
      <w:pPr>
        <w:spacing w:line="360" w:lineRule="auto"/>
        <w:rPr>
          <w:rFonts w:ascii="宋体" w:hAnsi="宋体"/>
          <w:szCs w:val="21"/>
        </w:rPr>
      </w:pPr>
      <w:r>
        <w:rPr>
          <w:rFonts w:ascii="宋体" w:hAnsi="宋体"/>
          <w:szCs w:val="21"/>
        </w:rPr>
        <w:t>应通过网络主动向综合监管服务平台报送识别信息。无人驾驶航空器在飞行过程中应通过无线局域网（Wi-Fi)或蓝牙自动广播识别信息。</w:t>
      </w:r>
    </w:p>
    <w:p>
      <w:pPr>
        <w:spacing w:line="360" w:lineRule="auto"/>
        <w:rPr>
          <w:rFonts w:ascii="宋体" w:hAnsi="宋体"/>
          <w:szCs w:val="21"/>
        </w:rPr>
      </w:pPr>
      <w:r>
        <w:rPr>
          <w:rFonts w:ascii="宋体" w:hAnsi="宋体"/>
          <w:szCs w:val="21"/>
        </w:rPr>
        <w:t>（3）应急处置</w:t>
      </w:r>
    </w:p>
    <w:p>
      <w:pPr>
        <w:spacing w:line="360" w:lineRule="auto"/>
        <w:rPr>
          <w:rFonts w:ascii="宋体" w:hAnsi="宋体"/>
          <w:szCs w:val="21"/>
        </w:rPr>
      </w:pPr>
      <w:r>
        <w:rPr>
          <w:rFonts w:ascii="宋体" w:hAnsi="宋体"/>
          <w:szCs w:val="21"/>
        </w:rPr>
        <w:t>在飞行过程中遇到数据链中断或丢失、电量/油量不足等突发状况时，应具有悬停/空中盘旋、返航、降落、开伞等一种或多种处置能力,遇到导航失效情况，应通过操控软件或产品手册中说明的其他方式向无人驾驶航空器操作员提供通知或警告。</w:t>
      </w:r>
    </w:p>
    <w:p>
      <w:pPr>
        <w:spacing w:line="360" w:lineRule="auto"/>
        <w:rPr>
          <w:rFonts w:ascii="宋体" w:hAnsi="宋体"/>
          <w:szCs w:val="21"/>
        </w:rPr>
      </w:pPr>
      <w:r>
        <w:rPr>
          <w:rFonts w:ascii="宋体" w:hAnsi="宋体"/>
          <w:szCs w:val="21"/>
        </w:rPr>
        <w:t>（4）结构强度</w:t>
      </w:r>
    </w:p>
    <w:p>
      <w:pPr>
        <w:spacing w:line="360" w:lineRule="auto"/>
        <w:rPr>
          <w:rFonts w:ascii="宋体" w:hAnsi="宋体"/>
          <w:szCs w:val="21"/>
        </w:rPr>
      </w:pPr>
      <w:r>
        <w:rPr>
          <w:rFonts w:ascii="宋体" w:hAnsi="宋体"/>
          <w:szCs w:val="21"/>
        </w:rPr>
        <w:t>在承受各种规定的载荷状态下具有足够的强度和刚度，无人驾驶航空器结构不产生有害变形；</w:t>
      </w:r>
    </w:p>
    <w:p>
      <w:pPr>
        <w:spacing w:line="360" w:lineRule="auto"/>
        <w:rPr>
          <w:rFonts w:ascii="宋体" w:hAnsi="宋体"/>
          <w:szCs w:val="21"/>
        </w:rPr>
      </w:pPr>
      <w:r>
        <w:rPr>
          <w:rFonts w:ascii="宋体" w:hAnsi="宋体"/>
          <w:szCs w:val="21"/>
        </w:rPr>
        <w:t>在承受最大起飞重量的1.33倍的载荷时，无人驾驶航空器的主要承力结构不被破坏。</w:t>
      </w:r>
    </w:p>
    <w:p>
      <w:pPr>
        <w:spacing w:line="360" w:lineRule="auto"/>
        <w:rPr>
          <w:rFonts w:ascii="宋体" w:hAnsi="宋体"/>
          <w:szCs w:val="21"/>
        </w:rPr>
      </w:pPr>
      <w:r>
        <w:rPr>
          <w:rFonts w:ascii="宋体" w:hAnsi="宋体"/>
          <w:szCs w:val="21"/>
        </w:rPr>
        <w:t>（5）防差错</w:t>
      </w:r>
    </w:p>
    <w:p>
      <w:pPr>
        <w:spacing w:line="360" w:lineRule="auto"/>
        <w:rPr>
          <w:rFonts w:ascii="宋体" w:hAnsi="宋体"/>
          <w:szCs w:val="21"/>
        </w:rPr>
      </w:pPr>
      <w:r>
        <w:rPr>
          <w:rFonts w:ascii="宋体" w:hAnsi="宋体"/>
          <w:szCs w:val="21"/>
        </w:rPr>
        <w:t>无人驾驶航空器电池、电机、桨叶等部件的机械接口应具有防差错功能。</w:t>
      </w:r>
    </w:p>
    <w:p>
      <w:pPr>
        <w:spacing w:line="360" w:lineRule="auto"/>
        <w:rPr>
          <w:rFonts w:ascii="宋体" w:hAnsi="宋体"/>
          <w:szCs w:val="21"/>
        </w:rPr>
      </w:pPr>
      <w:r>
        <w:rPr>
          <w:rFonts w:ascii="宋体" w:hAnsi="宋体"/>
          <w:szCs w:val="21"/>
        </w:rPr>
        <w:t>（6）数据链保护</w:t>
      </w:r>
    </w:p>
    <w:p>
      <w:pPr>
        <w:spacing w:line="360" w:lineRule="auto"/>
        <w:rPr>
          <w:rFonts w:ascii="宋体" w:hAnsi="宋体"/>
          <w:szCs w:val="21"/>
        </w:rPr>
      </w:pPr>
      <w:r>
        <w:rPr>
          <w:rFonts w:ascii="宋体" w:hAnsi="宋体"/>
          <w:szCs w:val="21"/>
        </w:rPr>
        <w:t>无人驾驶航空器应采用信息安全技术手段进行防护，防止链路非授权访问。</w:t>
      </w:r>
    </w:p>
    <w:p>
      <w:pPr>
        <w:spacing w:line="360" w:lineRule="auto"/>
        <w:rPr>
          <w:rFonts w:ascii="宋体" w:hAnsi="宋体"/>
          <w:szCs w:val="21"/>
        </w:rPr>
      </w:pPr>
      <w:r>
        <w:rPr>
          <w:rFonts w:ascii="宋体" w:hAnsi="宋体"/>
          <w:b/>
          <w:bCs/>
          <w:szCs w:val="21"/>
        </w:rPr>
        <w:t>3.3</w:t>
      </w:r>
      <w:bookmarkStart w:id="131" w:name="OLE_LINK27"/>
      <w:r>
        <w:rPr>
          <w:rFonts w:ascii="宋体" w:hAnsi="宋体"/>
          <w:b/>
          <w:bCs/>
          <w:szCs w:val="21"/>
        </w:rPr>
        <w:t>.2</w:t>
      </w:r>
      <w:r>
        <w:rPr>
          <w:rFonts w:ascii="宋体" w:hAnsi="宋体" w:hint="eastAsia"/>
          <w:b/>
          <w:bCs/>
          <w:szCs w:val="21"/>
        </w:rPr>
        <w:t>.10</w:t>
      </w:r>
      <w:bookmarkEnd w:id="131"/>
      <w:r>
        <w:rPr>
          <w:rFonts w:ascii="宋体" w:hAnsi="宋体"/>
          <w:b/>
          <w:bCs/>
          <w:szCs w:val="21"/>
        </w:rPr>
        <w:t>机体结构</w:t>
      </w:r>
    </w:p>
    <w:p>
      <w:pPr>
        <w:spacing w:line="360" w:lineRule="auto"/>
        <w:rPr>
          <w:rFonts w:ascii="宋体" w:hAnsi="宋体"/>
          <w:szCs w:val="21"/>
        </w:rPr>
      </w:pPr>
      <w:r>
        <w:rPr>
          <w:rFonts w:ascii="宋体" w:hAnsi="宋体"/>
          <w:szCs w:val="21"/>
        </w:rPr>
        <w:t>（1）采用模块化设计，便于拆装和转场运输。</w:t>
      </w:r>
    </w:p>
    <w:p>
      <w:pPr>
        <w:spacing w:line="360" w:lineRule="auto"/>
        <w:rPr>
          <w:rFonts w:ascii="宋体" w:hAnsi="宋体"/>
          <w:szCs w:val="21"/>
        </w:rPr>
      </w:pPr>
      <w:r>
        <w:rPr>
          <w:rFonts w:ascii="宋体" w:hAnsi="宋体"/>
          <w:szCs w:val="21"/>
        </w:rPr>
        <w:t>（2）可适应复杂气象环境，设计时应考虑防水和防腐蚀设计。</w:t>
      </w:r>
    </w:p>
    <w:p>
      <w:pPr>
        <w:spacing w:line="360" w:lineRule="auto"/>
        <w:rPr>
          <w:rFonts w:ascii="宋体" w:hAnsi="宋体"/>
          <w:szCs w:val="21"/>
        </w:rPr>
      </w:pPr>
      <w:r>
        <w:rPr>
          <w:rFonts w:ascii="宋体" w:hAnsi="宋体"/>
          <w:szCs w:val="21"/>
        </w:rPr>
        <w:t>（3）用于安装、维修的口盖设计合理，便于机载各设备的拆装、保养和维护。</w:t>
      </w:r>
    </w:p>
    <w:p>
      <w:pPr>
        <w:spacing w:line="360" w:lineRule="auto"/>
        <w:rPr>
          <w:rFonts w:ascii="宋体" w:hAnsi="宋体"/>
          <w:szCs w:val="21"/>
        </w:rPr>
      </w:pPr>
      <w:r>
        <w:rPr>
          <w:rFonts w:ascii="宋体" w:hAnsi="宋体"/>
          <w:szCs w:val="21"/>
        </w:rPr>
        <w:t>（4）为各机载成品、电缆、管路及附件等提供安装空间。</w:t>
      </w:r>
    </w:p>
    <w:p>
      <w:pPr>
        <w:spacing w:line="360" w:lineRule="auto"/>
        <w:rPr>
          <w:rFonts w:ascii="宋体" w:hAnsi="宋体"/>
          <w:szCs w:val="21"/>
        </w:rPr>
      </w:pPr>
      <w:r>
        <w:rPr>
          <w:rFonts w:ascii="宋体" w:hAnsi="宋体"/>
          <w:szCs w:val="21"/>
        </w:rPr>
        <w:t>（5）机体结构应满足运输、飞机吊挂、系留和支撑等需求。</w:t>
      </w:r>
    </w:p>
    <w:p>
      <w:pPr>
        <w:spacing w:line="360" w:lineRule="auto"/>
        <w:rPr>
          <w:rFonts w:ascii="宋体" w:hAnsi="宋体"/>
          <w:szCs w:val="21"/>
        </w:rPr>
      </w:pPr>
      <w:r>
        <w:rPr>
          <w:rFonts w:ascii="宋体" w:hAnsi="宋体"/>
          <w:szCs w:val="21"/>
        </w:rPr>
        <w:t>（6）机体结构能够承受不同飞行阶段突风或阵风引起的载荷。</w:t>
      </w:r>
    </w:p>
    <w:p>
      <w:pPr>
        <w:spacing w:line="360" w:lineRule="auto"/>
        <w:rPr>
          <w:rFonts w:ascii="宋体" w:hAnsi="宋体"/>
          <w:szCs w:val="21"/>
        </w:rPr>
      </w:pPr>
      <w:r>
        <w:rPr>
          <w:rFonts w:ascii="宋体" w:hAnsi="宋体"/>
          <w:szCs w:val="21"/>
        </w:rPr>
        <w:t>（7）机体结构能够承受不同阶段转换时引起的载荷。</w:t>
      </w:r>
    </w:p>
    <w:p>
      <w:pPr>
        <w:spacing w:line="360" w:lineRule="auto"/>
        <w:rPr>
          <w:rFonts w:ascii="宋体" w:hAnsi="宋体"/>
          <w:szCs w:val="21"/>
        </w:rPr>
      </w:pPr>
      <w:r>
        <w:rPr>
          <w:rFonts w:ascii="宋体" w:hAnsi="宋体"/>
          <w:b/>
          <w:bCs/>
          <w:szCs w:val="21"/>
        </w:rPr>
        <w:t>3.3.2</w:t>
      </w:r>
      <w:r>
        <w:rPr>
          <w:rFonts w:ascii="宋体" w:hAnsi="宋体" w:hint="eastAsia"/>
          <w:b/>
          <w:bCs/>
          <w:szCs w:val="21"/>
        </w:rPr>
        <w:t>.11</w:t>
      </w:r>
      <w:r>
        <w:rPr>
          <w:rFonts w:ascii="宋体" w:hAnsi="宋体"/>
          <w:b/>
          <w:bCs/>
          <w:szCs w:val="21"/>
        </w:rPr>
        <w:t>起落架系统</w:t>
      </w:r>
    </w:p>
    <w:p>
      <w:pPr>
        <w:spacing w:line="360" w:lineRule="auto"/>
        <w:rPr>
          <w:rFonts w:ascii="宋体" w:hAnsi="宋体"/>
          <w:szCs w:val="21"/>
        </w:rPr>
      </w:pPr>
      <w:r>
        <w:rPr>
          <w:rFonts w:ascii="宋体" w:hAnsi="宋体"/>
          <w:szCs w:val="21"/>
        </w:rPr>
        <w:t>（1）为无人机在地面状态下提供支撑。</w:t>
      </w:r>
    </w:p>
    <w:p>
      <w:pPr>
        <w:spacing w:line="360" w:lineRule="auto"/>
        <w:rPr>
          <w:rFonts w:ascii="宋体" w:hAnsi="宋体"/>
          <w:szCs w:val="21"/>
        </w:rPr>
      </w:pPr>
      <w:r>
        <w:rPr>
          <w:rFonts w:ascii="宋体" w:hAnsi="宋体"/>
          <w:szCs w:val="21"/>
        </w:rPr>
        <w:t>（2）缓冲无人机在起飞、着陆和地面运动中产生的冲击力。</w:t>
      </w:r>
    </w:p>
    <w:p>
      <w:pPr>
        <w:spacing w:line="360" w:lineRule="auto"/>
        <w:rPr>
          <w:rFonts w:ascii="宋体" w:hAnsi="宋体"/>
          <w:szCs w:val="21"/>
        </w:rPr>
      </w:pPr>
      <w:r>
        <w:rPr>
          <w:rFonts w:ascii="宋体" w:hAnsi="宋体"/>
          <w:szCs w:val="21"/>
        </w:rPr>
        <w:t>（3）在规定的限制载荷下，起落架结构不发生永久变形。</w:t>
      </w:r>
    </w:p>
    <w:p>
      <w:pPr>
        <w:spacing w:line="360" w:lineRule="auto"/>
        <w:rPr>
          <w:rFonts w:ascii="宋体" w:hAnsi="宋体"/>
          <w:szCs w:val="21"/>
        </w:rPr>
      </w:pPr>
      <w:r>
        <w:rPr>
          <w:rFonts w:ascii="宋体" w:hAnsi="宋体"/>
          <w:szCs w:val="21"/>
        </w:rPr>
        <w:t>（4）起落架具备空中收放功能，预防空中结冰，降低安全隐患。</w:t>
      </w:r>
    </w:p>
    <w:p>
      <w:pPr>
        <w:pStyle w:val="p2"/>
        <w:widowControl/>
        <w:spacing w:line="360" w:lineRule="auto"/>
        <w:rPr>
          <w:rFonts w:ascii="宋体" w:eastAsia="宋体" w:hAnsi="宋体" w:hint="default"/>
          <w:color w:val="auto"/>
        </w:rPr>
      </w:pPr>
      <w:r>
        <w:rPr>
          <w:rFonts w:ascii="宋体" w:eastAsia="宋体" w:hAnsi="宋体"/>
          <w:color w:val="auto"/>
        </w:rPr>
        <w:t>▲提供该项性能指标方案设计、仿真计算、试飞验证，同时提供承诺函，承诺该指标接受验收实测。</w:t>
      </w:r>
    </w:p>
    <w:p>
      <w:pPr>
        <w:spacing w:line="360" w:lineRule="auto"/>
        <w:rPr>
          <w:rFonts w:ascii="宋体" w:hAnsi="宋体"/>
          <w:szCs w:val="21"/>
        </w:rPr>
      </w:pPr>
      <w:r>
        <w:rPr>
          <w:rFonts w:ascii="宋体" w:hAnsi="宋体"/>
          <w:b/>
          <w:bCs/>
          <w:szCs w:val="21"/>
        </w:rPr>
        <w:t>3.3.2.1</w:t>
      </w:r>
      <w:r>
        <w:rPr>
          <w:rFonts w:ascii="宋体" w:hAnsi="宋体" w:hint="eastAsia"/>
          <w:b/>
          <w:bCs/>
          <w:szCs w:val="21"/>
        </w:rPr>
        <w:t>2</w:t>
      </w:r>
    </w:p>
    <w:p>
      <w:pPr>
        <w:spacing w:line="360" w:lineRule="auto"/>
        <w:rPr>
          <w:rFonts w:ascii="宋体" w:hAnsi="宋体"/>
          <w:szCs w:val="21"/>
        </w:rPr>
      </w:pPr>
      <w:r>
        <w:rPr>
          <w:rFonts w:ascii="宋体" w:hAnsi="宋体"/>
          <w:szCs w:val="21"/>
        </w:rPr>
        <w:t>（1）具备飞行模式控制和切换功能。</w:t>
      </w:r>
    </w:p>
    <w:p>
      <w:pPr>
        <w:spacing w:line="360" w:lineRule="auto"/>
        <w:rPr>
          <w:rFonts w:ascii="宋体" w:hAnsi="宋体"/>
          <w:szCs w:val="21"/>
        </w:rPr>
      </w:pPr>
      <w:r>
        <w:rPr>
          <w:rFonts w:ascii="宋体" w:hAnsi="宋体"/>
          <w:szCs w:val="21"/>
        </w:rPr>
        <w:t>（2）具备导航计算、导航方式控制与管理功能。</w:t>
      </w:r>
    </w:p>
    <w:p>
      <w:pPr>
        <w:spacing w:line="360" w:lineRule="auto"/>
        <w:rPr>
          <w:rFonts w:ascii="宋体" w:hAnsi="宋体"/>
          <w:szCs w:val="21"/>
        </w:rPr>
      </w:pPr>
      <w:r>
        <w:rPr>
          <w:rFonts w:ascii="宋体" w:hAnsi="宋体"/>
          <w:szCs w:val="21"/>
        </w:rPr>
        <w:t>（3）具备自主航线飞行、指令飞行控制模式，具备应急返航功能。</w:t>
      </w:r>
    </w:p>
    <w:p>
      <w:pPr>
        <w:spacing w:line="360" w:lineRule="auto"/>
        <w:rPr>
          <w:rFonts w:ascii="宋体" w:hAnsi="宋体"/>
          <w:szCs w:val="21"/>
        </w:rPr>
      </w:pPr>
      <w:r>
        <w:rPr>
          <w:rFonts w:ascii="宋体" w:hAnsi="宋体"/>
          <w:szCs w:val="21"/>
        </w:rPr>
        <w:t>（4）具备飞行极限状态限制功能，包括姿态异常保护、高度异常保护、超出航线安全围栏保护。</w:t>
      </w:r>
    </w:p>
    <w:p>
      <w:pPr>
        <w:spacing w:line="360" w:lineRule="auto"/>
        <w:rPr>
          <w:rFonts w:ascii="宋体" w:hAnsi="宋体"/>
          <w:szCs w:val="21"/>
        </w:rPr>
      </w:pPr>
      <w:r>
        <w:rPr>
          <w:rFonts w:ascii="宋体" w:hAnsi="宋体"/>
          <w:szCs w:val="21"/>
        </w:rPr>
        <w:t>（5）完成机载系统状态监测、控制与管理，具备一定的故障自动处置和自动决策能力。</w:t>
      </w:r>
    </w:p>
    <w:p>
      <w:pPr>
        <w:spacing w:line="360" w:lineRule="auto"/>
        <w:rPr>
          <w:rFonts w:ascii="宋体" w:hAnsi="宋体"/>
          <w:szCs w:val="21"/>
        </w:rPr>
      </w:pPr>
      <w:r>
        <w:rPr>
          <w:rFonts w:ascii="宋体" w:hAnsi="宋体"/>
          <w:szCs w:val="21"/>
        </w:rPr>
        <w:t>（6）卫星导航系统支持GPS、BDS双系统导航定位，支持载波相位差分RTK导航。</w:t>
      </w:r>
    </w:p>
    <w:p>
      <w:pPr>
        <w:spacing w:line="360" w:lineRule="auto"/>
        <w:rPr>
          <w:rFonts w:ascii="宋体" w:hAnsi="宋体"/>
          <w:szCs w:val="21"/>
        </w:rPr>
      </w:pPr>
      <w:r>
        <w:rPr>
          <w:rFonts w:ascii="宋体" w:hAnsi="宋体"/>
          <w:szCs w:val="21"/>
        </w:rPr>
        <w:t>（7）具备纯惯性、惯性/卫星组合导航能力。</w:t>
      </w:r>
    </w:p>
    <w:p>
      <w:pPr>
        <w:spacing w:line="360" w:lineRule="auto"/>
        <w:rPr>
          <w:rFonts w:ascii="宋体" w:hAnsi="宋体"/>
          <w:szCs w:val="21"/>
        </w:rPr>
      </w:pPr>
      <w:r>
        <w:rPr>
          <w:rFonts w:ascii="宋体" w:hAnsi="宋体"/>
          <w:szCs w:val="21"/>
        </w:rPr>
        <w:t>（8）配置毫米波雷达，为无人机提供无线电测高数据。</w:t>
      </w:r>
    </w:p>
    <w:p>
      <w:pPr>
        <w:spacing w:line="360" w:lineRule="auto"/>
        <w:rPr>
          <w:rFonts w:ascii="宋体" w:hAnsi="宋体"/>
          <w:szCs w:val="21"/>
        </w:rPr>
      </w:pPr>
      <w:r>
        <w:rPr>
          <w:rFonts w:ascii="宋体" w:hAnsi="宋体"/>
          <w:szCs w:val="21"/>
        </w:rPr>
        <w:t>（9）具备ADS-B IN/OUT功能，能够对本机位置、速度、航向等进行广播，能够接收周边空域的ADS-B广播信息。</w:t>
      </w:r>
    </w:p>
    <w:p>
      <w:pPr>
        <w:spacing w:line="360" w:lineRule="auto"/>
        <w:rPr>
          <w:rFonts w:ascii="宋体" w:hAnsi="宋体"/>
          <w:szCs w:val="21"/>
        </w:rPr>
      </w:pPr>
      <w:r>
        <w:rPr>
          <w:rFonts w:ascii="宋体" w:hAnsi="宋体"/>
          <w:szCs w:val="21"/>
        </w:rPr>
        <w:t>（10）具备任务载荷状态监控、控制功能。</w:t>
      </w:r>
    </w:p>
    <w:p>
      <w:pPr>
        <w:spacing w:line="360" w:lineRule="auto"/>
        <w:rPr>
          <w:rFonts w:ascii="宋体" w:hAnsi="宋体"/>
          <w:szCs w:val="21"/>
        </w:rPr>
      </w:pPr>
      <w:r>
        <w:rPr>
          <w:rFonts w:ascii="宋体" w:hAnsi="宋体"/>
          <w:b/>
          <w:bCs/>
          <w:szCs w:val="21"/>
        </w:rPr>
        <w:t>3.3.2.1</w:t>
      </w:r>
      <w:r>
        <w:rPr>
          <w:rFonts w:ascii="宋体" w:hAnsi="宋体" w:hint="eastAsia"/>
          <w:b/>
          <w:bCs/>
          <w:szCs w:val="21"/>
        </w:rPr>
        <w:t>3</w:t>
      </w:r>
      <w:r>
        <w:rPr>
          <w:rFonts w:ascii="宋体" w:hAnsi="宋体"/>
          <w:b/>
          <w:bCs/>
          <w:szCs w:val="21"/>
        </w:rPr>
        <w:t>巡航动力系统</w:t>
      </w:r>
    </w:p>
    <w:p>
      <w:pPr>
        <w:spacing w:line="360" w:lineRule="auto"/>
        <w:rPr>
          <w:rFonts w:ascii="宋体" w:hAnsi="宋体"/>
          <w:szCs w:val="21"/>
        </w:rPr>
      </w:pPr>
      <w:r>
        <w:rPr>
          <w:rFonts w:ascii="宋体" w:hAnsi="宋体"/>
          <w:szCs w:val="21"/>
        </w:rPr>
        <w:t>（1）应能保证在所有飞行包线内，发动机工作稳定可靠。</w:t>
      </w:r>
    </w:p>
    <w:p>
      <w:pPr>
        <w:spacing w:line="360" w:lineRule="auto"/>
        <w:rPr>
          <w:rFonts w:ascii="宋体" w:hAnsi="宋体"/>
          <w:szCs w:val="21"/>
        </w:rPr>
      </w:pPr>
      <w:r>
        <w:rPr>
          <w:rFonts w:ascii="宋体" w:hAnsi="宋体"/>
          <w:szCs w:val="21"/>
        </w:rPr>
        <w:t>（2）发动机安装应可达性良好，以进行必要的检查和维护。</w:t>
      </w:r>
    </w:p>
    <w:p>
      <w:pPr>
        <w:spacing w:line="360" w:lineRule="auto"/>
        <w:rPr>
          <w:rFonts w:ascii="宋体" w:hAnsi="宋体"/>
          <w:szCs w:val="21"/>
        </w:rPr>
      </w:pPr>
      <w:r>
        <w:rPr>
          <w:rFonts w:ascii="宋体" w:hAnsi="宋体"/>
          <w:szCs w:val="21"/>
        </w:rPr>
        <w:t>（3）发动机及其附件应尽量集成，以便整体拆装。</w:t>
      </w:r>
    </w:p>
    <w:p>
      <w:pPr>
        <w:spacing w:line="360" w:lineRule="auto"/>
        <w:rPr>
          <w:rFonts w:ascii="宋体" w:hAnsi="宋体"/>
          <w:szCs w:val="21"/>
        </w:rPr>
      </w:pPr>
      <w:r>
        <w:rPr>
          <w:rFonts w:ascii="宋体" w:hAnsi="宋体"/>
          <w:szCs w:val="21"/>
        </w:rPr>
        <w:t>（4）配套螺旋桨应具备电防冰功能。</w:t>
      </w:r>
    </w:p>
    <w:p>
      <w:pPr>
        <w:spacing w:line="360" w:lineRule="auto"/>
        <w:rPr>
          <w:rFonts w:ascii="宋体" w:hAnsi="宋体"/>
          <w:szCs w:val="21"/>
        </w:rPr>
      </w:pPr>
      <w:r>
        <w:rPr>
          <w:rFonts w:ascii="宋体" w:hAnsi="宋体"/>
          <w:b/>
          <w:bCs/>
          <w:szCs w:val="21"/>
        </w:rPr>
        <w:t>3.3.2.1</w:t>
      </w:r>
      <w:r>
        <w:rPr>
          <w:rFonts w:ascii="宋体" w:hAnsi="宋体" w:hint="eastAsia"/>
          <w:b/>
          <w:bCs/>
          <w:szCs w:val="21"/>
        </w:rPr>
        <w:t>4</w:t>
      </w:r>
      <w:r>
        <w:rPr>
          <w:rFonts w:ascii="宋体" w:hAnsi="宋体"/>
          <w:b/>
          <w:bCs/>
          <w:szCs w:val="21"/>
        </w:rPr>
        <w:t>垂起动力系统</w:t>
      </w:r>
    </w:p>
    <w:p>
      <w:pPr>
        <w:spacing w:line="360" w:lineRule="auto"/>
        <w:rPr>
          <w:rFonts w:ascii="宋体" w:hAnsi="宋体"/>
          <w:szCs w:val="21"/>
        </w:rPr>
      </w:pPr>
      <w:r>
        <w:rPr>
          <w:rFonts w:ascii="宋体" w:hAnsi="宋体"/>
          <w:szCs w:val="21"/>
        </w:rPr>
        <w:t>（1）与巡航动力相互独立，任意一动力系统失效应不危害另一动力系统正常工作。</w:t>
      </w:r>
    </w:p>
    <w:p>
      <w:pPr>
        <w:spacing w:line="360" w:lineRule="auto"/>
        <w:rPr>
          <w:rFonts w:ascii="宋体" w:hAnsi="宋体"/>
          <w:szCs w:val="21"/>
        </w:rPr>
      </w:pPr>
      <w:r>
        <w:rPr>
          <w:rFonts w:ascii="宋体" w:hAnsi="宋体"/>
          <w:szCs w:val="21"/>
        </w:rPr>
        <w:t>（2）垂起动力单个电机失效的情况下，系统能够安全着陆，具有一定的应急保护功能；</w:t>
      </w:r>
    </w:p>
    <w:p>
      <w:pPr>
        <w:spacing w:line="360" w:lineRule="auto"/>
        <w:rPr>
          <w:rFonts w:ascii="宋体" w:hAnsi="宋体"/>
          <w:szCs w:val="21"/>
        </w:rPr>
      </w:pPr>
      <w:r>
        <w:rPr>
          <w:rFonts w:ascii="宋体" w:hAnsi="宋体"/>
          <w:szCs w:val="21"/>
        </w:rPr>
        <w:t>（3）垂起动力电机控制器应具备刹车设置、过压、低压保护功能和可支持编程功能。</w:t>
      </w:r>
    </w:p>
    <w:p>
      <w:pPr>
        <w:spacing w:line="360" w:lineRule="auto"/>
        <w:rPr>
          <w:rFonts w:ascii="宋体" w:hAnsi="宋体"/>
          <w:szCs w:val="21"/>
        </w:rPr>
      </w:pPr>
      <w:r>
        <w:rPr>
          <w:rFonts w:ascii="宋体" w:hAnsi="宋体"/>
          <w:szCs w:val="21"/>
        </w:rPr>
        <w:t>（4）垂起动力电机、电机控制器应保证在小雨环境下正常工作。</w:t>
      </w:r>
    </w:p>
    <w:p>
      <w:pPr>
        <w:spacing w:line="360" w:lineRule="auto"/>
        <w:rPr>
          <w:rFonts w:ascii="宋体" w:hAnsi="宋体"/>
          <w:szCs w:val="21"/>
        </w:rPr>
      </w:pPr>
      <w:r>
        <w:rPr>
          <w:rFonts w:ascii="宋体" w:hAnsi="宋体"/>
          <w:szCs w:val="21"/>
        </w:rPr>
        <w:t>（5）动力电池最大连续放电倍率应满足垂起模式电机最大功率需求。</w:t>
      </w:r>
    </w:p>
    <w:p>
      <w:pPr>
        <w:spacing w:line="360" w:lineRule="auto"/>
        <w:rPr>
          <w:rFonts w:ascii="宋体" w:hAnsi="宋体"/>
          <w:szCs w:val="21"/>
        </w:rPr>
      </w:pPr>
      <w:r>
        <w:rPr>
          <w:rFonts w:ascii="宋体" w:hAnsi="宋体"/>
          <w:b/>
          <w:bCs/>
          <w:szCs w:val="21"/>
        </w:rPr>
        <w:t>3.3.2.1</w:t>
      </w:r>
      <w:r>
        <w:rPr>
          <w:rFonts w:ascii="宋体" w:hAnsi="宋体" w:hint="eastAsia"/>
          <w:b/>
          <w:bCs/>
          <w:szCs w:val="21"/>
        </w:rPr>
        <w:t>5</w:t>
      </w:r>
      <w:r>
        <w:rPr>
          <w:rFonts w:ascii="宋体" w:hAnsi="宋体"/>
          <w:b/>
          <w:bCs/>
          <w:szCs w:val="21"/>
        </w:rPr>
        <w:t>电气系统</w:t>
      </w:r>
    </w:p>
    <w:p>
      <w:pPr>
        <w:spacing w:line="360" w:lineRule="auto"/>
        <w:rPr>
          <w:rFonts w:ascii="宋体" w:hAnsi="宋体"/>
          <w:szCs w:val="21"/>
        </w:rPr>
      </w:pPr>
      <w:r>
        <w:rPr>
          <w:rFonts w:ascii="宋体" w:hAnsi="宋体"/>
          <w:szCs w:val="21"/>
        </w:rPr>
        <w:t>（1）在地面、空中为平台提供可靠电源。</w:t>
      </w:r>
    </w:p>
    <w:p>
      <w:pPr>
        <w:spacing w:line="360" w:lineRule="auto"/>
        <w:rPr>
          <w:rFonts w:ascii="宋体" w:hAnsi="宋体"/>
          <w:szCs w:val="21"/>
        </w:rPr>
      </w:pPr>
      <w:r>
        <w:rPr>
          <w:rFonts w:ascii="宋体" w:hAnsi="宋体"/>
          <w:szCs w:val="21"/>
        </w:rPr>
        <w:t>（2）配置应急电源，当主电源故障时，应急电源可向无人机安全飞行必需的关键设备进行应急供电。</w:t>
      </w:r>
    </w:p>
    <w:p>
      <w:pPr>
        <w:spacing w:line="360" w:lineRule="auto"/>
        <w:rPr>
          <w:rFonts w:ascii="宋体" w:hAnsi="宋体"/>
          <w:szCs w:val="21"/>
        </w:rPr>
      </w:pPr>
      <w:r>
        <w:rPr>
          <w:rFonts w:ascii="宋体" w:hAnsi="宋体"/>
          <w:szCs w:val="21"/>
        </w:rPr>
        <w:t>（3）实现电功率全机分配，供电故障时优先保证关键设备供电。</w:t>
      </w:r>
    </w:p>
    <w:p>
      <w:pPr>
        <w:spacing w:line="360" w:lineRule="auto"/>
        <w:rPr>
          <w:rFonts w:ascii="宋体" w:hAnsi="宋体"/>
          <w:szCs w:val="21"/>
        </w:rPr>
      </w:pPr>
      <w:r>
        <w:rPr>
          <w:rFonts w:ascii="宋体" w:hAnsi="宋体"/>
          <w:szCs w:val="21"/>
        </w:rPr>
        <w:t>（4）实现电气信号转换和传输。</w:t>
      </w:r>
    </w:p>
    <w:p>
      <w:pPr>
        <w:spacing w:line="360" w:lineRule="auto"/>
        <w:rPr>
          <w:rFonts w:ascii="宋体" w:hAnsi="宋体"/>
          <w:szCs w:val="21"/>
        </w:rPr>
      </w:pPr>
      <w:r>
        <w:rPr>
          <w:rFonts w:ascii="宋体" w:hAnsi="宋体"/>
          <w:szCs w:val="21"/>
        </w:rPr>
        <w:t>（5）提供电气系统实时状态监测数据接口，提供上位机。</w:t>
      </w:r>
    </w:p>
    <w:p>
      <w:pPr>
        <w:spacing w:line="360" w:lineRule="auto"/>
        <w:rPr>
          <w:rFonts w:ascii="宋体" w:hAnsi="宋体"/>
          <w:szCs w:val="21"/>
        </w:rPr>
      </w:pPr>
      <w:r>
        <w:rPr>
          <w:rFonts w:ascii="宋体" w:hAnsi="宋体"/>
          <w:b/>
          <w:bCs/>
          <w:szCs w:val="21"/>
        </w:rPr>
        <w:t>3.3.2.1</w:t>
      </w:r>
      <w:r>
        <w:rPr>
          <w:rFonts w:ascii="宋体" w:hAnsi="宋体" w:hint="eastAsia"/>
          <w:b/>
          <w:bCs/>
          <w:szCs w:val="21"/>
        </w:rPr>
        <w:t>6</w:t>
      </w:r>
      <w:r>
        <w:rPr>
          <w:rFonts w:ascii="宋体" w:hAnsi="宋体"/>
          <w:b/>
          <w:bCs/>
          <w:szCs w:val="21"/>
        </w:rPr>
        <w:t>燃油系统</w:t>
      </w:r>
    </w:p>
    <w:p>
      <w:pPr>
        <w:spacing w:line="360" w:lineRule="auto"/>
        <w:rPr>
          <w:rFonts w:ascii="宋体" w:hAnsi="宋体"/>
          <w:szCs w:val="21"/>
        </w:rPr>
      </w:pPr>
      <w:r>
        <w:rPr>
          <w:rFonts w:ascii="宋体" w:hAnsi="宋体"/>
          <w:szCs w:val="21"/>
        </w:rPr>
        <w:t>（1）储存飞行所需燃油。</w:t>
      </w:r>
    </w:p>
    <w:p>
      <w:pPr>
        <w:spacing w:line="360" w:lineRule="auto"/>
        <w:rPr>
          <w:rFonts w:ascii="宋体" w:hAnsi="宋体"/>
          <w:szCs w:val="21"/>
        </w:rPr>
      </w:pPr>
      <w:r>
        <w:rPr>
          <w:rFonts w:ascii="宋体" w:hAnsi="宋体"/>
          <w:szCs w:val="21"/>
        </w:rPr>
        <w:t>（2）具备低油量告警功能。</w:t>
      </w:r>
    </w:p>
    <w:p>
      <w:pPr>
        <w:spacing w:line="360" w:lineRule="auto"/>
        <w:rPr>
          <w:rFonts w:ascii="宋体" w:hAnsi="宋体"/>
          <w:szCs w:val="21"/>
        </w:rPr>
      </w:pPr>
      <w:r>
        <w:rPr>
          <w:rFonts w:ascii="宋体" w:hAnsi="宋体"/>
          <w:szCs w:val="21"/>
        </w:rPr>
        <w:t>（3）设置加油口，采用重量加油方式。</w:t>
      </w:r>
    </w:p>
    <w:p>
      <w:pPr>
        <w:spacing w:line="360" w:lineRule="auto"/>
        <w:rPr>
          <w:rFonts w:ascii="宋体" w:hAnsi="宋体"/>
          <w:szCs w:val="21"/>
        </w:rPr>
      </w:pPr>
      <w:r>
        <w:rPr>
          <w:rFonts w:ascii="宋体" w:hAnsi="宋体"/>
          <w:szCs w:val="21"/>
        </w:rPr>
        <w:t>（4）设置放油口，采用重量放油方式，用于地面排放燃油。</w:t>
      </w:r>
    </w:p>
    <w:p>
      <w:pPr>
        <w:spacing w:line="360" w:lineRule="auto"/>
        <w:rPr>
          <w:rFonts w:ascii="宋体" w:hAnsi="宋体"/>
          <w:szCs w:val="21"/>
        </w:rPr>
      </w:pPr>
      <w:r>
        <w:rPr>
          <w:rFonts w:ascii="宋体" w:hAnsi="宋体"/>
          <w:szCs w:val="21"/>
        </w:rPr>
        <w:t>（5）采用双燃油泵设计，能够保证供输油的安全可靠。</w:t>
      </w:r>
    </w:p>
    <w:p>
      <w:pPr>
        <w:spacing w:line="360" w:lineRule="auto"/>
        <w:rPr>
          <w:rFonts w:ascii="宋体" w:hAnsi="宋体"/>
          <w:szCs w:val="21"/>
        </w:rPr>
      </w:pPr>
      <w:r>
        <w:rPr>
          <w:rFonts w:ascii="宋体" w:hAnsi="宋体"/>
          <w:b/>
          <w:bCs/>
          <w:szCs w:val="21"/>
        </w:rPr>
        <w:t>3.3.2.1</w:t>
      </w:r>
      <w:r>
        <w:rPr>
          <w:rFonts w:ascii="宋体" w:hAnsi="宋体" w:hint="eastAsia"/>
          <w:b/>
          <w:bCs/>
          <w:szCs w:val="21"/>
        </w:rPr>
        <w:t>7</w:t>
      </w:r>
      <w:r>
        <w:rPr>
          <w:rFonts w:ascii="宋体" w:hAnsi="宋体"/>
          <w:b/>
          <w:bCs/>
          <w:szCs w:val="21"/>
        </w:rPr>
        <w:t>机载链路系统</w:t>
      </w:r>
    </w:p>
    <w:p>
      <w:pPr>
        <w:spacing w:line="360" w:lineRule="auto"/>
        <w:rPr>
          <w:rFonts w:ascii="宋体" w:hAnsi="宋体"/>
          <w:szCs w:val="21"/>
        </w:rPr>
      </w:pPr>
      <w:r>
        <w:rPr>
          <w:rFonts w:ascii="宋体" w:hAnsi="宋体"/>
          <w:szCs w:val="21"/>
        </w:rPr>
        <w:t>（1）实现无人机飞行控制指令、链路控制指令等遥控指令的实时传输。</w:t>
      </w:r>
    </w:p>
    <w:p>
      <w:pPr>
        <w:spacing w:line="360" w:lineRule="auto"/>
        <w:rPr>
          <w:rFonts w:ascii="宋体" w:hAnsi="宋体"/>
          <w:szCs w:val="21"/>
        </w:rPr>
      </w:pPr>
      <w:r>
        <w:rPr>
          <w:rFonts w:ascii="宋体" w:hAnsi="宋体"/>
          <w:szCs w:val="21"/>
        </w:rPr>
        <w:t>（2）实现无人机机载系统工作状态参数、飞行参数、任务载荷和链路工作状态等遥测信息的实时传输。</w:t>
      </w:r>
    </w:p>
    <w:p>
      <w:pPr>
        <w:spacing w:line="360" w:lineRule="auto"/>
        <w:rPr>
          <w:rFonts w:ascii="宋体" w:hAnsi="宋体"/>
          <w:szCs w:val="21"/>
        </w:rPr>
      </w:pPr>
      <w:r>
        <w:rPr>
          <w:rFonts w:ascii="宋体" w:hAnsi="宋体"/>
          <w:szCs w:val="21"/>
        </w:rPr>
        <w:t>（3）可实时传输无人机获取到的信息。</w:t>
      </w:r>
    </w:p>
    <w:p>
      <w:pPr>
        <w:spacing w:line="360" w:lineRule="auto"/>
        <w:rPr>
          <w:rFonts w:ascii="宋体" w:hAnsi="宋体"/>
          <w:szCs w:val="21"/>
        </w:rPr>
      </w:pPr>
      <w:r>
        <w:rPr>
          <w:rFonts w:ascii="宋体" w:hAnsi="宋体"/>
          <w:szCs w:val="21"/>
        </w:rPr>
        <w:t>（4）具备一定的抗干扰能力。</w:t>
      </w:r>
    </w:p>
    <w:p>
      <w:pPr>
        <w:spacing w:line="360" w:lineRule="auto"/>
        <w:rPr>
          <w:rFonts w:ascii="宋体" w:hAnsi="宋体"/>
          <w:szCs w:val="21"/>
        </w:rPr>
      </w:pPr>
      <w:r>
        <w:rPr>
          <w:rFonts w:ascii="宋体" w:hAnsi="宋体"/>
          <w:szCs w:val="21"/>
        </w:rPr>
        <w:t>（5）实现对无人机监视数据的获取、处理和传输。</w:t>
      </w:r>
    </w:p>
    <w:p>
      <w:pPr>
        <w:spacing w:line="360" w:lineRule="auto"/>
        <w:rPr>
          <w:rFonts w:ascii="宋体" w:hAnsi="宋体"/>
          <w:szCs w:val="21"/>
        </w:rPr>
      </w:pPr>
      <w:r>
        <w:rPr>
          <w:rFonts w:ascii="宋体" w:hAnsi="宋体"/>
          <w:b/>
          <w:bCs/>
          <w:szCs w:val="21"/>
        </w:rPr>
        <w:t>3.3.2.1</w:t>
      </w:r>
      <w:r>
        <w:rPr>
          <w:rFonts w:ascii="宋体" w:hAnsi="宋体" w:hint="eastAsia"/>
          <w:b/>
          <w:bCs/>
          <w:szCs w:val="21"/>
        </w:rPr>
        <w:t>8</w:t>
      </w:r>
      <w:r>
        <w:rPr>
          <w:rFonts w:ascii="宋体" w:hAnsi="宋体"/>
          <w:b/>
          <w:bCs/>
          <w:szCs w:val="21"/>
        </w:rPr>
        <w:t>防除冰系统</w:t>
      </w:r>
    </w:p>
    <w:p>
      <w:pPr>
        <w:spacing w:line="360" w:lineRule="auto"/>
        <w:rPr>
          <w:rFonts w:ascii="宋体" w:hAnsi="宋体"/>
          <w:szCs w:val="21"/>
        </w:rPr>
      </w:pPr>
      <w:r>
        <w:rPr>
          <w:rFonts w:ascii="宋体" w:hAnsi="宋体"/>
          <w:szCs w:val="21"/>
        </w:rPr>
        <w:t>（1）具备通过设置合理的加热区域和加热能力，在无人机关键部位具有前缘结冰防护功能。</w:t>
      </w:r>
    </w:p>
    <w:p>
      <w:pPr>
        <w:spacing w:line="360" w:lineRule="auto"/>
        <w:rPr>
          <w:rFonts w:ascii="宋体" w:hAnsi="宋体"/>
          <w:szCs w:val="21"/>
        </w:rPr>
      </w:pPr>
      <w:r>
        <w:rPr>
          <w:rFonts w:ascii="宋体" w:hAnsi="宋体"/>
          <w:szCs w:val="21"/>
        </w:rPr>
        <w:t>（2）具备防除冰系统的工作状态及故障警告信息发送到上位机的功能。</w:t>
      </w:r>
    </w:p>
    <w:p>
      <w:pPr>
        <w:spacing w:line="360" w:lineRule="auto"/>
        <w:rPr>
          <w:rFonts w:ascii="宋体" w:hAnsi="宋体"/>
          <w:szCs w:val="21"/>
        </w:rPr>
      </w:pPr>
      <w:r>
        <w:rPr>
          <w:rFonts w:ascii="宋体" w:hAnsi="宋体"/>
          <w:szCs w:val="21"/>
        </w:rPr>
        <w:t>（3）具备结冰探测和结冰告警功能。</w:t>
      </w:r>
    </w:p>
    <w:p>
      <w:pPr>
        <w:spacing w:line="360" w:lineRule="auto"/>
        <w:rPr>
          <w:rFonts w:ascii="宋体" w:hAnsi="宋体"/>
          <w:szCs w:val="21"/>
        </w:rPr>
      </w:pPr>
      <w:r>
        <w:rPr>
          <w:rFonts w:ascii="宋体" w:hAnsi="宋体"/>
          <w:szCs w:val="21"/>
        </w:rPr>
        <w:t>（4）实现接收上位机指令开启不同部位的电加热元件。</w:t>
      </w:r>
    </w:p>
    <w:p>
      <w:pPr>
        <w:spacing w:line="360" w:lineRule="auto"/>
        <w:rPr>
          <w:rFonts w:ascii="宋体" w:hAnsi="宋体"/>
          <w:szCs w:val="21"/>
        </w:rPr>
      </w:pPr>
      <w:r>
        <w:rPr>
          <w:rFonts w:ascii="宋体" w:hAnsi="宋体"/>
          <w:szCs w:val="21"/>
        </w:rPr>
        <w:t>（5）实现防除冰装置的配电状态监控与管理，并具备配电异常情况的保护功能，并将系统工作状态信息上传给上位机。</w:t>
      </w:r>
    </w:p>
    <w:p>
      <w:pPr>
        <w:spacing w:line="360" w:lineRule="auto"/>
        <w:rPr>
          <w:rFonts w:ascii="宋体" w:hAnsi="宋体"/>
          <w:szCs w:val="21"/>
        </w:rPr>
      </w:pPr>
      <w:r>
        <w:rPr>
          <w:rFonts w:ascii="宋体" w:hAnsi="宋体"/>
          <w:b/>
          <w:bCs/>
          <w:szCs w:val="21"/>
        </w:rPr>
        <w:t>3.3.2.1</w:t>
      </w:r>
      <w:r>
        <w:rPr>
          <w:rFonts w:ascii="宋体" w:hAnsi="宋体" w:hint="eastAsia"/>
          <w:b/>
          <w:bCs/>
          <w:szCs w:val="21"/>
        </w:rPr>
        <w:t>9</w:t>
      </w:r>
      <w:r>
        <w:rPr>
          <w:rFonts w:ascii="宋体" w:hAnsi="宋体"/>
          <w:b/>
          <w:bCs/>
          <w:szCs w:val="21"/>
        </w:rPr>
        <w:t>人影载荷</w:t>
      </w:r>
    </w:p>
    <w:p>
      <w:pPr>
        <w:spacing w:line="360" w:lineRule="auto"/>
        <w:rPr>
          <w:rFonts w:ascii="宋体" w:hAnsi="宋体"/>
          <w:szCs w:val="21"/>
        </w:rPr>
      </w:pPr>
      <w:r>
        <w:rPr>
          <w:rFonts w:ascii="宋体" w:hAnsi="宋体"/>
          <w:szCs w:val="21"/>
        </w:rPr>
        <w:t>（1）焰条播撒控制器接收上位机指令，对焰条点火，播撒催化剂，实时人工影响天气作业。</w:t>
      </w:r>
    </w:p>
    <w:p>
      <w:pPr>
        <w:spacing w:line="360" w:lineRule="auto"/>
        <w:rPr>
          <w:rFonts w:ascii="宋体" w:hAnsi="宋体"/>
          <w:szCs w:val="21"/>
        </w:rPr>
      </w:pPr>
      <w:r>
        <w:rPr>
          <w:rFonts w:ascii="宋体" w:hAnsi="宋体"/>
          <w:szCs w:val="21"/>
        </w:rPr>
        <w:t>（2）能够检测焰条状态，包括有/无、正常/故障。</w:t>
      </w:r>
    </w:p>
    <w:p>
      <w:pPr>
        <w:spacing w:line="360" w:lineRule="auto"/>
        <w:rPr>
          <w:rFonts w:ascii="宋体" w:hAnsi="宋体"/>
          <w:szCs w:val="21"/>
        </w:rPr>
      </w:pPr>
      <w:r>
        <w:rPr>
          <w:rFonts w:ascii="宋体" w:hAnsi="宋体"/>
          <w:szCs w:val="21"/>
        </w:rPr>
        <w:t>（3）配置焰条播撒器，一次装载量催化作业时间不小于4h。</w:t>
      </w:r>
    </w:p>
    <w:p>
      <w:pPr>
        <w:spacing w:line="360" w:lineRule="auto"/>
        <w:rPr>
          <w:rFonts w:ascii="宋体" w:hAnsi="宋体"/>
          <w:szCs w:val="21"/>
        </w:rPr>
      </w:pPr>
      <w:r>
        <w:rPr>
          <w:rFonts w:ascii="宋体" w:hAnsi="宋体"/>
          <w:szCs w:val="21"/>
        </w:rPr>
        <w:t>（4）具备向机载云水含量探测仪和云粒子谱探测仪数据通讯、供电的能力。</w:t>
      </w:r>
    </w:p>
    <w:p>
      <w:pPr>
        <w:spacing w:line="360" w:lineRule="auto"/>
        <w:rPr>
          <w:rFonts w:ascii="宋体" w:hAnsi="宋体"/>
          <w:szCs w:val="21"/>
        </w:rPr>
      </w:pPr>
      <w:r>
        <w:rPr>
          <w:rFonts w:ascii="宋体" w:hAnsi="宋体"/>
          <w:b/>
          <w:bCs/>
          <w:szCs w:val="21"/>
        </w:rPr>
        <w:t>3.3.2.</w:t>
      </w:r>
      <w:r>
        <w:rPr>
          <w:rFonts w:ascii="宋体" w:hAnsi="宋体" w:hint="eastAsia"/>
          <w:b/>
          <w:bCs/>
          <w:szCs w:val="21"/>
        </w:rPr>
        <w:t>2</w:t>
      </w:r>
      <w:r>
        <w:rPr>
          <w:rFonts w:ascii="宋体" w:hAnsi="宋体"/>
          <w:b/>
          <w:bCs/>
          <w:szCs w:val="21"/>
        </w:rPr>
        <w:t>0地面控制站</w:t>
      </w:r>
    </w:p>
    <w:p>
      <w:pPr>
        <w:spacing w:line="360" w:lineRule="auto"/>
        <w:rPr>
          <w:rFonts w:ascii="宋体" w:hAnsi="宋体"/>
          <w:szCs w:val="21"/>
        </w:rPr>
      </w:pPr>
      <w:r>
        <w:rPr>
          <w:rFonts w:ascii="宋体" w:hAnsi="宋体"/>
          <w:szCs w:val="21"/>
        </w:rPr>
        <w:t>（1）具备飞行前离线任务规划和飞行中在线任务规划的能力。</w:t>
      </w:r>
    </w:p>
    <w:p>
      <w:pPr>
        <w:spacing w:line="360" w:lineRule="auto"/>
        <w:rPr>
          <w:rFonts w:ascii="宋体" w:hAnsi="宋体"/>
          <w:szCs w:val="21"/>
        </w:rPr>
      </w:pPr>
      <w:r>
        <w:rPr>
          <w:rFonts w:ascii="宋体" w:hAnsi="宋体"/>
          <w:szCs w:val="21"/>
        </w:rPr>
        <w:t>（2）具备自主、指令等多种飞行控制能力。</w:t>
      </w:r>
    </w:p>
    <w:p>
      <w:pPr>
        <w:spacing w:line="360" w:lineRule="auto"/>
        <w:rPr>
          <w:rFonts w:ascii="宋体" w:hAnsi="宋体"/>
          <w:szCs w:val="21"/>
        </w:rPr>
      </w:pPr>
      <w:r>
        <w:rPr>
          <w:rFonts w:ascii="宋体" w:hAnsi="宋体"/>
          <w:szCs w:val="21"/>
        </w:rPr>
        <w:t>（3）能够实时监控无人机各系统的工作状态。</w:t>
      </w:r>
    </w:p>
    <w:p>
      <w:pPr>
        <w:spacing w:line="360" w:lineRule="auto"/>
        <w:rPr>
          <w:rFonts w:ascii="宋体" w:hAnsi="宋体"/>
          <w:szCs w:val="21"/>
        </w:rPr>
      </w:pPr>
      <w:r>
        <w:rPr>
          <w:rFonts w:ascii="宋体" w:hAnsi="宋体"/>
          <w:szCs w:val="21"/>
        </w:rPr>
        <w:t>（4）能够存储和管理无人机下传的遥测数据、视频和其它信息，并提供快速下载功能。</w:t>
      </w:r>
    </w:p>
    <w:p>
      <w:pPr>
        <w:spacing w:line="360" w:lineRule="auto"/>
        <w:rPr>
          <w:rFonts w:ascii="宋体" w:hAnsi="宋体"/>
          <w:szCs w:val="21"/>
        </w:rPr>
      </w:pPr>
      <w:r>
        <w:rPr>
          <w:rFonts w:ascii="宋体" w:hAnsi="宋体"/>
          <w:szCs w:val="21"/>
        </w:rPr>
        <w:t>（5）集成视距数据链地面终端，可加密传输。</w:t>
      </w:r>
    </w:p>
    <w:p>
      <w:pPr>
        <w:spacing w:line="360" w:lineRule="auto"/>
        <w:rPr>
          <w:rFonts w:ascii="宋体" w:hAnsi="宋体"/>
          <w:szCs w:val="21"/>
        </w:rPr>
      </w:pPr>
      <w:r>
        <w:rPr>
          <w:rFonts w:ascii="宋体" w:hAnsi="宋体"/>
          <w:szCs w:val="21"/>
        </w:rPr>
        <w:t>（6）具备数字地图显示功能，地图包含卫星地图、高程信息等。</w:t>
      </w:r>
    </w:p>
    <w:p>
      <w:pPr>
        <w:spacing w:line="360" w:lineRule="auto"/>
        <w:rPr>
          <w:rFonts w:ascii="宋体" w:hAnsi="宋体"/>
          <w:szCs w:val="21"/>
        </w:rPr>
      </w:pPr>
      <w:r>
        <w:rPr>
          <w:rFonts w:ascii="宋体" w:hAnsi="宋体"/>
          <w:szCs w:val="21"/>
        </w:rPr>
        <w:t>（7）与“天工”平台实时传输载荷图像。</w:t>
      </w:r>
    </w:p>
    <w:p>
      <w:pPr>
        <w:spacing w:line="360" w:lineRule="auto"/>
        <w:rPr>
          <w:rFonts w:ascii="宋体" w:hAnsi="宋体"/>
          <w:szCs w:val="21"/>
        </w:rPr>
      </w:pPr>
    </w:p>
    <w:p>
      <w:pPr>
        <w:spacing w:line="360" w:lineRule="auto"/>
        <w:outlineLvl w:val="2"/>
        <w:rPr>
          <w:rFonts w:ascii="宋体" w:hAnsi="宋体"/>
          <w:b/>
          <w:bCs/>
          <w:szCs w:val="21"/>
        </w:rPr>
      </w:pPr>
      <w:r>
        <w:rPr>
          <w:rFonts w:ascii="宋体" w:hAnsi="宋体" w:hint="eastAsia"/>
          <w:b/>
          <w:bCs/>
          <w:szCs w:val="21"/>
        </w:rPr>
        <w:t>3.4无人机探测设备（数量2套）</w:t>
      </w:r>
    </w:p>
    <w:p>
      <w:pPr>
        <w:spacing w:line="360" w:lineRule="auto"/>
        <w:rPr>
          <w:rFonts w:ascii="宋体" w:hAnsi="宋体"/>
          <w:b/>
          <w:bCs/>
          <w:szCs w:val="21"/>
        </w:rPr>
      </w:pPr>
      <w:r>
        <w:rPr>
          <w:rFonts w:ascii="宋体" w:hAnsi="宋体" w:hint="eastAsia"/>
          <w:b/>
          <w:bCs/>
          <w:szCs w:val="21"/>
        </w:rPr>
        <w:t>3.4.1云粒子谱探测仪</w:t>
      </w:r>
    </w:p>
    <w:p>
      <w:pPr>
        <w:spacing w:line="360" w:lineRule="auto"/>
        <w:rPr>
          <w:rFonts w:ascii="宋体" w:hAnsi="宋体"/>
          <w:szCs w:val="21"/>
        </w:rPr>
      </w:pPr>
      <w:r>
        <w:rPr>
          <w:rFonts w:ascii="宋体" w:hAnsi="宋体" w:hint="eastAsia"/>
          <w:szCs w:val="21"/>
        </w:rPr>
        <w:t>云粒子谱探测仪用于实时测量2~50um尺寸范围的云滴大小和滴谱分布，采用轻量化设计，能够直观地显示实时粒子尺寸的谱分布，并能统计得到各种信息参数，包括云滴粒子的平均直径、平均体直径、数浓度、体浓度以及含水量等。</w:t>
      </w:r>
    </w:p>
    <w:p>
      <w:pPr>
        <w:spacing w:line="360" w:lineRule="auto"/>
        <w:rPr>
          <w:rFonts w:ascii="宋体" w:hAnsi="宋体"/>
          <w:szCs w:val="21"/>
        </w:rPr>
      </w:pPr>
      <w:r>
        <w:rPr>
          <w:rFonts w:ascii="宋体" w:hAnsi="宋体" w:hint="eastAsia"/>
          <w:szCs w:val="21"/>
        </w:rPr>
        <w:t>(1)测量粒子范围:2~50mm;</w:t>
      </w:r>
    </w:p>
    <w:p>
      <w:pPr>
        <w:spacing w:line="360" w:lineRule="auto"/>
        <w:rPr>
          <w:rFonts w:ascii="宋体" w:hAnsi="宋体"/>
          <w:szCs w:val="21"/>
        </w:rPr>
      </w:pPr>
      <w:r>
        <w:rPr>
          <w:rFonts w:ascii="宋体" w:hAnsi="宋体" w:hint="eastAsia"/>
          <w:szCs w:val="21"/>
        </w:rPr>
        <w:t>(2)粒径分布:32等级粒子直径大小和数量分布:</w:t>
      </w:r>
    </w:p>
    <w:p>
      <w:pPr>
        <w:tabs>
          <w:tab w:val="left" w:pos="7560"/>
        </w:tabs>
        <w:spacing w:line="360" w:lineRule="auto"/>
        <w:rPr>
          <w:rFonts w:ascii="宋体" w:hAnsi="宋体"/>
          <w:szCs w:val="21"/>
        </w:rPr>
      </w:pPr>
      <w:r>
        <w:rPr>
          <w:rFonts w:ascii="宋体" w:hAnsi="宋体" w:hint="eastAsia"/>
          <w:szCs w:val="21"/>
        </w:rPr>
        <w:t>(3)采样速率:1~10Hz;</w:t>
      </w:r>
      <w:r>
        <w:rPr>
          <w:rFonts w:ascii="宋体" w:hAnsi="宋体" w:hint="eastAsia"/>
          <w:szCs w:val="21"/>
        </w:rPr>
        <w:tab/>
      </w:r>
    </w:p>
    <w:p>
      <w:pPr>
        <w:spacing w:line="360" w:lineRule="auto"/>
        <w:rPr>
          <w:rFonts w:ascii="宋体" w:hAnsi="宋体"/>
          <w:szCs w:val="21"/>
        </w:rPr>
      </w:pPr>
      <w:r>
        <w:rPr>
          <w:rFonts w:ascii="宋体" w:hAnsi="宋体" w:hint="eastAsia"/>
          <w:szCs w:val="21"/>
        </w:rPr>
        <w:t>(4)工作环境温度:-30~+40℃。</w:t>
      </w:r>
    </w:p>
    <w:p>
      <w:pPr>
        <w:spacing w:line="360" w:lineRule="auto"/>
        <w:rPr>
          <w:rFonts w:ascii="宋体" w:hAnsi="宋体"/>
          <w:szCs w:val="21"/>
        </w:rPr>
      </w:pPr>
      <w:r>
        <w:rPr>
          <w:rFonts w:ascii="宋体" w:hAnsi="宋体" w:hint="eastAsia"/>
          <w:szCs w:val="21"/>
        </w:rPr>
        <w:t>（</w:t>
      </w:r>
      <w:r>
        <w:rPr>
          <w:rFonts w:ascii="宋体" w:hAnsi="宋体"/>
          <w:szCs w:val="21"/>
        </w:rPr>
        <w:t>5)</w:t>
      </w:r>
      <w:r>
        <w:rPr>
          <w:rFonts w:ascii="宋体" w:hAnsi="宋体" w:hint="eastAsia"/>
          <w:szCs w:val="21"/>
        </w:rPr>
        <w:t>粒子谱参照气象要素探头增加高低温环境（-35～40℃)</w:t>
      </w:r>
      <w:r>
        <w:rPr>
          <w:rFonts w:hint="eastAsia"/>
        </w:rPr>
        <w:t xml:space="preserve"> </w:t>
      </w:r>
      <w:r>
        <w:rPr>
          <w:rFonts w:ascii="宋体" w:hAnsi="宋体"/>
          <w:szCs w:val="21"/>
        </w:rPr>
        <w:t>试验测试报告</w:t>
      </w:r>
    </w:p>
    <w:p>
      <w:pPr>
        <w:spacing w:line="360" w:lineRule="auto"/>
        <w:rPr>
          <w:rFonts w:ascii="宋体" w:hAnsi="宋体"/>
          <w:szCs w:val="21"/>
        </w:rPr>
      </w:pPr>
      <w:r>
        <w:rPr>
          <w:rFonts w:ascii="宋体" w:hAnsi="宋体" w:hint="eastAsia"/>
          <w:szCs w:val="21"/>
        </w:rPr>
        <w:t>（6）质保：</w:t>
      </w:r>
      <w:r>
        <w:rPr>
          <w:rFonts w:ascii="宋体" w:hAnsi="宋体"/>
          <w:szCs w:val="21"/>
        </w:rPr>
        <w:t>≥</w:t>
      </w:r>
      <w:r>
        <w:rPr>
          <w:rFonts w:ascii="宋体" w:hAnsi="宋体" w:hint="eastAsia"/>
          <w:szCs w:val="21"/>
        </w:rPr>
        <w:t>8年</w:t>
      </w:r>
    </w:p>
    <w:p>
      <w:pPr>
        <w:spacing w:line="360" w:lineRule="auto"/>
        <w:rPr>
          <w:rFonts w:ascii="宋体" w:hAnsi="宋体"/>
          <w:szCs w:val="21"/>
        </w:rPr>
      </w:pPr>
      <w:r>
        <w:rPr>
          <w:rFonts w:ascii="宋体" w:hAnsi="宋体" w:hint="eastAsia"/>
          <w:szCs w:val="21"/>
        </w:rPr>
        <w:t>▲提供具有CMA或CNAS资质的第三方检测机构出具的该设备的环境试验报告</w:t>
      </w:r>
    </w:p>
    <w:p>
      <w:pPr>
        <w:spacing w:line="360" w:lineRule="auto"/>
        <w:rPr>
          <w:rFonts w:ascii="宋体" w:hAnsi="宋体"/>
          <w:b/>
          <w:bCs/>
          <w:szCs w:val="21"/>
        </w:rPr>
      </w:pPr>
      <w:r>
        <w:rPr>
          <w:rFonts w:ascii="宋体" w:hAnsi="宋体" w:hint="eastAsia"/>
          <w:b/>
          <w:bCs/>
          <w:szCs w:val="21"/>
        </w:rPr>
        <w:t>3.4.2云水含量探测仪</w:t>
      </w:r>
    </w:p>
    <w:p>
      <w:pPr>
        <w:spacing w:line="360" w:lineRule="auto"/>
        <w:rPr>
          <w:rFonts w:ascii="宋体" w:hAnsi="宋体"/>
          <w:szCs w:val="21"/>
        </w:rPr>
      </w:pPr>
      <w:r>
        <w:rPr>
          <w:rFonts w:ascii="宋体" w:hAnsi="宋体" w:hint="eastAsia"/>
          <w:szCs w:val="21"/>
        </w:rPr>
        <w:t>云水含量探测仪用于测量云和雾中液态水和总水以及温度、湿度、气压等要素</w:t>
      </w:r>
    </w:p>
    <w:p>
      <w:pPr>
        <w:spacing w:line="360" w:lineRule="auto"/>
        <w:rPr>
          <w:rFonts w:ascii="宋体" w:hAnsi="宋体"/>
          <w:szCs w:val="21"/>
        </w:rPr>
      </w:pPr>
      <w:r>
        <w:rPr>
          <w:rFonts w:ascii="宋体" w:hAnsi="宋体" w:hint="eastAsia"/>
          <w:szCs w:val="21"/>
        </w:rPr>
        <w:t>(1)空速范围:10~180m/s;</w:t>
      </w:r>
    </w:p>
    <w:p>
      <w:pPr>
        <w:spacing w:line="360" w:lineRule="auto"/>
        <w:rPr>
          <w:rFonts w:ascii="宋体" w:hAnsi="宋体"/>
          <w:szCs w:val="21"/>
        </w:rPr>
      </w:pPr>
      <w:r>
        <w:rPr>
          <w:rFonts w:ascii="宋体" w:hAnsi="宋体" w:hint="eastAsia"/>
          <w:szCs w:val="21"/>
        </w:rPr>
        <w:t>(2)静压分辨率:0.01Pa;</w:t>
      </w:r>
    </w:p>
    <w:p>
      <w:pPr>
        <w:spacing w:line="360" w:lineRule="auto"/>
        <w:rPr>
          <w:rFonts w:ascii="宋体" w:hAnsi="宋体"/>
          <w:szCs w:val="21"/>
        </w:rPr>
      </w:pPr>
      <w:r>
        <w:rPr>
          <w:rFonts w:ascii="宋体" w:eastAsia="宋体" w:hAnsi="宋体" w:cs="宋体" w:hint="eastAsia"/>
          <w:szCs w:val="21"/>
        </w:rPr>
        <w:t>▲</w:t>
      </w:r>
      <w:r>
        <w:rPr>
          <w:rFonts w:ascii="宋体" w:hAnsi="宋体" w:hint="eastAsia"/>
          <w:szCs w:val="21"/>
        </w:rPr>
        <w:t>(3)温度精度:0.1℃;</w:t>
      </w:r>
      <w:r>
        <w:rPr>
          <w:rFonts w:hint="eastAsia"/>
        </w:rPr>
        <w:t xml:space="preserve"> </w:t>
      </w:r>
      <w:r>
        <w:rPr>
          <w:rFonts w:ascii="宋体" w:hAnsi="宋体" w:hint="eastAsia"/>
          <w:szCs w:val="21"/>
        </w:rPr>
        <w:t>满足技术指标要求，提供气象仪器计量检定所出具的校准证书</w:t>
      </w:r>
    </w:p>
    <w:p>
      <w:pPr>
        <w:spacing w:line="360" w:lineRule="auto"/>
        <w:rPr>
          <w:rFonts w:ascii="宋体" w:hAnsi="宋体"/>
          <w:szCs w:val="21"/>
        </w:rPr>
      </w:pPr>
      <w:r>
        <w:rPr>
          <w:rFonts w:ascii="宋体" w:hAnsi="宋体" w:hint="eastAsia"/>
          <w:szCs w:val="21"/>
        </w:rPr>
        <w:t>(4)温度范围:-50℃~+50℃;</w:t>
      </w:r>
    </w:p>
    <w:p>
      <w:pPr>
        <w:spacing w:line="360" w:lineRule="auto"/>
        <w:rPr>
          <w:rFonts w:ascii="宋体" w:hAnsi="宋体"/>
          <w:szCs w:val="21"/>
        </w:rPr>
      </w:pPr>
      <w:r>
        <w:rPr>
          <w:rFonts w:ascii="宋体" w:hAnsi="宋体" w:hint="eastAsia"/>
          <w:szCs w:val="21"/>
        </w:rPr>
        <w:t>(5)湿度范围:0~100%;</w:t>
      </w:r>
    </w:p>
    <w:p>
      <w:pPr>
        <w:spacing w:line="360" w:lineRule="auto"/>
        <w:rPr>
          <w:rFonts w:ascii="宋体" w:hAnsi="宋体"/>
          <w:szCs w:val="21"/>
        </w:rPr>
      </w:pPr>
      <w:r>
        <w:rPr>
          <w:rFonts w:ascii="宋体" w:eastAsia="宋体" w:hAnsi="宋体" w:cs="宋体" w:hint="eastAsia"/>
          <w:szCs w:val="21"/>
        </w:rPr>
        <w:t>▲</w:t>
      </w:r>
      <w:r>
        <w:rPr>
          <w:rFonts w:ascii="宋体" w:hAnsi="宋体" w:hint="eastAsia"/>
          <w:szCs w:val="21"/>
        </w:rPr>
        <w:t>6)湿度精度:3%;满足技术指标要求，提供气象仪器计量检定所出具的校准证书</w:t>
      </w:r>
    </w:p>
    <w:p>
      <w:pPr>
        <w:spacing w:line="360" w:lineRule="auto"/>
        <w:rPr>
          <w:rFonts w:ascii="宋体" w:hAnsi="宋体"/>
          <w:szCs w:val="21"/>
        </w:rPr>
      </w:pPr>
      <w:r>
        <w:rPr>
          <w:rFonts w:ascii="宋体" w:hAnsi="宋体" w:hint="eastAsia"/>
          <w:szCs w:val="21"/>
        </w:rPr>
        <w:t>(7)液水分辨率:0.003g/m</w:t>
      </w:r>
      <w:r>
        <w:rPr>
          <w:rFonts w:ascii="宋体" w:hAnsi="宋体" w:hint="eastAsia"/>
          <w:szCs w:val="21"/>
          <w:vertAlign w:val="superscript"/>
        </w:rPr>
        <w:t>3</w:t>
      </w:r>
      <w:r>
        <w:rPr>
          <w:rFonts w:ascii="宋体" w:hAnsi="宋体" w:hint="eastAsia"/>
          <w:szCs w:val="21"/>
        </w:rPr>
        <w:t>;</w:t>
      </w:r>
    </w:p>
    <w:p>
      <w:pPr>
        <w:spacing w:line="360" w:lineRule="auto"/>
        <w:rPr>
          <w:rFonts w:ascii="宋体" w:hAnsi="宋体"/>
          <w:szCs w:val="21"/>
        </w:rPr>
      </w:pPr>
      <w:r>
        <w:rPr>
          <w:rFonts w:ascii="宋体" w:hAnsi="宋体" w:hint="eastAsia"/>
          <w:szCs w:val="21"/>
        </w:rPr>
        <w:t>(8)液水测量范围:0.003~3g/m</w:t>
      </w:r>
      <w:r>
        <w:rPr>
          <w:rFonts w:ascii="宋体" w:hAnsi="宋体" w:hint="eastAsia"/>
          <w:szCs w:val="21"/>
          <w:vertAlign w:val="superscript"/>
        </w:rPr>
        <w:t>3</w:t>
      </w:r>
      <w:r>
        <w:rPr>
          <w:rFonts w:ascii="宋体" w:hAnsi="宋体" w:hint="eastAsia"/>
          <w:szCs w:val="21"/>
        </w:rPr>
        <w:t>;</w:t>
      </w:r>
    </w:p>
    <w:p>
      <w:pPr>
        <w:spacing w:line="360" w:lineRule="auto"/>
        <w:rPr>
          <w:rFonts w:ascii="宋体" w:hAnsi="宋体"/>
          <w:szCs w:val="21"/>
        </w:rPr>
      </w:pPr>
      <w:r>
        <w:rPr>
          <w:rFonts w:ascii="宋体" w:hAnsi="宋体" w:hint="eastAsia"/>
          <w:szCs w:val="21"/>
        </w:rPr>
        <w:t>(9)液水测量精度:±10%。</w:t>
      </w:r>
    </w:p>
    <w:p>
      <w:pPr>
        <w:spacing w:line="360" w:lineRule="auto"/>
        <w:rPr>
          <w:rFonts w:ascii="宋体" w:hAnsi="宋体"/>
          <w:szCs w:val="21"/>
        </w:rPr>
      </w:pPr>
      <w:r>
        <w:rPr>
          <w:rFonts w:ascii="宋体" w:hAnsi="宋体" w:hint="eastAsia"/>
          <w:szCs w:val="21"/>
        </w:rPr>
        <w:t>(10)环境适应性要求：</w:t>
      </w:r>
    </w:p>
    <w:p>
      <w:pPr>
        <w:spacing w:line="360" w:lineRule="auto"/>
        <w:rPr>
          <w:rFonts w:ascii="宋体" w:hAnsi="宋体"/>
          <w:szCs w:val="21"/>
        </w:rPr>
      </w:pPr>
      <w:r>
        <w:rPr>
          <w:rFonts w:ascii="宋体" w:hAnsi="宋体" w:hint="eastAsia"/>
          <w:szCs w:val="21"/>
        </w:rPr>
        <w:t>（11）质保：质保：</w:t>
      </w:r>
      <w:r>
        <w:rPr>
          <w:rFonts w:ascii="宋体" w:hAnsi="宋体"/>
          <w:szCs w:val="21"/>
        </w:rPr>
        <w:t>≥</w:t>
      </w:r>
      <w:r>
        <w:rPr>
          <w:rFonts w:ascii="宋体" w:hAnsi="宋体" w:hint="eastAsia"/>
          <w:szCs w:val="21"/>
        </w:rPr>
        <w:t>8年</w:t>
      </w:r>
    </w:p>
    <w:p>
      <w:pPr>
        <w:spacing w:line="360" w:lineRule="auto"/>
        <w:rPr>
          <w:rFonts w:ascii="宋体" w:hAnsi="宋体"/>
          <w:szCs w:val="21"/>
        </w:rPr>
      </w:pPr>
    </w:p>
    <w:p>
      <w:pPr>
        <w:spacing w:line="360" w:lineRule="auto"/>
        <w:ind w:firstLine="424" w:firstLineChars="202"/>
        <w:rPr>
          <w:rFonts w:ascii="宋体" w:hAnsi="宋体"/>
          <w:szCs w:val="21"/>
        </w:rPr>
      </w:pPr>
      <w:r>
        <w:rPr>
          <w:rFonts w:ascii="宋体" w:hAnsi="宋体"/>
          <w:szCs w:val="21"/>
        </w:rPr>
        <w:t>▲满足高温试验（试验温度+40℃) 、 低温试验（试验温度-35℃) 技术要求, 须提供产品经中国评定国家认可委员会 （CNAS）或中国计量认证（CMA）认可的 第三方检测机构出具的检测报告；</w:t>
      </w:r>
    </w:p>
    <w:p>
      <w:pPr>
        <w:spacing w:line="360" w:lineRule="auto"/>
        <w:ind w:firstLine="424" w:firstLineChars="202"/>
        <w:rPr>
          <w:rFonts w:ascii="宋体" w:hAnsi="宋体"/>
          <w:szCs w:val="21"/>
        </w:rPr>
      </w:pPr>
      <w:r>
        <w:rPr>
          <w:rFonts w:ascii="宋体" w:hAnsi="宋体"/>
          <w:szCs w:val="21"/>
        </w:rPr>
        <w:t>▲满足低气压试验（模拟7500 米海拔 高度气压 38kPa，持续 30min）技术要求, 须提供产品经中国评定国家认可委员会 （CNAS）或中国计量认证（CMA）认可的 第三方检测机构出具的检测报告；</w:t>
      </w:r>
    </w:p>
    <w:p>
      <w:pPr>
        <w:spacing w:line="360" w:lineRule="auto"/>
        <w:ind w:firstLine="424" w:firstLineChars="202"/>
        <w:rPr>
          <w:rFonts w:ascii="宋体" w:hAnsi="宋体"/>
          <w:szCs w:val="21"/>
        </w:rPr>
      </w:pPr>
      <w:r>
        <w:rPr>
          <w:rFonts w:ascii="宋体" w:hAnsi="宋体" w:hint="eastAsia"/>
          <w:szCs w:val="21"/>
        </w:rPr>
        <w:t>▲满足正弦稳态振动试验技术要求,  须提供产品经中国评定国家认可委员会 （CNAS）或中国计量认证（CMA）认可的 第三方检测机构出具的检测报告；</w:t>
      </w:r>
    </w:p>
    <w:p>
      <w:pPr>
        <w:spacing w:line="360" w:lineRule="auto"/>
        <w:ind w:firstLine="424" w:firstLineChars="202"/>
        <w:rPr>
          <w:rFonts w:ascii="宋体" w:hAnsi="宋体"/>
          <w:szCs w:val="21"/>
        </w:rPr>
      </w:pPr>
      <w:r>
        <w:rPr>
          <w:rFonts w:ascii="宋体" w:hAnsi="宋体" w:hint="eastAsia"/>
          <w:szCs w:val="21"/>
        </w:rPr>
        <w:t>▲满足非稳态振动试验技术要求,须 提供产品经中国评定国家认可委员会（CNAS）或中国计量认证（CMA）认可的 第三方检测机构出具的检测报告；</w:t>
      </w:r>
    </w:p>
    <w:p>
      <w:pPr>
        <w:spacing w:line="360" w:lineRule="auto"/>
        <w:rPr>
          <w:rFonts w:ascii="宋体" w:hAnsi="宋体"/>
          <w:szCs w:val="21"/>
        </w:rPr>
      </w:pPr>
    </w:p>
    <w:p>
      <w:pPr>
        <w:spacing w:line="360" w:lineRule="auto"/>
        <w:outlineLvl w:val="2"/>
        <w:rPr>
          <w:rFonts w:ascii="宋体" w:hAnsi="宋体"/>
          <w:b/>
          <w:bCs/>
          <w:szCs w:val="21"/>
        </w:rPr>
      </w:pPr>
      <w:r>
        <w:rPr>
          <w:rFonts w:ascii="宋体" w:hAnsi="宋体" w:hint="eastAsia"/>
          <w:b/>
          <w:bCs/>
          <w:szCs w:val="21"/>
        </w:rPr>
        <w:t>3.5无线安全锁定发控器（数量6套）</w:t>
      </w:r>
    </w:p>
    <w:p>
      <w:pPr>
        <w:spacing w:line="360" w:lineRule="auto"/>
        <w:rPr>
          <w:rFonts w:ascii="宋体" w:hAnsi="宋体"/>
          <w:szCs w:val="21"/>
        </w:rPr>
      </w:pPr>
      <w:r>
        <w:rPr>
          <w:rFonts w:ascii="宋体" w:hAnsi="宋体" w:hint="eastAsia"/>
          <w:szCs w:val="21"/>
        </w:rPr>
        <w:t>无线安全锁定发控器主要用于与移动式火箭发射装置进行数据通讯和指令下发，由显示屏、薄膜按键、指纹模块、控制模块、电源模块、18650电池、天线、FPC排线和数据充电口等组成。通过RF477 无线模块与点火控制器进行通信，获取控制箱采集到的作业数据，通过应急串口与点火控制器进行有线连接传输数据，通过液晶屏与按键实现人机交互。数据通信以及状态查看通过AT24C512 存储当前所有发射的作业数据，通过GPRS 模块与服务器端软件进行作业数据上报，具有资源丰富、低功耗、</w:t>
      </w:r>
    </w:p>
    <w:p>
      <w:pPr>
        <w:spacing w:line="360" w:lineRule="auto"/>
        <w:rPr>
          <w:rFonts w:ascii="宋体" w:hAnsi="宋体"/>
          <w:szCs w:val="21"/>
        </w:rPr>
      </w:pPr>
      <w:r>
        <w:rPr>
          <w:rFonts w:ascii="宋体" w:hAnsi="宋体" w:hint="eastAsia"/>
          <w:szCs w:val="21"/>
        </w:rPr>
        <w:t>性价比高、抗干扰能力强等优点。</w:t>
      </w:r>
    </w:p>
    <w:p>
      <w:pPr>
        <w:spacing w:line="360" w:lineRule="auto"/>
        <w:rPr>
          <w:rFonts w:ascii="宋体" w:hAnsi="宋体"/>
          <w:b/>
          <w:bCs/>
          <w:szCs w:val="21"/>
        </w:rPr>
      </w:pPr>
      <w:r>
        <w:rPr>
          <w:rFonts w:ascii="宋体" w:hAnsi="宋体" w:hint="eastAsia"/>
          <w:b/>
          <w:bCs/>
          <w:szCs w:val="21"/>
        </w:rPr>
        <w:t>无线安全锁定发控器技术参数</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
      <w:tblGrid>
        <w:gridCol w:w="1561"/>
        <w:gridCol w:w="1823"/>
        <w:gridCol w:w="4952"/>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blHeader/>
        </w:trPr>
        <w:tc>
          <w:tcPr>
            <w:tcW w:w="3681" w:type="dxa"/>
            <w:gridSpan w:val="2"/>
            <w:vAlign w:val="center"/>
          </w:tcPr>
          <w:p>
            <w:pPr>
              <w:spacing w:line="360" w:lineRule="auto"/>
              <w:rPr>
                <w:rFonts w:ascii="宋体" w:hAnsi="宋体"/>
                <w:szCs w:val="21"/>
              </w:rPr>
            </w:pPr>
            <w:r>
              <w:rPr>
                <w:rFonts w:ascii="宋体" w:hAnsi="宋体"/>
                <w:szCs w:val="21"/>
              </w:rPr>
              <w:t>项目</w:t>
            </w:r>
          </w:p>
        </w:tc>
        <w:tc>
          <w:tcPr>
            <w:tcW w:w="5381" w:type="dxa"/>
            <w:vAlign w:val="center"/>
          </w:tcPr>
          <w:p>
            <w:pPr>
              <w:spacing w:line="360" w:lineRule="auto"/>
              <w:rPr>
                <w:rFonts w:ascii="宋体" w:hAnsi="宋体"/>
                <w:szCs w:val="21"/>
              </w:rPr>
            </w:pPr>
            <w:r>
              <w:rPr>
                <w:rFonts w:ascii="宋体" w:hAnsi="宋体"/>
                <w:szCs w:val="21"/>
              </w:rPr>
              <w:t>性能指标</w:t>
            </w:r>
          </w:p>
        </w:tc>
      </w:tr>
      <w:tr>
        <w:tblPrEx>
          <w:tblW w:w="0" w:type="auto"/>
          <w:tblInd w:w="0" w:type="dxa"/>
          <w:tblCellMar>
            <w:top w:w="15" w:type="dxa"/>
            <w:left w:w="15" w:type="dxa"/>
            <w:bottom w:w="15" w:type="dxa"/>
            <w:right w:w="15" w:type="dxa"/>
          </w:tblCellMar>
        </w:tblPrEx>
        <w:tc>
          <w:tcPr>
            <w:tcW w:w="3681" w:type="dxa"/>
            <w:gridSpan w:val="2"/>
            <w:vAlign w:val="center"/>
          </w:tcPr>
          <w:p>
            <w:pPr>
              <w:spacing w:line="360" w:lineRule="auto"/>
              <w:rPr>
                <w:rFonts w:ascii="宋体" w:hAnsi="宋体"/>
                <w:szCs w:val="21"/>
              </w:rPr>
            </w:pPr>
            <w:r>
              <w:rPr>
                <w:rFonts w:ascii="宋体" w:hAnsi="宋体"/>
                <w:szCs w:val="21"/>
              </w:rPr>
              <w:t>通讯距离</w:t>
            </w:r>
          </w:p>
        </w:tc>
        <w:tc>
          <w:tcPr>
            <w:tcW w:w="5381" w:type="dxa"/>
            <w:vAlign w:val="center"/>
          </w:tcPr>
          <w:p>
            <w:pPr>
              <w:spacing w:line="360" w:lineRule="auto"/>
              <w:rPr>
                <w:rFonts w:ascii="宋体" w:hAnsi="宋体"/>
                <w:szCs w:val="21"/>
              </w:rPr>
            </w:pPr>
            <w:r>
              <w:rPr>
                <w:rFonts w:ascii="宋体" w:hAnsi="宋体"/>
                <w:szCs w:val="21"/>
              </w:rPr>
              <w:t>≥50 m</w:t>
            </w:r>
          </w:p>
        </w:tc>
      </w:tr>
      <w:tr>
        <w:tblPrEx>
          <w:tblW w:w="0" w:type="auto"/>
          <w:tblInd w:w="0" w:type="dxa"/>
          <w:tblCellMar>
            <w:top w:w="15" w:type="dxa"/>
            <w:left w:w="15" w:type="dxa"/>
            <w:bottom w:w="15" w:type="dxa"/>
            <w:right w:w="15" w:type="dxa"/>
          </w:tblCellMar>
        </w:tblPrEx>
        <w:tc>
          <w:tcPr>
            <w:tcW w:w="3681" w:type="dxa"/>
            <w:gridSpan w:val="2"/>
            <w:vAlign w:val="center"/>
          </w:tcPr>
          <w:p>
            <w:pPr>
              <w:spacing w:line="360" w:lineRule="auto"/>
              <w:rPr>
                <w:rFonts w:ascii="宋体" w:hAnsi="宋体"/>
                <w:szCs w:val="21"/>
              </w:rPr>
            </w:pPr>
            <w:r>
              <w:rPr>
                <w:rFonts w:ascii="宋体" w:hAnsi="宋体"/>
                <w:szCs w:val="21"/>
              </w:rPr>
              <w:t>供电方式</w:t>
            </w:r>
          </w:p>
        </w:tc>
        <w:tc>
          <w:tcPr>
            <w:tcW w:w="5381" w:type="dxa"/>
            <w:vAlign w:val="center"/>
          </w:tcPr>
          <w:p>
            <w:pPr>
              <w:spacing w:line="360" w:lineRule="auto"/>
              <w:rPr>
                <w:rFonts w:ascii="宋体" w:hAnsi="宋体"/>
                <w:szCs w:val="21"/>
              </w:rPr>
            </w:pPr>
            <w:r>
              <w:rPr>
                <w:rFonts w:ascii="宋体" w:hAnsi="宋体"/>
                <w:szCs w:val="21"/>
              </w:rPr>
              <w:t>内部电源：3.7V 5200mAh 锂电池</w:t>
            </w:r>
          </w:p>
        </w:tc>
      </w:tr>
      <w:tr>
        <w:tblPrEx>
          <w:tblW w:w="0" w:type="auto"/>
          <w:tblInd w:w="0" w:type="dxa"/>
          <w:tblCellMar>
            <w:top w:w="15" w:type="dxa"/>
            <w:left w:w="15" w:type="dxa"/>
            <w:bottom w:w="15" w:type="dxa"/>
            <w:right w:w="15" w:type="dxa"/>
          </w:tblCellMar>
        </w:tblPrEx>
        <w:tc>
          <w:tcPr>
            <w:tcW w:w="3681" w:type="dxa"/>
            <w:gridSpan w:val="2"/>
            <w:vAlign w:val="center"/>
          </w:tcPr>
          <w:p>
            <w:pPr>
              <w:spacing w:line="360" w:lineRule="auto"/>
              <w:rPr>
                <w:rFonts w:ascii="宋体" w:hAnsi="宋体"/>
                <w:szCs w:val="21"/>
              </w:rPr>
            </w:pPr>
            <w:r>
              <w:rPr>
                <w:rFonts w:ascii="宋体" w:hAnsi="宋体"/>
                <w:szCs w:val="21"/>
              </w:rPr>
              <w:t>连续工作时间</w:t>
            </w:r>
          </w:p>
        </w:tc>
        <w:tc>
          <w:tcPr>
            <w:tcW w:w="5381" w:type="dxa"/>
            <w:vAlign w:val="center"/>
          </w:tcPr>
          <w:p>
            <w:pPr>
              <w:spacing w:line="360" w:lineRule="auto"/>
              <w:rPr>
                <w:rFonts w:ascii="宋体" w:hAnsi="宋体"/>
                <w:szCs w:val="21"/>
              </w:rPr>
            </w:pPr>
            <w:r>
              <w:rPr>
                <w:rFonts w:ascii="宋体" w:hAnsi="宋体"/>
                <w:szCs w:val="21"/>
              </w:rPr>
              <w:t>≥ 8 h</w:t>
            </w:r>
          </w:p>
        </w:tc>
      </w:tr>
      <w:tr>
        <w:tblPrEx>
          <w:tblW w:w="0" w:type="auto"/>
          <w:tblInd w:w="0" w:type="dxa"/>
          <w:tblCellMar>
            <w:top w:w="15" w:type="dxa"/>
            <w:left w:w="15" w:type="dxa"/>
            <w:bottom w:w="15" w:type="dxa"/>
            <w:right w:w="15" w:type="dxa"/>
          </w:tblCellMar>
        </w:tblPrEx>
        <w:tc>
          <w:tcPr>
            <w:tcW w:w="1696" w:type="dxa"/>
            <w:vMerge w:val="restart"/>
            <w:vAlign w:val="center"/>
          </w:tcPr>
          <w:p>
            <w:pPr>
              <w:spacing w:line="360" w:lineRule="auto"/>
              <w:rPr>
                <w:rFonts w:ascii="宋体" w:hAnsi="宋体"/>
                <w:szCs w:val="21"/>
              </w:rPr>
            </w:pPr>
            <w:r>
              <w:rPr>
                <w:rFonts w:ascii="宋体" w:hAnsi="宋体"/>
                <w:szCs w:val="21"/>
              </w:rPr>
              <w:t>环境适应性</w:t>
            </w:r>
          </w:p>
        </w:tc>
        <w:tc>
          <w:tcPr>
            <w:tcW w:w="1985" w:type="dxa"/>
          </w:tcPr>
          <w:p>
            <w:pPr>
              <w:spacing w:line="360" w:lineRule="auto"/>
              <w:rPr>
                <w:rFonts w:ascii="宋体" w:hAnsi="宋体"/>
                <w:szCs w:val="21"/>
              </w:rPr>
            </w:pPr>
            <w:r>
              <w:rPr>
                <w:rFonts w:ascii="宋体" w:hAnsi="宋体"/>
                <w:szCs w:val="21"/>
              </w:rPr>
              <w:t>防水等级</w:t>
            </w:r>
          </w:p>
        </w:tc>
        <w:tc>
          <w:tcPr>
            <w:tcW w:w="5381" w:type="dxa"/>
            <w:vAlign w:val="center"/>
          </w:tcPr>
          <w:p>
            <w:pPr>
              <w:spacing w:line="360" w:lineRule="auto"/>
              <w:rPr>
                <w:rFonts w:ascii="宋体" w:hAnsi="宋体"/>
                <w:szCs w:val="21"/>
              </w:rPr>
            </w:pPr>
            <w:r>
              <w:rPr>
                <w:rFonts w:ascii="宋体" w:hAnsi="宋体"/>
                <w:szCs w:val="21"/>
              </w:rPr>
              <w:t>5 级</w:t>
            </w:r>
          </w:p>
        </w:tc>
      </w:tr>
      <w:tr>
        <w:tblPrEx>
          <w:tblW w:w="0" w:type="auto"/>
          <w:tblInd w:w="0" w:type="dxa"/>
          <w:tblCellMar>
            <w:top w:w="15" w:type="dxa"/>
            <w:left w:w="15" w:type="dxa"/>
            <w:bottom w:w="15" w:type="dxa"/>
            <w:right w:w="15" w:type="dxa"/>
          </w:tblCellMar>
        </w:tblPrEx>
        <w:tc>
          <w:tcPr>
            <w:tcW w:w="1696" w:type="dxa"/>
            <w:vMerge/>
            <w:vAlign w:val="center"/>
          </w:tcPr>
          <w:p>
            <w:pPr>
              <w:spacing w:line="360" w:lineRule="auto"/>
              <w:rPr>
                <w:rFonts w:ascii="宋体" w:hAnsi="宋体"/>
                <w:szCs w:val="21"/>
              </w:rPr>
            </w:pPr>
          </w:p>
        </w:tc>
        <w:tc>
          <w:tcPr>
            <w:tcW w:w="1985" w:type="dxa"/>
          </w:tcPr>
          <w:p>
            <w:pPr>
              <w:spacing w:line="360" w:lineRule="auto"/>
              <w:rPr>
                <w:rFonts w:ascii="宋体" w:hAnsi="宋体"/>
                <w:szCs w:val="21"/>
              </w:rPr>
            </w:pPr>
            <w:r>
              <w:rPr>
                <w:rFonts w:ascii="宋体" w:hAnsi="宋体"/>
                <w:szCs w:val="21"/>
              </w:rPr>
              <w:t>防尘等级</w:t>
            </w:r>
          </w:p>
        </w:tc>
        <w:tc>
          <w:tcPr>
            <w:tcW w:w="5381" w:type="dxa"/>
            <w:vAlign w:val="center"/>
          </w:tcPr>
          <w:p>
            <w:pPr>
              <w:spacing w:line="360" w:lineRule="auto"/>
              <w:rPr>
                <w:rFonts w:ascii="宋体" w:hAnsi="宋体"/>
                <w:szCs w:val="21"/>
              </w:rPr>
            </w:pPr>
            <w:r>
              <w:rPr>
                <w:rFonts w:ascii="宋体" w:hAnsi="宋体"/>
                <w:szCs w:val="21"/>
              </w:rPr>
              <w:t>6 级</w:t>
            </w:r>
          </w:p>
        </w:tc>
      </w:tr>
      <w:tr>
        <w:tblPrEx>
          <w:tblW w:w="0" w:type="auto"/>
          <w:tblInd w:w="0" w:type="dxa"/>
          <w:tblCellMar>
            <w:top w:w="15" w:type="dxa"/>
            <w:left w:w="15" w:type="dxa"/>
            <w:bottom w:w="15" w:type="dxa"/>
            <w:right w:w="15" w:type="dxa"/>
          </w:tblCellMar>
        </w:tblPrEx>
        <w:tc>
          <w:tcPr>
            <w:tcW w:w="1696" w:type="dxa"/>
            <w:vMerge/>
            <w:vAlign w:val="center"/>
          </w:tcPr>
          <w:p>
            <w:pPr>
              <w:spacing w:line="360" w:lineRule="auto"/>
              <w:rPr>
                <w:rFonts w:ascii="宋体" w:hAnsi="宋体"/>
                <w:szCs w:val="21"/>
              </w:rPr>
            </w:pPr>
          </w:p>
        </w:tc>
        <w:tc>
          <w:tcPr>
            <w:tcW w:w="1985" w:type="dxa"/>
          </w:tcPr>
          <w:p>
            <w:pPr>
              <w:spacing w:line="360" w:lineRule="auto"/>
              <w:rPr>
                <w:rFonts w:ascii="宋体" w:hAnsi="宋体"/>
                <w:szCs w:val="21"/>
              </w:rPr>
            </w:pPr>
            <w:r>
              <w:rPr>
                <w:rFonts w:ascii="宋体" w:hAnsi="宋体" w:hint="eastAsia"/>
                <w:szCs w:val="21"/>
              </w:rPr>
              <w:t>工作</w:t>
            </w:r>
            <w:r>
              <w:rPr>
                <w:rFonts w:ascii="宋体" w:hAnsi="宋体"/>
                <w:szCs w:val="21"/>
              </w:rPr>
              <w:t>环境温度</w:t>
            </w:r>
          </w:p>
        </w:tc>
        <w:tc>
          <w:tcPr>
            <w:tcW w:w="5381" w:type="dxa"/>
            <w:vAlign w:val="center"/>
          </w:tcPr>
          <w:p>
            <w:pPr>
              <w:spacing w:line="360" w:lineRule="auto"/>
              <w:rPr>
                <w:rFonts w:ascii="宋体" w:hAnsi="宋体"/>
                <w:szCs w:val="21"/>
              </w:rPr>
            </w:pPr>
            <w:r>
              <w:rPr>
                <w:rFonts w:ascii="宋体" w:hAnsi="宋体"/>
                <w:szCs w:val="21"/>
              </w:rPr>
              <w:t>-20℃～+50℃</w:t>
            </w:r>
          </w:p>
        </w:tc>
      </w:tr>
      <w:tr>
        <w:tblPrEx>
          <w:tblW w:w="0" w:type="auto"/>
          <w:tblInd w:w="0" w:type="dxa"/>
          <w:tblCellMar>
            <w:top w:w="15" w:type="dxa"/>
            <w:left w:w="15" w:type="dxa"/>
            <w:bottom w:w="15" w:type="dxa"/>
            <w:right w:w="15" w:type="dxa"/>
          </w:tblCellMar>
        </w:tblPrEx>
        <w:tc>
          <w:tcPr>
            <w:tcW w:w="1696" w:type="dxa"/>
            <w:vMerge/>
            <w:vAlign w:val="center"/>
          </w:tcPr>
          <w:p>
            <w:pPr>
              <w:spacing w:line="360" w:lineRule="auto"/>
              <w:rPr>
                <w:rFonts w:ascii="宋体" w:hAnsi="宋体"/>
                <w:szCs w:val="21"/>
              </w:rPr>
            </w:pPr>
          </w:p>
        </w:tc>
        <w:tc>
          <w:tcPr>
            <w:tcW w:w="1985" w:type="dxa"/>
          </w:tcPr>
          <w:p>
            <w:pPr>
              <w:spacing w:line="360" w:lineRule="auto"/>
              <w:rPr>
                <w:rFonts w:ascii="宋体" w:hAnsi="宋体"/>
                <w:szCs w:val="21"/>
              </w:rPr>
            </w:pPr>
            <w:r>
              <w:rPr>
                <w:rFonts w:ascii="宋体" w:hAnsi="宋体" w:hint="eastAsia"/>
                <w:szCs w:val="21"/>
              </w:rPr>
              <w:t>工作</w:t>
            </w:r>
            <w:r>
              <w:rPr>
                <w:rFonts w:ascii="宋体" w:hAnsi="宋体"/>
                <w:szCs w:val="21"/>
              </w:rPr>
              <w:t>环境</w:t>
            </w:r>
            <w:r>
              <w:rPr>
                <w:rFonts w:ascii="宋体" w:hAnsi="宋体" w:hint="eastAsia"/>
                <w:szCs w:val="21"/>
              </w:rPr>
              <w:t>湿</w:t>
            </w:r>
            <w:r>
              <w:rPr>
                <w:rFonts w:ascii="宋体" w:hAnsi="宋体"/>
                <w:szCs w:val="21"/>
              </w:rPr>
              <w:t>度</w:t>
            </w:r>
          </w:p>
        </w:tc>
        <w:tc>
          <w:tcPr>
            <w:tcW w:w="5381" w:type="dxa"/>
            <w:vAlign w:val="center"/>
          </w:tcPr>
          <w:p>
            <w:pPr>
              <w:spacing w:line="360" w:lineRule="auto"/>
              <w:rPr>
                <w:rFonts w:ascii="宋体" w:hAnsi="宋体"/>
                <w:szCs w:val="21"/>
              </w:rPr>
            </w:pPr>
            <w:r>
              <w:rPr>
                <w:rFonts w:ascii="宋体" w:hAnsi="宋体"/>
                <w:szCs w:val="21"/>
              </w:rPr>
              <w:t>10% RH～100% RH</w:t>
            </w:r>
          </w:p>
        </w:tc>
      </w:tr>
      <w:tr>
        <w:tblPrEx>
          <w:tblW w:w="0" w:type="auto"/>
          <w:tblInd w:w="0" w:type="dxa"/>
          <w:tblCellMar>
            <w:top w:w="15" w:type="dxa"/>
            <w:left w:w="15" w:type="dxa"/>
            <w:bottom w:w="15" w:type="dxa"/>
            <w:right w:w="15" w:type="dxa"/>
          </w:tblCellMar>
        </w:tblPrEx>
        <w:tc>
          <w:tcPr>
            <w:tcW w:w="3681" w:type="dxa"/>
            <w:gridSpan w:val="2"/>
            <w:vAlign w:val="center"/>
          </w:tcPr>
          <w:p>
            <w:pPr>
              <w:spacing w:line="360" w:lineRule="auto"/>
              <w:rPr>
                <w:rFonts w:ascii="宋体" w:hAnsi="宋体"/>
                <w:szCs w:val="21"/>
              </w:rPr>
            </w:pPr>
            <w:r>
              <w:rPr>
                <w:rFonts w:ascii="宋体" w:hAnsi="宋体"/>
                <w:szCs w:val="21"/>
              </w:rPr>
              <w:t>安全要求</w:t>
            </w:r>
          </w:p>
        </w:tc>
        <w:tc>
          <w:tcPr>
            <w:tcW w:w="5381" w:type="dxa"/>
            <w:vAlign w:val="center"/>
          </w:tcPr>
          <w:p>
            <w:pPr>
              <w:spacing w:line="360" w:lineRule="auto"/>
              <w:rPr>
                <w:rFonts w:ascii="宋体" w:hAnsi="宋体"/>
                <w:szCs w:val="21"/>
              </w:rPr>
            </w:pPr>
            <w:r>
              <w:rPr>
                <w:rFonts w:ascii="宋体" w:hAnsi="宋体"/>
                <w:szCs w:val="21"/>
              </w:rPr>
              <w:t>具备指纹识别或数字密码识别功能</w:t>
            </w:r>
          </w:p>
        </w:tc>
      </w:tr>
    </w:tbl>
    <w:p>
      <w:pPr>
        <w:spacing w:line="360" w:lineRule="auto"/>
        <w:rPr>
          <w:rFonts w:ascii="宋体" w:hAnsi="宋体"/>
          <w:szCs w:val="21"/>
        </w:rPr>
      </w:pPr>
    </w:p>
    <w:p>
      <w:pPr>
        <w:spacing w:line="360" w:lineRule="auto"/>
        <w:outlineLvl w:val="2"/>
        <w:rPr>
          <w:rFonts w:ascii="宋体" w:hAnsi="宋体"/>
          <w:b/>
          <w:bCs/>
          <w:szCs w:val="21"/>
        </w:rPr>
      </w:pPr>
      <w:r>
        <w:rPr>
          <w:rFonts w:ascii="宋体" w:hAnsi="宋体" w:hint="eastAsia"/>
          <w:b/>
          <w:bCs/>
          <w:szCs w:val="21"/>
        </w:rPr>
        <w:t>3.6液压转运平台（数量6套）</w:t>
      </w:r>
    </w:p>
    <w:p>
      <w:pPr>
        <w:spacing w:line="360" w:lineRule="auto"/>
        <w:rPr>
          <w:rFonts w:ascii="宋体" w:hAnsi="宋体"/>
          <w:szCs w:val="21"/>
        </w:rPr>
      </w:pPr>
      <w:r>
        <w:rPr>
          <w:rFonts w:ascii="宋体" w:hAnsi="宋体" w:hint="eastAsia"/>
          <w:szCs w:val="21"/>
        </w:rPr>
        <w:t>液压转运平台用于火箭发射装置的日常转运和装卸，应具有承载能力强，稳定性好，易于操作与维护和节能环保以及适应性强等优点。</w:t>
      </w:r>
    </w:p>
    <w:p>
      <w:pPr>
        <w:spacing w:line="360" w:lineRule="auto"/>
        <w:rPr>
          <w:rFonts w:ascii="宋体" w:hAnsi="宋体"/>
          <w:szCs w:val="21"/>
        </w:rPr>
      </w:pPr>
      <w:r>
        <w:rPr>
          <w:rFonts w:ascii="宋体" w:hAnsi="宋体"/>
          <w:szCs w:val="21"/>
        </w:rPr>
        <w:t xml:space="preserve">（1）平台尺寸不小于(L×A1×B)：1200mm×610mm×80mm； </w:t>
      </w:r>
    </w:p>
    <w:p>
      <w:pPr>
        <w:spacing w:line="360" w:lineRule="auto"/>
        <w:rPr>
          <w:rFonts w:ascii="宋体" w:hAnsi="宋体"/>
          <w:szCs w:val="21"/>
        </w:rPr>
      </w:pPr>
      <w:r>
        <w:rPr>
          <w:rFonts w:ascii="宋体" w:hAnsi="宋体"/>
          <w:szCs w:val="21"/>
        </w:rPr>
        <w:t xml:space="preserve">（2）外包装尺寸(mm)：1370×620×390； </w:t>
      </w:r>
    </w:p>
    <w:p>
      <w:pPr>
        <w:spacing w:line="360" w:lineRule="auto"/>
        <w:rPr>
          <w:rFonts w:ascii="宋体" w:hAnsi="宋体"/>
          <w:szCs w:val="21"/>
        </w:rPr>
      </w:pPr>
      <w:r>
        <w:rPr>
          <w:rFonts w:ascii="宋体" w:hAnsi="宋体"/>
          <w:szCs w:val="21"/>
        </w:rPr>
        <w:t>（3）高承载 PU 脚轮，2 个万向型脚轮，两个固定型脚轮， 万向脚轮带刹。</w:t>
      </w:r>
    </w:p>
    <w:p>
      <w:pPr>
        <w:spacing w:line="360" w:lineRule="auto"/>
        <w:rPr>
          <w:rFonts w:ascii="宋体" w:hAnsi="宋体"/>
          <w:b/>
          <w:bCs/>
          <w:szCs w:val="21"/>
        </w:rPr>
      </w:pPr>
      <w:r>
        <w:rPr>
          <w:rFonts w:ascii="宋体" w:hAnsi="宋体" w:hint="eastAsia"/>
          <w:b/>
          <w:bCs/>
          <w:szCs w:val="21"/>
        </w:rPr>
        <w:t>液压转运平台技术参数</w:t>
      </w:r>
    </w:p>
    <w:tbl>
      <w:tblPr>
        <w:tblStyle w:val="TableNormal"/>
        <w:tblW w:w="906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
      <w:tblGrid>
        <w:gridCol w:w="2405"/>
        <w:gridCol w:w="6662"/>
      </w:tblGrid>
      <w:tr>
        <w:tblPrEx>
          <w:tblW w:w="906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blHeader/>
        </w:trPr>
        <w:tc>
          <w:tcPr>
            <w:tcW w:w="2405" w:type="dxa"/>
            <w:vAlign w:val="center"/>
          </w:tcPr>
          <w:p>
            <w:pPr>
              <w:spacing w:line="360" w:lineRule="auto"/>
              <w:rPr>
                <w:rFonts w:ascii="宋体" w:hAnsi="宋体"/>
                <w:szCs w:val="21"/>
              </w:rPr>
            </w:pPr>
            <w:r>
              <w:rPr>
                <w:rFonts w:ascii="宋体" w:hAnsi="宋体"/>
                <w:szCs w:val="21"/>
              </w:rPr>
              <w:t>项目</w:t>
            </w:r>
          </w:p>
        </w:tc>
        <w:tc>
          <w:tcPr>
            <w:tcW w:w="6662" w:type="dxa"/>
            <w:vAlign w:val="center"/>
          </w:tcPr>
          <w:p>
            <w:pPr>
              <w:spacing w:line="360" w:lineRule="auto"/>
              <w:rPr>
                <w:rFonts w:ascii="宋体" w:hAnsi="宋体"/>
                <w:szCs w:val="21"/>
              </w:rPr>
            </w:pPr>
            <w:r>
              <w:rPr>
                <w:rFonts w:ascii="宋体" w:hAnsi="宋体"/>
                <w:szCs w:val="21"/>
              </w:rPr>
              <w:t>性能指标</w:t>
            </w:r>
          </w:p>
        </w:tc>
      </w:tr>
      <w:tr>
        <w:tblPrEx>
          <w:tblW w:w="9067" w:type="dxa"/>
          <w:tblInd w:w="0" w:type="dxa"/>
          <w:tblCellMar>
            <w:top w:w="15" w:type="dxa"/>
            <w:left w:w="15" w:type="dxa"/>
            <w:bottom w:w="15" w:type="dxa"/>
            <w:right w:w="15" w:type="dxa"/>
          </w:tblCellMar>
        </w:tblPrEx>
        <w:trPr>
          <w:tblHeader/>
        </w:trPr>
        <w:tc>
          <w:tcPr>
            <w:tcW w:w="2405" w:type="dxa"/>
            <w:vAlign w:val="center"/>
          </w:tcPr>
          <w:p>
            <w:pPr>
              <w:spacing w:line="360" w:lineRule="auto"/>
              <w:rPr>
                <w:rFonts w:ascii="宋体" w:hAnsi="宋体"/>
                <w:szCs w:val="21"/>
              </w:rPr>
            </w:pPr>
            <w:r>
              <w:rPr>
                <w:rFonts w:ascii="宋体" w:hAnsi="宋体"/>
                <w:szCs w:val="21"/>
              </w:rPr>
              <w:t>承载</w:t>
            </w:r>
            <w:r>
              <w:rPr>
                <w:rFonts w:ascii="宋体" w:hAnsi="宋体" w:hint="eastAsia"/>
                <w:szCs w:val="21"/>
              </w:rPr>
              <w:t>（kg）</w:t>
            </w:r>
          </w:p>
        </w:tc>
        <w:tc>
          <w:tcPr>
            <w:tcW w:w="6662" w:type="dxa"/>
            <w:vAlign w:val="center"/>
          </w:tcPr>
          <w:p>
            <w:pPr>
              <w:spacing w:line="360" w:lineRule="auto"/>
              <w:rPr>
                <w:rFonts w:ascii="宋体" w:hAnsi="宋体"/>
                <w:szCs w:val="21"/>
              </w:rPr>
            </w:pPr>
            <w:r>
              <w:rPr>
                <w:rFonts w:ascii="宋体" w:hAnsi="宋体"/>
                <w:szCs w:val="21"/>
              </w:rPr>
              <w:t xml:space="preserve">1000 </w:t>
            </w:r>
          </w:p>
        </w:tc>
      </w:tr>
      <w:tr>
        <w:tblPrEx>
          <w:tblW w:w="9067" w:type="dxa"/>
          <w:tblInd w:w="0" w:type="dxa"/>
          <w:tblCellMar>
            <w:top w:w="15" w:type="dxa"/>
            <w:left w:w="15" w:type="dxa"/>
            <w:bottom w:w="15" w:type="dxa"/>
            <w:right w:w="15" w:type="dxa"/>
          </w:tblCellMar>
        </w:tblPrEx>
        <w:trPr>
          <w:tblHeader/>
        </w:trPr>
        <w:tc>
          <w:tcPr>
            <w:tcW w:w="2405" w:type="dxa"/>
            <w:vAlign w:val="center"/>
          </w:tcPr>
          <w:p>
            <w:pPr>
              <w:spacing w:line="360" w:lineRule="auto"/>
              <w:rPr>
                <w:rFonts w:ascii="宋体" w:hAnsi="宋体"/>
                <w:szCs w:val="21"/>
              </w:rPr>
            </w:pPr>
            <w:r>
              <w:rPr>
                <w:rFonts w:ascii="宋体" w:hAnsi="宋体"/>
                <w:szCs w:val="21"/>
              </w:rPr>
              <w:t>最低高度 h</w:t>
            </w:r>
            <w:r>
              <w:rPr>
                <w:rFonts w:ascii="宋体" w:hAnsi="宋体" w:hint="eastAsia"/>
                <w:szCs w:val="21"/>
              </w:rPr>
              <w:t>（mm）</w:t>
            </w:r>
          </w:p>
        </w:tc>
        <w:tc>
          <w:tcPr>
            <w:tcW w:w="6662" w:type="dxa"/>
            <w:vAlign w:val="center"/>
          </w:tcPr>
          <w:p>
            <w:pPr>
              <w:spacing w:line="360" w:lineRule="auto"/>
              <w:rPr>
                <w:rFonts w:ascii="宋体" w:hAnsi="宋体"/>
                <w:szCs w:val="21"/>
              </w:rPr>
            </w:pPr>
            <w:r>
              <w:rPr>
                <w:rFonts w:ascii="宋体" w:hAnsi="宋体" w:hint="eastAsia"/>
                <w:szCs w:val="21"/>
              </w:rPr>
              <w:t>380</w:t>
            </w:r>
          </w:p>
        </w:tc>
      </w:tr>
      <w:tr>
        <w:tblPrEx>
          <w:tblW w:w="9067" w:type="dxa"/>
          <w:tblInd w:w="0" w:type="dxa"/>
          <w:tblCellMar>
            <w:top w:w="15" w:type="dxa"/>
            <w:left w:w="15" w:type="dxa"/>
            <w:bottom w:w="15" w:type="dxa"/>
            <w:right w:w="15" w:type="dxa"/>
          </w:tblCellMar>
        </w:tblPrEx>
        <w:trPr>
          <w:tblHeader/>
        </w:trPr>
        <w:tc>
          <w:tcPr>
            <w:tcW w:w="2405" w:type="dxa"/>
            <w:vAlign w:val="center"/>
          </w:tcPr>
          <w:p>
            <w:pPr>
              <w:spacing w:line="360" w:lineRule="auto"/>
              <w:rPr>
                <w:rFonts w:ascii="宋体" w:hAnsi="宋体"/>
                <w:szCs w:val="21"/>
              </w:rPr>
            </w:pPr>
            <w:r>
              <w:rPr>
                <w:rFonts w:ascii="宋体" w:hAnsi="宋体" w:hint="eastAsia"/>
                <w:szCs w:val="21"/>
              </w:rPr>
              <w:t>最高高度h（mm）</w:t>
            </w:r>
          </w:p>
        </w:tc>
        <w:tc>
          <w:tcPr>
            <w:tcW w:w="6662" w:type="dxa"/>
            <w:vAlign w:val="center"/>
          </w:tcPr>
          <w:p>
            <w:pPr>
              <w:spacing w:line="360" w:lineRule="auto"/>
              <w:rPr>
                <w:rFonts w:ascii="宋体" w:hAnsi="宋体"/>
                <w:szCs w:val="21"/>
              </w:rPr>
            </w:pPr>
            <w:r>
              <w:rPr>
                <w:rFonts w:ascii="宋体" w:hAnsi="宋体" w:hint="eastAsia"/>
                <w:szCs w:val="21"/>
              </w:rPr>
              <w:t>1000</w:t>
            </w:r>
          </w:p>
        </w:tc>
      </w:tr>
      <w:tr>
        <w:tblPrEx>
          <w:tblW w:w="9067" w:type="dxa"/>
          <w:tblInd w:w="0" w:type="dxa"/>
          <w:tblCellMar>
            <w:top w:w="15" w:type="dxa"/>
            <w:left w:w="15" w:type="dxa"/>
            <w:bottom w:w="15" w:type="dxa"/>
            <w:right w:w="15" w:type="dxa"/>
          </w:tblCellMar>
        </w:tblPrEx>
        <w:trPr>
          <w:tblHeader/>
        </w:trPr>
        <w:tc>
          <w:tcPr>
            <w:tcW w:w="2405" w:type="dxa"/>
            <w:vAlign w:val="center"/>
          </w:tcPr>
          <w:p>
            <w:pPr>
              <w:spacing w:line="360" w:lineRule="auto"/>
              <w:rPr>
                <w:rFonts w:ascii="宋体" w:hAnsi="宋体"/>
                <w:szCs w:val="21"/>
              </w:rPr>
            </w:pPr>
            <w:r>
              <w:rPr>
                <w:rFonts w:ascii="宋体" w:hAnsi="宋体"/>
                <w:szCs w:val="21"/>
              </w:rPr>
              <w:t>轮子直径 D</w:t>
            </w:r>
            <w:r>
              <w:rPr>
                <w:rFonts w:ascii="宋体" w:hAnsi="宋体" w:hint="eastAsia"/>
                <w:szCs w:val="21"/>
              </w:rPr>
              <w:t>（mm）</w:t>
            </w:r>
          </w:p>
        </w:tc>
        <w:tc>
          <w:tcPr>
            <w:tcW w:w="6662" w:type="dxa"/>
            <w:vAlign w:val="center"/>
          </w:tcPr>
          <w:p>
            <w:pPr>
              <w:spacing w:line="360" w:lineRule="auto"/>
              <w:rPr>
                <w:rFonts w:ascii="宋体" w:hAnsi="宋体"/>
                <w:szCs w:val="21"/>
              </w:rPr>
            </w:pPr>
            <w:r>
              <w:rPr>
                <w:rFonts w:ascii="宋体" w:hAnsi="宋体"/>
                <w:szCs w:val="21"/>
              </w:rPr>
              <w:t xml:space="preserve">150 </w:t>
            </w:r>
          </w:p>
        </w:tc>
      </w:tr>
      <w:tr>
        <w:tblPrEx>
          <w:tblW w:w="9067" w:type="dxa"/>
          <w:tblInd w:w="0" w:type="dxa"/>
          <w:tblCellMar>
            <w:top w:w="15" w:type="dxa"/>
            <w:left w:w="15" w:type="dxa"/>
            <w:bottom w:w="15" w:type="dxa"/>
            <w:right w:w="15" w:type="dxa"/>
          </w:tblCellMar>
        </w:tblPrEx>
        <w:trPr>
          <w:tblHeader/>
        </w:trPr>
        <w:tc>
          <w:tcPr>
            <w:tcW w:w="2405" w:type="dxa"/>
            <w:vAlign w:val="center"/>
          </w:tcPr>
          <w:p>
            <w:pPr>
              <w:spacing w:line="360" w:lineRule="auto"/>
              <w:rPr>
                <w:rFonts w:ascii="宋体" w:hAnsi="宋体"/>
                <w:szCs w:val="21"/>
              </w:rPr>
            </w:pPr>
            <w:r>
              <w:rPr>
                <w:rFonts w:ascii="宋体" w:hAnsi="宋体"/>
                <w:szCs w:val="21"/>
              </w:rPr>
              <w:t>把手高度 A</w:t>
            </w:r>
            <w:r>
              <w:rPr>
                <w:rFonts w:ascii="宋体" w:hAnsi="宋体" w:hint="eastAsia"/>
                <w:szCs w:val="21"/>
              </w:rPr>
              <w:t>（mm）</w:t>
            </w:r>
          </w:p>
        </w:tc>
        <w:tc>
          <w:tcPr>
            <w:tcW w:w="6662" w:type="dxa"/>
            <w:vAlign w:val="center"/>
          </w:tcPr>
          <w:p>
            <w:pPr>
              <w:spacing w:line="360" w:lineRule="auto"/>
              <w:rPr>
                <w:rFonts w:ascii="宋体" w:hAnsi="宋体"/>
                <w:szCs w:val="21"/>
              </w:rPr>
            </w:pPr>
            <w:r>
              <w:rPr>
                <w:rFonts w:ascii="宋体" w:hAnsi="宋体"/>
                <w:szCs w:val="21"/>
              </w:rPr>
              <w:t xml:space="preserve">960 </w:t>
            </w:r>
          </w:p>
        </w:tc>
      </w:tr>
      <w:tr>
        <w:tblPrEx>
          <w:tblW w:w="9067" w:type="dxa"/>
          <w:tblInd w:w="0" w:type="dxa"/>
          <w:tblCellMar>
            <w:top w:w="15" w:type="dxa"/>
            <w:left w:w="15" w:type="dxa"/>
            <w:bottom w:w="15" w:type="dxa"/>
            <w:right w:w="15" w:type="dxa"/>
          </w:tblCellMar>
        </w:tblPrEx>
        <w:trPr>
          <w:tblHeader/>
        </w:trPr>
        <w:tc>
          <w:tcPr>
            <w:tcW w:w="2405" w:type="dxa"/>
            <w:vAlign w:val="center"/>
          </w:tcPr>
          <w:p>
            <w:pPr>
              <w:spacing w:line="360" w:lineRule="auto"/>
              <w:rPr>
                <w:rFonts w:ascii="宋体" w:hAnsi="宋体"/>
                <w:szCs w:val="21"/>
              </w:rPr>
            </w:pPr>
            <w:r>
              <w:rPr>
                <w:rFonts w:ascii="宋体" w:hAnsi="宋体"/>
                <w:szCs w:val="21"/>
              </w:rPr>
              <w:t>重量</w:t>
            </w:r>
            <w:r>
              <w:rPr>
                <w:rFonts w:ascii="宋体" w:hAnsi="宋体" w:hint="eastAsia"/>
                <w:szCs w:val="21"/>
              </w:rPr>
              <w:t>（kg）</w:t>
            </w:r>
          </w:p>
        </w:tc>
        <w:tc>
          <w:tcPr>
            <w:tcW w:w="6662" w:type="dxa"/>
            <w:vAlign w:val="center"/>
          </w:tcPr>
          <w:p>
            <w:pPr>
              <w:spacing w:line="360" w:lineRule="auto"/>
              <w:rPr>
                <w:rFonts w:ascii="宋体" w:hAnsi="宋体"/>
                <w:szCs w:val="21"/>
              </w:rPr>
            </w:pPr>
            <w:r>
              <w:rPr>
                <w:rFonts w:ascii="宋体" w:hAnsi="宋体"/>
                <w:szCs w:val="21"/>
              </w:rPr>
              <w:t>165</w:t>
            </w:r>
          </w:p>
        </w:tc>
      </w:tr>
    </w:tbl>
    <w:p>
      <w:pPr>
        <w:spacing w:line="360" w:lineRule="auto"/>
        <w:rPr>
          <w:rFonts w:ascii="宋体" w:hAnsi="宋体"/>
          <w:szCs w:val="21"/>
        </w:rPr>
      </w:pPr>
    </w:p>
    <w:p>
      <w:pPr>
        <w:spacing w:line="360" w:lineRule="auto"/>
        <w:outlineLvl w:val="2"/>
        <w:rPr>
          <w:rFonts w:ascii="宋体" w:hAnsi="宋体"/>
          <w:b/>
          <w:bCs/>
          <w:szCs w:val="21"/>
        </w:rPr>
      </w:pPr>
      <w:r>
        <w:rPr>
          <w:rFonts w:ascii="宋体" w:hAnsi="宋体" w:hint="eastAsia"/>
          <w:b/>
          <w:bCs/>
          <w:szCs w:val="21"/>
        </w:rPr>
        <w:t>3.7弹药临时储运箱（数量6套）</w:t>
      </w:r>
    </w:p>
    <w:p>
      <w:pPr>
        <w:spacing w:line="360" w:lineRule="auto"/>
        <w:rPr>
          <w:rFonts w:ascii="宋体" w:hAnsi="宋体"/>
          <w:szCs w:val="21"/>
        </w:rPr>
      </w:pPr>
      <w:r>
        <w:rPr>
          <w:rFonts w:ascii="宋体" w:hAnsi="宋体" w:hint="eastAsia"/>
          <w:szCs w:val="21"/>
        </w:rPr>
        <w:t>弹药临时储运箱根据方舱的尺寸，实现便捷安装、可拆卸、方便收纳、操作简单可靠等功能，同时，在不影响方舱使用的情况下，实现携弹量最大化。内置导轨，方便弹药放入，能够满足44mm、56mm、66mm、82mm 等口径火箭弹的安全储运要求。</w:t>
      </w:r>
    </w:p>
    <w:p>
      <w:pPr>
        <w:spacing w:line="360" w:lineRule="auto"/>
        <w:outlineLvl w:val="2"/>
        <w:rPr>
          <w:rFonts w:ascii="宋体" w:hAnsi="宋体"/>
          <w:b/>
          <w:bCs/>
          <w:szCs w:val="21"/>
        </w:rPr>
      </w:pPr>
      <w:r>
        <w:rPr>
          <w:rFonts w:ascii="宋体" w:hAnsi="宋体" w:hint="eastAsia"/>
          <w:b/>
          <w:bCs/>
          <w:szCs w:val="21"/>
        </w:rPr>
        <w:t>3.8火箭作业安全监控终端（数量6套）</w:t>
      </w:r>
    </w:p>
    <w:p>
      <w:pPr>
        <w:spacing w:line="360" w:lineRule="auto"/>
        <w:rPr>
          <w:rFonts w:ascii="宋体" w:hAnsi="宋体"/>
          <w:szCs w:val="21"/>
        </w:rPr>
      </w:pPr>
      <w:r>
        <w:rPr>
          <w:rFonts w:ascii="宋体" w:hAnsi="宋体" w:hint="eastAsia"/>
          <w:szCs w:val="21"/>
        </w:rPr>
        <w:t>火箭作业安全监控终端采用天线主机一体化设计,集成北斗、RDSS、RNSS、4G多种通讯和定位模式，集成度高、功耗低，支持北斗三号短报文通信，配有专用的固定结构，能适应野外、沙漠等恶劣环境。实现自动采集、记录、存储、作业状态、接收作业指令、上报作业信息及补传作业信息以加密的方式通过网络实时与“天工”平台通讯及三码合一验证等功能。</w:t>
      </w:r>
    </w:p>
    <w:p>
      <w:pPr>
        <w:spacing w:line="360" w:lineRule="auto"/>
        <w:rPr>
          <w:rFonts w:ascii="宋体" w:hAnsi="宋体"/>
          <w:b/>
          <w:bCs/>
          <w:szCs w:val="21"/>
        </w:rPr>
      </w:pPr>
      <w:r>
        <w:rPr>
          <w:rFonts w:ascii="宋体" w:hAnsi="宋体" w:hint="eastAsia"/>
          <w:b/>
          <w:bCs/>
          <w:szCs w:val="21"/>
        </w:rPr>
        <w:t>火箭作业安全监控终端技术参数</w:t>
      </w:r>
    </w:p>
    <w:tbl>
      <w:tblPr>
        <w:tblStyle w:val="TableNormal"/>
        <w:tblW w:w="9075" w:type="dxa"/>
        <w:jc w:val="center"/>
        <w:tblCellMar>
          <w:top w:w="0" w:type="dxa"/>
          <w:left w:w="108" w:type="dxa"/>
          <w:bottom w:w="0" w:type="dxa"/>
          <w:right w:w="108" w:type="dxa"/>
        </w:tblCellMar>
      </w:tblPr>
      <w:tblGrid>
        <w:gridCol w:w="1980"/>
        <w:gridCol w:w="2603"/>
        <w:gridCol w:w="4492"/>
      </w:tblGrid>
      <w:tr>
        <w:tblPrEx>
          <w:tblW w:w="9075" w:type="dxa"/>
          <w:jc w:val="center"/>
          <w:tblCellMar>
            <w:top w:w="0" w:type="dxa"/>
            <w:left w:w="108" w:type="dxa"/>
            <w:bottom w:w="0" w:type="dxa"/>
            <w:right w:w="108" w:type="dxa"/>
          </w:tblCellMar>
        </w:tblPrEx>
        <w:trPr>
          <w:jc w:val="center"/>
        </w:trPr>
        <w:tc>
          <w:tcPr>
            <w:tcW w:w="4583"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项目</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参数</w:t>
            </w:r>
          </w:p>
        </w:tc>
      </w:tr>
      <w:tr>
        <w:tblPrEx>
          <w:tblW w:w="9075" w:type="dxa"/>
          <w:jc w:val="center"/>
          <w:tblCellMar>
            <w:top w:w="0" w:type="dxa"/>
            <w:left w:w="108" w:type="dxa"/>
            <w:bottom w:w="0" w:type="dxa"/>
            <w:right w:w="108" w:type="dxa"/>
          </w:tblCellMar>
        </w:tblPrEx>
        <w:trPr>
          <w:jc w:val="center"/>
        </w:trPr>
        <w:tc>
          <w:tcPr>
            <w:tcW w:w="1980" w:type="dxa"/>
            <w:vMerge w:val="restart"/>
            <w:tcBorders>
              <w:top w:val="single" w:sz="4" w:space="0" w:color="auto"/>
              <w:left w:val="single" w:sz="4" w:space="0" w:color="auto"/>
              <w:right w:val="single" w:sz="4" w:space="0" w:color="auto"/>
            </w:tcBorders>
            <w:vAlign w:val="center"/>
          </w:tcPr>
          <w:p>
            <w:pPr>
              <w:spacing w:line="360" w:lineRule="auto"/>
              <w:rPr>
                <w:rFonts w:ascii="宋体" w:hAnsi="宋体"/>
                <w:szCs w:val="21"/>
              </w:rPr>
            </w:pPr>
            <w:r>
              <w:rPr>
                <w:rFonts w:ascii="宋体" w:hAnsi="宋体"/>
                <w:szCs w:val="21"/>
              </w:rPr>
              <w:t>卫星通讯</w:t>
            </w:r>
          </w:p>
        </w:tc>
        <w:tc>
          <w:tcPr>
            <w:tcW w:w="2603"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接收灵敏度</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-130dBm（8Kbps）</w:t>
            </w:r>
          </w:p>
          <w:p>
            <w:pPr>
              <w:spacing w:line="360" w:lineRule="auto"/>
              <w:rPr>
                <w:rFonts w:ascii="宋体" w:hAnsi="宋体"/>
                <w:szCs w:val="21"/>
              </w:rPr>
            </w:pPr>
            <w:r>
              <w:rPr>
                <w:rFonts w:ascii="宋体" w:hAnsi="宋体" w:hint="eastAsia"/>
                <w:szCs w:val="21"/>
              </w:rPr>
              <w:t>-127.5dBm（16Kbps）</w:t>
            </w:r>
          </w:p>
          <w:p>
            <w:pPr>
              <w:spacing w:line="360" w:lineRule="auto"/>
              <w:rPr>
                <w:rFonts w:ascii="宋体" w:hAnsi="宋体"/>
                <w:szCs w:val="21"/>
              </w:rPr>
            </w:pPr>
            <w:r>
              <w:rPr>
                <w:rFonts w:ascii="宋体" w:hAnsi="宋体" w:hint="eastAsia"/>
                <w:szCs w:val="21"/>
              </w:rPr>
              <w:t>-123.8dBm（24Kbps）</w:t>
            </w:r>
          </w:p>
        </w:tc>
      </w:tr>
      <w:tr>
        <w:tblPrEx>
          <w:tblW w:w="9075" w:type="dxa"/>
          <w:jc w:val="center"/>
          <w:tblCellMar>
            <w:top w:w="0" w:type="dxa"/>
            <w:left w:w="108" w:type="dxa"/>
            <w:bottom w:w="0" w:type="dxa"/>
            <w:right w:w="108" w:type="dxa"/>
          </w:tblCellMar>
        </w:tblPrEx>
        <w:trPr>
          <w:jc w:val="center"/>
        </w:trPr>
        <w:tc>
          <w:tcPr>
            <w:tcW w:w="1980" w:type="dxa"/>
            <w:vMerge/>
            <w:tcBorders>
              <w:left w:val="single" w:sz="4" w:space="0" w:color="auto"/>
              <w:right w:val="single" w:sz="4" w:space="0" w:color="auto"/>
            </w:tcBorders>
            <w:vAlign w:val="center"/>
          </w:tcPr>
          <w:p>
            <w:pPr>
              <w:spacing w:line="360" w:lineRule="auto"/>
              <w:rPr>
                <w:rFonts w:ascii="宋体" w:hAnsi="宋体"/>
                <w:szCs w:val="21"/>
              </w:rPr>
            </w:pPr>
          </w:p>
        </w:tc>
        <w:tc>
          <w:tcPr>
            <w:tcW w:w="2603"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szCs w:val="21"/>
              </w:rPr>
              <w:t>发射功率</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37.0dBm±0.5dB</w:t>
            </w:r>
          </w:p>
        </w:tc>
      </w:tr>
      <w:tr>
        <w:tblPrEx>
          <w:tblW w:w="9075" w:type="dxa"/>
          <w:jc w:val="center"/>
          <w:tblCellMar>
            <w:top w:w="0" w:type="dxa"/>
            <w:left w:w="108" w:type="dxa"/>
            <w:bottom w:w="0" w:type="dxa"/>
            <w:right w:w="108" w:type="dxa"/>
          </w:tblCellMar>
        </w:tblPrEx>
        <w:trPr>
          <w:jc w:val="center"/>
        </w:trPr>
        <w:tc>
          <w:tcPr>
            <w:tcW w:w="1980" w:type="dxa"/>
            <w:vMerge/>
            <w:tcBorders>
              <w:left w:val="single" w:sz="4" w:space="0" w:color="auto"/>
              <w:right w:val="single" w:sz="4" w:space="0" w:color="auto"/>
            </w:tcBorders>
            <w:vAlign w:val="center"/>
          </w:tcPr>
          <w:p>
            <w:pPr>
              <w:spacing w:line="360" w:lineRule="auto"/>
              <w:rPr>
                <w:rFonts w:ascii="宋体" w:hAnsi="宋体"/>
                <w:szCs w:val="21"/>
              </w:rPr>
            </w:pPr>
          </w:p>
        </w:tc>
        <w:tc>
          <w:tcPr>
            <w:tcW w:w="2603"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szCs w:val="21"/>
              </w:rPr>
              <w:t>双向零值</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均值 1ms±10ns</w:t>
            </w:r>
          </w:p>
        </w:tc>
      </w:tr>
      <w:tr>
        <w:tblPrEx>
          <w:tblW w:w="9075" w:type="dxa"/>
          <w:jc w:val="center"/>
          <w:tblCellMar>
            <w:top w:w="0" w:type="dxa"/>
            <w:left w:w="108" w:type="dxa"/>
            <w:bottom w:w="0" w:type="dxa"/>
            <w:right w:w="108" w:type="dxa"/>
          </w:tblCellMar>
        </w:tblPrEx>
        <w:trPr>
          <w:jc w:val="center"/>
        </w:trPr>
        <w:tc>
          <w:tcPr>
            <w:tcW w:w="1980" w:type="dxa"/>
            <w:vMerge/>
            <w:tcBorders>
              <w:left w:val="single" w:sz="4" w:space="0" w:color="auto"/>
              <w:right w:val="single" w:sz="4" w:space="0" w:color="auto"/>
            </w:tcBorders>
            <w:vAlign w:val="center"/>
          </w:tcPr>
          <w:p>
            <w:pPr>
              <w:spacing w:line="360" w:lineRule="auto"/>
              <w:rPr>
                <w:rFonts w:ascii="宋体" w:hAnsi="宋体"/>
                <w:szCs w:val="21"/>
              </w:rPr>
            </w:pPr>
          </w:p>
        </w:tc>
        <w:tc>
          <w:tcPr>
            <w:tcW w:w="2603"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szCs w:val="21"/>
              </w:rPr>
              <w:t>双通道时差测量误差</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方差＜5ns</w:t>
            </w:r>
          </w:p>
        </w:tc>
      </w:tr>
      <w:tr>
        <w:tblPrEx>
          <w:tblW w:w="9075" w:type="dxa"/>
          <w:jc w:val="center"/>
          <w:tblCellMar>
            <w:top w:w="0" w:type="dxa"/>
            <w:left w:w="108" w:type="dxa"/>
            <w:bottom w:w="0" w:type="dxa"/>
            <w:right w:w="108" w:type="dxa"/>
          </w:tblCellMar>
        </w:tblPrEx>
        <w:trPr>
          <w:jc w:val="center"/>
        </w:trPr>
        <w:tc>
          <w:tcPr>
            <w:tcW w:w="1980" w:type="dxa"/>
            <w:vMerge/>
            <w:tcBorders>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603"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szCs w:val="21"/>
              </w:rPr>
              <w:t>发射频率准确度</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优于 5×10</w:t>
            </w:r>
            <w:r>
              <w:rPr>
                <w:rFonts w:ascii="宋体" w:hAnsi="宋体" w:hint="eastAsia"/>
                <w:szCs w:val="21"/>
                <w:vertAlign w:val="superscript"/>
              </w:rPr>
              <w:t>-7</w:t>
            </w:r>
          </w:p>
        </w:tc>
      </w:tr>
      <w:tr>
        <w:tblPrEx>
          <w:tblW w:w="9075" w:type="dxa"/>
          <w:jc w:val="center"/>
          <w:tblCellMar>
            <w:top w:w="0" w:type="dxa"/>
            <w:left w:w="108" w:type="dxa"/>
            <w:bottom w:w="0" w:type="dxa"/>
            <w:right w:w="108" w:type="dxa"/>
          </w:tblCellMar>
        </w:tblPrEx>
        <w:trPr>
          <w:jc w:val="center"/>
        </w:trPr>
        <w:tc>
          <w:tcPr>
            <w:tcW w:w="1980" w:type="dxa"/>
            <w:vMerge w:val="restart"/>
            <w:tcBorders>
              <w:top w:val="single" w:sz="4" w:space="0" w:color="auto"/>
              <w:left w:val="single" w:sz="4" w:space="0" w:color="auto"/>
              <w:right w:val="single" w:sz="4" w:space="0" w:color="auto"/>
            </w:tcBorders>
            <w:vAlign w:val="center"/>
          </w:tcPr>
          <w:p>
            <w:pPr>
              <w:spacing w:line="360" w:lineRule="auto"/>
              <w:rPr>
                <w:rFonts w:ascii="宋体" w:hAnsi="宋体"/>
                <w:szCs w:val="21"/>
              </w:rPr>
            </w:pPr>
            <w:r>
              <w:rPr>
                <w:rFonts w:ascii="宋体" w:hAnsi="宋体"/>
                <w:szCs w:val="21"/>
              </w:rPr>
              <w:t>定位</w:t>
            </w:r>
          </w:p>
        </w:tc>
        <w:tc>
          <w:tcPr>
            <w:tcW w:w="2603"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接收频率</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BDS B1I，B1C</w:t>
            </w:r>
          </w:p>
        </w:tc>
      </w:tr>
      <w:tr>
        <w:tblPrEx>
          <w:tblW w:w="9075" w:type="dxa"/>
          <w:jc w:val="center"/>
          <w:tblCellMar>
            <w:top w:w="0" w:type="dxa"/>
            <w:left w:w="108" w:type="dxa"/>
            <w:bottom w:w="0" w:type="dxa"/>
            <w:right w:w="108" w:type="dxa"/>
          </w:tblCellMar>
        </w:tblPrEx>
        <w:trPr>
          <w:jc w:val="center"/>
        </w:trPr>
        <w:tc>
          <w:tcPr>
            <w:tcW w:w="1980" w:type="dxa"/>
            <w:vMerge/>
            <w:tcBorders>
              <w:left w:val="single" w:sz="4" w:space="0" w:color="auto"/>
              <w:right w:val="single" w:sz="4" w:space="0" w:color="auto"/>
            </w:tcBorders>
            <w:vAlign w:val="center"/>
          </w:tcPr>
          <w:p>
            <w:pPr>
              <w:spacing w:line="360" w:lineRule="auto"/>
              <w:rPr>
                <w:rFonts w:ascii="宋体" w:hAnsi="宋体"/>
                <w:szCs w:val="21"/>
              </w:rPr>
            </w:pPr>
          </w:p>
        </w:tc>
        <w:tc>
          <w:tcPr>
            <w:tcW w:w="2603"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协议版本</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NMEA0183，兼容北斗</w:t>
            </w:r>
          </w:p>
        </w:tc>
      </w:tr>
      <w:tr>
        <w:tblPrEx>
          <w:tblW w:w="9075" w:type="dxa"/>
          <w:jc w:val="center"/>
          <w:tblCellMar>
            <w:top w:w="0" w:type="dxa"/>
            <w:left w:w="108" w:type="dxa"/>
            <w:bottom w:w="0" w:type="dxa"/>
            <w:right w:w="108" w:type="dxa"/>
          </w:tblCellMar>
        </w:tblPrEx>
        <w:trPr>
          <w:jc w:val="center"/>
        </w:trPr>
        <w:tc>
          <w:tcPr>
            <w:tcW w:w="1980" w:type="dxa"/>
            <w:vMerge/>
            <w:tcBorders>
              <w:left w:val="single" w:sz="4" w:space="0" w:color="auto"/>
              <w:right w:val="single" w:sz="4" w:space="0" w:color="auto"/>
            </w:tcBorders>
            <w:vAlign w:val="center"/>
          </w:tcPr>
          <w:p>
            <w:pPr>
              <w:spacing w:line="360" w:lineRule="auto"/>
              <w:rPr>
                <w:rFonts w:ascii="宋体" w:hAnsi="宋体"/>
                <w:szCs w:val="21"/>
              </w:rPr>
            </w:pPr>
          </w:p>
        </w:tc>
        <w:tc>
          <w:tcPr>
            <w:tcW w:w="2603"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通道数目</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32通道及以上</w:t>
            </w:r>
          </w:p>
        </w:tc>
      </w:tr>
      <w:tr>
        <w:tblPrEx>
          <w:tblW w:w="9075" w:type="dxa"/>
          <w:jc w:val="center"/>
          <w:tblCellMar>
            <w:top w:w="0" w:type="dxa"/>
            <w:left w:w="108" w:type="dxa"/>
            <w:bottom w:w="0" w:type="dxa"/>
            <w:right w:w="108" w:type="dxa"/>
          </w:tblCellMar>
        </w:tblPrEx>
        <w:trPr>
          <w:jc w:val="center"/>
        </w:trPr>
        <w:tc>
          <w:tcPr>
            <w:tcW w:w="1980" w:type="dxa"/>
            <w:vMerge/>
            <w:tcBorders>
              <w:left w:val="single" w:sz="4" w:space="0" w:color="auto"/>
              <w:right w:val="single" w:sz="4" w:space="0" w:color="auto"/>
            </w:tcBorders>
            <w:vAlign w:val="center"/>
          </w:tcPr>
          <w:p>
            <w:pPr>
              <w:spacing w:line="360" w:lineRule="auto"/>
              <w:rPr>
                <w:rFonts w:ascii="宋体" w:hAnsi="宋体"/>
                <w:szCs w:val="21"/>
              </w:rPr>
            </w:pPr>
          </w:p>
        </w:tc>
        <w:tc>
          <w:tcPr>
            <w:tcW w:w="2603"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冷启动时间</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≤40s</w:t>
            </w:r>
          </w:p>
        </w:tc>
      </w:tr>
      <w:tr>
        <w:tblPrEx>
          <w:tblW w:w="9075" w:type="dxa"/>
          <w:jc w:val="center"/>
          <w:tblCellMar>
            <w:top w:w="0" w:type="dxa"/>
            <w:left w:w="108" w:type="dxa"/>
            <w:bottom w:w="0" w:type="dxa"/>
            <w:right w:w="108" w:type="dxa"/>
          </w:tblCellMar>
        </w:tblPrEx>
        <w:trPr>
          <w:jc w:val="center"/>
        </w:trPr>
        <w:tc>
          <w:tcPr>
            <w:tcW w:w="1980" w:type="dxa"/>
            <w:vMerge/>
            <w:tcBorders>
              <w:left w:val="single" w:sz="4" w:space="0" w:color="auto"/>
              <w:right w:val="single" w:sz="4" w:space="0" w:color="auto"/>
            </w:tcBorders>
            <w:vAlign w:val="center"/>
          </w:tcPr>
          <w:p>
            <w:pPr>
              <w:spacing w:line="360" w:lineRule="auto"/>
              <w:rPr>
                <w:rFonts w:ascii="宋体" w:hAnsi="宋体"/>
                <w:szCs w:val="21"/>
              </w:rPr>
            </w:pPr>
          </w:p>
        </w:tc>
        <w:tc>
          <w:tcPr>
            <w:tcW w:w="2603"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热启动时间</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≤3s</w:t>
            </w:r>
          </w:p>
        </w:tc>
      </w:tr>
      <w:tr>
        <w:tblPrEx>
          <w:tblW w:w="9075" w:type="dxa"/>
          <w:jc w:val="center"/>
          <w:tblCellMar>
            <w:top w:w="0" w:type="dxa"/>
            <w:left w:w="108" w:type="dxa"/>
            <w:bottom w:w="0" w:type="dxa"/>
            <w:right w:w="108" w:type="dxa"/>
          </w:tblCellMar>
        </w:tblPrEx>
        <w:trPr>
          <w:jc w:val="center"/>
        </w:trPr>
        <w:tc>
          <w:tcPr>
            <w:tcW w:w="1980" w:type="dxa"/>
            <w:vMerge/>
            <w:tcBorders>
              <w:left w:val="single" w:sz="4" w:space="0" w:color="auto"/>
              <w:right w:val="single" w:sz="4" w:space="0" w:color="auto"/>
            </w:tcBorders>
            <w:vAlign w:val="center"/>
          </w:tcPr>
          <w:p>
            <w:pPr>
              <w:spacing w:line="360" w:lineRule="auto"/>
              <w:rPr>
                <w:rFonts w:ascii="宋体" w:hAnsi="宋体"/>
                <w:szCs w:val="21"/>
              </w:rPr>
            </w:pPr>
          </w:p>
        </w:tc>
        <w:tc>
          <w:tcPr>
            <w:tcW w:w="2603"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捕获灵敏度</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-148dBm</w:t>
            </w:r>
          </w:p>
        </w:tc>
      </w:tr>
      <w:tr>
        <w:tblPrEx>
          <w:tblW w:w="9075" w:type="dxa"/>
          <w:jc w:val="center"/>
          <w:tblCellMar>
            <w:top w:w="0" w:type="dxa"/>
            <w:left w:w="108" w:type="dxa"/>
            <w:bottom w:w="0" w:type="dxa"/>
            <w:right w:w="108" w:type="dxa"/>
          </w:tblCellMar>
        </w:tblPrEx>
        <w:trPr>
          <w:jc w:val="center"/>
        </w:trPr>
        <w:tc>
          <w:tcPr>
            <w:tcW w:w="1980" w:type="dxa"/>
            <w:vMerge/>
            <w:tcBorders>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603"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定位精度</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＜10m</w:t>
            </w:r>
          </w:p>
        </w:tc>
      </w:tr>
      <w:tr>
        <w:tblPrEx>
          <w:tblW w:w="9075" w:type="dxa"/>
          <w:jc w:val="center"/>
          <w:tblCellMar>
            <w:top w:w="0" w:type="dxa"/>
            <w:left w:w="108" w:type="dxa"/>
            <w:bottom w:w="0" w:type="dxa"/>
            <w:right w:w="108" w:type="dxa"/>
          </w:tblCellMar>
        </w:tblPrEx>
        <w:trPr>
          <w:jc w:val="center"/>
        </w:trPr>
        <w:tc>
          <w:tcPr>
            <w:tcW w:w="1980" w:type="dxa"/>
            <w:vMerge w:val="restart"/>
            <w:tcBorders>
              <w:top w:val="single" w:sz="4" w:space="0" w:color="auto"/>
              <w:left w:val="single" w:sz="4" w:space="0" w:color="auto"/>
              <w:right w:val="single" w:sz="4" w:space="0" w:color="auto"/>
            </w:tcBorders>
            <w:vAlign w:val="center"/>
          </w:tcPr>
          <w:p>
            <w:pPr>
              <w:spacing w:line="360" w:lineRule="auto"/>
              <w:rPr>
                <w:rFonts w:ascii="宋体" w:hAnsi="宋体"/>
                <w:szCs w:val="21"/>
              </w:rPr>
            </w:pPr>
            <w:r>
              <w:rPr>
                <w:rFonts w:ascii="宋体" w:hAnsi="宋体"/>
                <w:szCs w:val="21"/>
              </w:rPr>
              <w:t>加密</w:t>
            </w:r>
          </w:p>
        </w:tc>
        <w:tc>
          <w:tcPr>
            <w:tcW w:w="2603"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支持加密方式</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DES/TDES/AES/SHA1/SHA</w:t>
            </w:r>
          </w:p>
          <w:p>
            <w:pPr>
              <w:spacing w:line="360" w:lineRule="auto"/>
              <w:rPr>
                <w:rFonts w:ascii="宋体" w:hAnsi="宋体"/>
                <w:szCs w:val="21"/>
              </w:rPr>
            </w:pPr>
            <w:r>
              <w:rPr>
                <w:rFonts w:ascii="宋体" w:hAnsi="宋体" w:hint="eastAsia"/>
                <w:szCs w:val="21"/>
              </w:rPr>
              <w:t>256/RSA/</w:t>
            </w:r>
          </w:p>
          <w:p>
            <w:pPr>
              <w:spacing w:line="360" w:lineRule="auto"/>
              <w:rPr>
                <w:rFonts w:ascii="宋体" w:hAnsi="宋体"/>
                <w:szCs w:val="21"/>
              </w:rPr>
            </w:pPr>
            <w:r>
              <w:rPr>
                <w:rFonts w:ascii="宋体" w:hAnsi="宋体" w:hint="eastAsia"/>
                <w:szCs w:val="21"/>
              </w:rPr>
              <w:t>国密 SM1/2/3/4/7</w:t>
            </w:r>
          </w:p>
        </w:tc>
      </w:tr>
      <w:tr>
        <w:tblPrEx>
          <w:tblW w:w="9075" w:type="dxa"/>
          <w:jc w:val="center"/>
          <w:tblCellMar>
            <w:top w:w="0" w:type="dxa"/>
            <w:left w:w="108" w:type="dxa"/>
            <w:bottom w:w="0" w:type="dxa"/>
            <w:right w:w="108" w:type="dxa"/>
          </w:tblCellMar>
        </w:tblPrEx>
        <w:trPr>
          <w:jc w:val="center"/>
        </w:trPr>
        <w:tc>
          <w:tcPr>
            <w:tcW w:w="1980" w:type="dxa"/>
            <w:vMerge/>
            <w:tcBorders>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603"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算法移植</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支持，具备算法下载更新</w:t>
            </w:r>
          </w:p>
        </w:tc>
      </w:tr>
      <w:tr>
        <w:tblPrEx>
          <w:tblW w:w="9075" w:type="dxa"/>
          <w:jc w:val="center"/>
          <w:tblCellMar>
            <w:top w:w="0" w:type="dxa"/>
            <w:left w:w="108" w:type="dxa"/>
            <w:bottom w:w="0" w:type="dxa"/>
            <w:right w:w="108" w:type="dxa"/>
          </w:tblCellMar>
        </w:tblPrEx>
        <w:trPr>
          <w:jc w:val="center"/>
        </w:trPr>
        <w:tc>
          <w:tcPr>
            <w:tcW w:w="1980"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szCs w:val="21"/>
              </w:rPr>
              <w:t>4G</w:t>
            </w:r>
          </w:p>
        </w:tc>
        <w:tc>
          <w:tcPr>
            <w:tcW w:w="2603"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网络制式</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LTE FDD: B1/B3/B5/B8 LTE</w:t>
            </w:r>
          </w:p>
          <w:p>
            <w:pPr>
              <w:spacing w:line="360" w:lineRule="auto"/>
              <w:rPr>
                <w:rFonts w:ascii="宋体" w:hAnsi="宋体"/>
                <w:szCs w:val="21"/>
              </w:rPr>
            </w:pPr>
            <w:r>
              <w:rPr>
                <w:rFonts w:ascii="宋体" w:hAnsi="宋体" w:hint="eastAsia"/>
                <w:szCs w:val="21"/>
              </w:rPr>
              <w:t>TDD: 34/B38/B39/B40/B41</w:t>
            </w:r>
          </w:p>
        </w:tc>
      </w:tr>
      <w:tr>
        <w:tblPrEx>
          <w:tblW w:w="9075" w:type="dxa"/>
          <w:jc w:val="center"/>
          <w:tblCellMar>
            <w:top w:w="0" w:type="dxa"/>
            <w:left w:w="108" w:type="dxa"/>
            <w:bottom w:w="0" w:type="dxa"/>
            <w:right w:w="108" w:type="dxa"/>
          </w:tblCellMar>
        </w:tblPrEx>
        <w:trPr>
          <w:jc w:val="center"/>
        </w:trPr>
        <w:tc>
          <w:tcPr>
            <w:tcW w:w="1980"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szCs w:val="21"/>
              </w:rPr>
              <w:t>WIFI</w:t>
            </w:r>
          </w:p>
        </w:tc>
        <w:tc>
          <w:tcPr>
            <w:tcW w:w="2603"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网络制式</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802.11 b/g/n</w:t>
            </w:r>
          </w:p>
        </w:tc>
      </w:tr>
      <w:tr>
        <w:tblPrEx>
          <w:tblW w:w="9075" w:type="dxa"/>
          <w:jc w:val="center"/>
          <w:tblCellMar>
            <w:top w:w="0" w:type="dxa"/>
            <w:left w:w="108" w:type="dxa"/>
            <w:bottom w:w="0" w:type="dxa"/>
            <w:right w:w="108" w:type="dxa"/>
          </w:tblCellMar>
        </w:tblPrEx>
        <w:trPr>
          <w:jc w:val="center"/>
        </w:trPr>
        <w:tc>
          <w:tcPr>
            <w:tcW w:w="1980"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szCs w:val="21"/>
              </w:rPr>
              <w:t>有线</w:t>
            </w:r>
          </w:p>
        </w:tc>
        <w:tc>
          <w:tcPr>
            <w:tcW w:w="2603"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RS485</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默认参数：115200 8N1</w:t>
            </w:r>
          </w:p>
        </w:tc>
      </w:tr>
      <w:tr>
        <w:tblPrEx>
          <w:tblW w:w="9075" w:type="dxa"/>
          <w:jc w:val="center"/>
          <w:tblCellMar>
            <w:top w:w="0" w:type="dxa"/>
            <w:left w:w="108" w:type="dxa"/>
            <w:bottom w:w="0" w:type="dxa"/>
            <w:right w:w="108" w:type="dxa"/>
          </w:tblCellMar>
        </w:tblPrEx>
        <w:trPr>
          <w:jc w:val="center"/>
        </w:trPr>
        <w:tc>
          <w:tcPr>
            <w:tcW w:w="1980" w:type="dxa"/>
            <w:vMerge w:val="restart"/>
            <w:tcBorders>
              <w:top w:val="single" w:sz="4" w:space="0" w:color="auto"/>
              <w:left w:val="single" w:sz="4" w:space="0" w:color="auto"/>
              <w:right w:val="single" w:sz="4" w:space="0" w:color="auto"/>
            </w:tcBorders>
            <w:vAlign w:val="center"/>
          </w:tcPr>
          <w:p>
            <w:pPr>
              <w:spacing w:line="360" w:lineRule="auto"/>
              <w:rPr>
                <w:rFonts w:ascii="宋体" w:hAnsi="宋体"/>
                <w:szCs w:val="21"/>
              </w:rPr>
            </w:pPr>
            <w:r>
              <w:rPr>
                <w:rFonts w:ascii="宋体" w:hAnsi="宋体"/>
                <w:szCs w:val="21"/>
              </w:rPr>
              <w:t>接口</w:t>
            </w:r>
          </w:p>
        </w:tc>
        <w:tc>
          <w:tcPr>
            <w:tcW w:w="2603"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供电电压范围</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9V～32V</w:t>
            </w:r>
          </w:p>
        </w:tc>
      </w:tr>
      <w:tr>
        <w:tblPrEx>
          <w:tblW w:w="9075" w:type="dxa"/>
          <w:jc w:val="center"/>
          <w:tblCellMar>
            <w:top w:w="0" w:type="dxa"/>
            <w:left w:w="108" w:type="dxa"/>
            <w:bottom w:w="0" w:type="dxa"/>
            <w:right w:w="108" w:type="dxa"/>
          </w:tblCellMar>
        </w:tblPrEx>
        <w:trPr>
          <w:jc w:val="center"/>
        </w:trPr>
        <w:tc>
          <w:tcPr>
            <w:tcW w:w="1980" w:type="dxa"/>
            <w:vMerge/>
            <w:tcBorders>
              <w:left w:val="single" w:sz="4" w:space="0" w:color="auto"/>
              <w:bottom w:val="single" w:sz="4" w:space="0" w:color="auto"/>
              <w:right w:val="single" w:sz="4" w:space="0" w:color="auto"/>
            </w:tcBorders>
            <w:vAlign w:val="center"/>
          </w:tcPr>
          <w:p>
            <w:pPr>
              <w:spacing w:line="360" w:lineRule="auto"/>
              <w:rPr>
                <w:rFonts w:ascii="宋体" w:hAnsi="宋体"/>
                <w:szCs w:val="21"/>
              </w:rPr>
            </w:pPr>
          </w:p>
        </w:tc>
        <w:tc>
          <w:tcPr>
            <w:tcW w:w="2603"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终端数据接口</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默认RS485，具备WIFI通信接口</w:t>
            </w:r>
          </w:p>
        </w:tc>
      </w:tr>
      <w:tr>
        <w:tblPrEx>
          <w:tblW w:w="9075" w:type="dxa"/>
          <w:jc w:val="center"/>
          <w:tblCellMar>
            <w:top w:w="0" w:type="dxa"/>
            <w:left w:w="108" w:type="dxa"/>
            <w:bottom w:w="0" w:type="dxa"/>
            <w:right w:w="108" w:type="dxa"/>
          </w:tblCellMar>
        </w:tblPrEx>
        <w:trPr>
          <w:jc w:val="center"/>
        </w:trPr>
        <w:tc>
          <w:tcPr>
            <w:tcW w:w="4583"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szCs w:val="21"/>
              </w:rPr>
              <w:t>防护等级</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不小于IP65</w:t>
            </w:r>
          </w:p>
        </w:tc>
      </w:tr>
      <w:tr>
        <w:tblPrEx>
          <w:tblW w:w="9075" w:type="dxa"/>
          <w:jc w:val="center"/>
          <w:tblCellMar>
            <w:top w:w="0" w:type="dxa"/>
            <w:left w:w="108" w:type="dxa"/>
            <w:bottom w:w="0" w:type="dxa"/>
            <w:right w:w="108" w:type="dxa"/>
          </w:tblCellMar>
        </w:tblPrEx>
        <w:trPr>
          <w:jc w:val="center"/>
        </w:trPr>
        <w:tc>
          <w:tcPr>
            <w:tcW w:w="4583"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szCs w:val="21"/>
              </w:rPr>
              <w:t>工作温度</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-30℃ ～70℃</w:t>
            </w:r>
          </w:p>
        </w:tc>
      </w:tr>
      <w:tr>
        <w:tblPrEx>
          <w:tblW w:w="9075" w:type="dxa"/>
          <w:jc w:val="center"/>
          <w:tblCellMar>
            <w:top w:w="0" w:type="dxa"/>
            <w:left w:w="108" w:type="dxa"/>
            <w:bottom w:w="0" w:type="dxa"/>
            <w:right w:w="108" w:type="dxa"/>
          </w:tblCellMar>
        </w:tblPrEx>
        <w:trPr>
          <w:jc w:val="center"/>
        </w:trPr>
        <w:tc>
          <w:tcPr>
            <w:tcW w:w="4583" w:type="dxa"/>
            <w:gridSpan w:val="2"/>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szCs w:val="21"/>
              </w:rPr>
              <w:t>尺寸</w:t>
            </w:r>
          </w:p>
        </w:tc>
        <w:tc>
          <w:tcPr>
            <w:tcW w:w="4492" w:type="dxa"/>
            <w:tcBorders>
              <w:top w:val="single" w:sz="4" w:space="0" w:color="auto"/>
              <w:left w:val="single" w:sz="4" w:space="0" w:color="auto"/>
              <w:bottom w:val="single" w:sz="4" w:space="0" w:color="auto"/>
              <w:right w:val="single" w:sz="4" w:space="0" w:color="auto"/>
            </w:tcBorders>
            <w:vAlign w:val="center"/>
          </w:tcPr>
          <w:p>
            <w:pPr>
              <w:spacing w:line="360" w:lineRule="auto"/>
              <w:rPr>
                <w:rFonts w:ascii="宋体" w:hAnsi="宋体"/>
                <w:szCs w:val="21"/>
              </w:rPr>
            </w:pPr>
            <w:r>
              <w:rPr>
                <w:rFonts w:ascii="宋体" w:hAnsi="宋体" w:hint="eastAsia"/>
                <w:szCs w:val="21"/>
              </w:rPr>
              <w:t>直径≤120mm，高度≤90mm</w:t>
            </w:r>
          </w:p>
        </w:tc>
      </w:tr>
    </w:tbl>
    <w:p>
      <w:pPr>
        <w:spacing w:line="360" w:lineRule="auto"/>
        <w:rPr>
          <w:rFonts w:ascii="宋体" w:hAnsi="宋体"/>
          <w:szCs w:val="21"/>
        </w:rPr>
      </w:pPr>
    </w:p>
    <w:p>
      <w:pPr>
        <w:spacing w:line="360" w:lineRule="auto"/>
        <w:outlineLvl w:val="1"/>
        <w:rPr>
          <w:rFonts w:ascii="宋体" w:hAnsi="宋体"/>
          <w:b/>
          <w:bCs/>
          <w:szCs w:val="21"/>
        </w:rPr>
      </w:pPr>
      <w:r>
        <w:rPr>
          <w:rFonts w:ascii="宋体" w:hAnsi="宋体" w:hint="eastAsia"/>
          <w:b/>
          <w:bCs/>
          <w:szCs w:val="21"/>
        </w:rPr>
        <w:t>4.作业保障模组</w:t>
      </w:r>
    </w:p>
    <w:p>
      <w:pPr>
        <w:pStyle w:val="12"/>
        <w:widowControl/>
        <w:spacing w:line="360" w:lineRule="auto"/>
        <w:ind w:firstLine="0" w:firstLineChars="0"/>
        <w:contextualSpacing/>
        <w:jc w:val="left"/>
        <w:outlineLvl w:val="2"/>
        <w:rPr>
          <w:rFonts w:ascii="宋体" w:hAnsi="宋体"/>
          <w:b/>
          <w:bCs/>
          <w:spacing w:val="-10"/>
        </w:rPr>
      </w:pPr>
      <w:r>
        <w:rPr>
          <w:rFonts w:ascii="宋体" w:hAnsi="宋体" w:hint="eastAsia"/>
          <w:b/>
          <w:bCs/>
          <w:spacing w:val="-10"/>
        </w:rPr>
        <w:t>4.1任务舱舱体 （2套）</w:t>
      </w:r>
    </w:p>
    <w:p>
      <w:pPr>
        <w:spacing w:line="360" w:lineRule="auto"/>
        <w:ind w:firstLine="420" w:firstLineChars="200"/>
        <w:rPr>
          <w:rFonts w:ascii="宋体" w:hAnsi="宋体" w:cs="宋体"/>
          <w:szCs w:val="21"/>
        </w:rPr>
      </w:pPr>
      <w:r>
        <w:rPr>
          <w:rFonts w:ascii="宋体" w:hAnsi="宋体" w:cs="宋体" w:hint="eastAsia"/>
          <w:szCs w:val="21"/>
        </w:rPr>
        <w:t>任务舱舱体由舱体结构、门、窗、空调、加热器、换气扇、</w:t>
      </w:r>
      <w:r>
        <w:rPr>
          <w:rFonts w:ascii="宋体" w:hAnsi="宋体" w:cs="宋体"/>
          <w:szCs w:val="21"/>
        </w:rPr>
        <w:t>机柜、机柜减震及固定机构、供电电缆、光缆、电源及信号孔门(含接插件)、照明系统、随舱工具等组成。</w:t>
      </w:r>
    </w:p>
    <w:p>
      <w:pPr>
        <w:spacing w:line="360" w:lineRule="auto"/>
        <w:ind w:firstLine="420" w:firstLineChars="200"/>
        <w:rPr>
          <w:rFonts w:ascii="宋体" w:hAnsi="宋体" w:cs="宋体"/>
          <w:szCs w:val="21"/>
        </w:rPr>
      </w:pPr>
      <w:r>
        <w:rPr>
          <w:rFonts w:ascii="宋体" w:hAnsi="宋体" w:cs="宋体" w:hint="eastAsia"/>
          <w:szCs w:val="21"/>
        </w:rPr>
        <w:t>配备尺寸不小于 1900*600mm 的双层房车床，满足户</w:t>
      </w:r>
      <w:r>
        <w:rPr>
          <w:rFonts w:ascii="宋体" w:hAnsi="宋体" w:cs="宋体"/>
          <w:szCs w:val="21"/>
        </w:rPr>
        <w:t>外作业人员休息需要</w:t>
      </w:r>
      <w:r>
        <w:rPr>
          <w:rFonts w:ascii="宋体" w:hAnsi="宋体" w:cs="宋体" w:hint="eastAsia"/>
          <w:szCs w:val="21"/>
        </w:rPr>
        <w:t>。</w:t>
      </w:r>
    </w:p>
    <w:p>
      <w:pPr>
        <w:spacing w:line="360" w:lineRule="auto"/>
        <w:ind w:firstLine="420" w:firstLineChars="200"/>
        <w:rPr>
          <w:rFonts w:ascii="宋体" w:hAnsi="宋体" w:cs="宋体"/>
          <w:szCs w:val="21"/>
        </w:rPr>
      </w:pPr>
      <w:r>
        <w:rPr>
          <w:rFonts w:ascii="宋体" w:hAnsi="宋体" w:cs="宋体" w:hint="eastAsia"/>
          <w:szCs w:val="21"/>
        </w:rPr>
        <w:t>配套有洗手间兼淋浴间模块、加热器、洗手盆、储物</w:t>
      </w:r>
      <w:r>
        <w:rPr>
          <w:rFonts w:ascii="宋体" w:hAnsi="宋体" w:cs="宋体"/>
          <w:szCs w:val="21"/>
        </w:rPr>
        <w:t>柜、工作台和车载冰箱等生活工作设施，为作业人员提供舒适的生活工作条件。</w:t>
      </w:r>
    </w:p>
    <w:p>
      <w:pPr>
        <w:pStyle w:val="12"/>
        <w:spacing w:line="360" w:lineRule="auto"/>
        <w:ind w:firstLine="380"/>
        <w:contextualSpacing/>
        <w:rPr>
          <w:rFonts w:ascii="宋体" w:hAnsi="宋体"/>
          <w:spacing w:val="-10"/>
        </w:rPr>
      </w:pPr>
      <w:r>
        <w:rPr>
          <w:rFonts w:ascii="宋体" w:hAnsi="宋体" w:hint="eastAsia"/>
          <w:spacing w:val="-10"/>
        </w:rPr>
        <w:t>任务舱舱体技术参数应符合或者高于下表要求：</w:t>
      </w:r>
    </w:p>
    <w:p>
      <w:pPr>
        <w:spacing w:line="360" w:lineRule="auto"/>
        <w:jc w:val="center"/>
        <w:rPr>
          <w:rFonts w:ascii="宋体" w:hAnsi="宋体"/>
          <w:b/>
          <w:bCs/>
          <w:spacing w:val="-10"/>
          <w:szCs w:val="21"/>
        </w:rPr>
      </w:pPr>
      <w:r>
        <w:rPr>
          <w:rFonts w:ascii="宋体" w:hAnsi="宋体" w:hint="eastAsia"/>
          <w:b/>
          <w:bCs/>
          <w:spacing w:val="-10"/>
          <w:szCs w:val="21"/>
        </w:rPr>
        <w:t>表16  任务舱舱体技术参数</w:t>
      </w:r>
    </w:p>
    <w:tbl>
      <w:tblPr>
        <w:tblStyle w:val="13"/>
        <w:tblW w:w="81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277"/>
        <w:gridCol w:w="1531"/>
        <w:gridCol w:w="3551"/>
        <w:gridCol w:w="906"/>
        <w:gridCol w:w="911"/>
      </w:tblGrid>
      <w:tr>
        <w:tblPrEx>
          <w:tblW w:w="81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1277" w:type="dxa"/>
            <w:vMerge w:val="restart"/>
            <w:tcBorders>
              <w:top w:val="single" w:sz="4" w:space="0" w:color="auto"/>
              <w:left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1.1组成要求</w:t>
            </w:r>
          </w:p>
        </w:tc>
        <w:tc>
          <w:tcPr>
            <w:tcW w:w="153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设施名称</w:t>
            </w:r>
          </w:p>
        </w:tc>
        <w:tc>
          <w:tcPr>
            <w:tcW w:w="355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功能要求</w:t>
            </w:r>
          </w:p>
        </w:tc>
        <w:tc>
          <w:tcPr>
            <w:tcW w:w="90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数量</w:t>
            </w:r>
          </w:p>
        </w:tc>
        <w:tc>
          <w:tcPr>
            <w:tcW w:w="91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单位</w:t>
            </w:r>
          </w:p>
        </w:tc>
      </w:tr>
      <w:tr>
        <w:tblPrEx>
          <w:tblW w:w="8176" w:type="dxa"/>
          <w:jc w:val="center"/>
          <w:tblCellMar>
            <w:top w:w="0" w:type="dxa"/>
            <w:left w:w="108" w:type="dxa"/>
            <w:bottom w:w="0" w:type="dxa"/>
            <w:right w:w="108" w:type="dxa"/>
          </w:tblCellMar>
        </w:tblPrEx>
        <w:trPr>
          <w:jc w:val="center"/>
        </w:trPr>
        <w:tc>
          <w:tcPr>
            <w:tcW w:w="1277" w:type="dxa"/>
            <w:vMerge/>
            <w:tcBorders>
              <w:left w:val="single" w:sz="4" w:space="0" w:color="auto"/>
              <w:right w:val="single" w:sz="4" w:space="0" w:color="auto"/>
            </w:tcBorders>
            <w:vAlign w:val="center"/>
          </w:tcPr>
          <w:p>
            <w:pPr>
              <w:rPr>
                <w:rFonts w:ascii="宋体" w:hAnsi="宋体" w:cs="宋体"/>
                <w:kern w:val="0"/>
                <w:szCs w:val="21"/>
              </w:rPr>
            </w:pPr>
          </w:p>
        </w:tc>
        <w:tc>
          <w:tcPr>
            <w:tcW w:w="153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方舱主箱体</w:t>
            </w:r>
          </w:p>
        </w:tc>
        <w:tc>
          <w:tcPr>
            <w:tcW w:w="3551" w:type="dxa"/>
            <w:tcBorders>
              <w:top w:val="single" w:sz="4" w:space="0" w:color="auto"/>
              <w:left w:val="single" w:sz="4" w:space="0" w:color="auto"/>
              <w:bottom w:val="single" w:sz="4" w:space="0" w:color="auto"/>
              <w:right w:val="single" w:sz="4" w:space="0" w:color="auto"/>
            </w:tcBorders>
            <w:vAlign w:val="center"/>
          </w:tcPr>
          <w:p>
            <w:pPr>
              <w:numPr>
                <w:ilvl w:val="0"/>
                <w:numId w:val="15"/>
              </w:numPr>
              <w:rPr>
                <w:rFonts w:ascii="宋体" w:hAnsi="宋体" w:cs="宋体"/>
                <w:kern w:val="0"/>
                <w:szCs w:val="21"/>
              </w:rPr>
            </w:pPr>
            <w:r>
              <w:rPr>
                <w:rFonts w:ascii="宋体" w:hAnsi="宋体" w:cs="宋体" w:hint="eastAsia"/>
                <w:kern w:val="0"/>
                <w:szCs w:val="21"/>
              </w:rPr>
              <w:t>钢骨架大板方舱；</w:t>
            </w:r>
          </w:p>
          <w:p>
            <w:pPr>
              <w:numPr>
                <w:ilvl w:val="0"/>
                <w:numId w:val="15"/>
              </w:numPr>
              <w:rPr>
                <w:rFonts w:ascii="宋体" w:hAnsi="宋体" w:cs="宋体"/>
                <w:kern w:val="0"/>
                <w:szCs w:val="21"/>
              </w:rPr>
            </w:pPr>
            <w:r>
              <w:rPr>
                <w:rFonts w:ascii="宋体" w:hAnsi="宋体" w:cs="宋体" w:hint="eastAsia"/>
                <w:kern w:val="0"/>
                <w:szCs w:val="21"/>
              </w:rPr>
              <w:t>配备方舱角件；</w:t>
            </w:r>
          </w:p>
          <w:p>
            <w:pPr>
              <w:numPr>
                <w:ilvl w:val="0"/>
                <w:numId w:val="15"/>
              </w:numPr>
              <w:rPr>
                <w:rFonts w:ascii="宋体" w:hAnsi="宋体" w:cs="宋体"/>
                <w:kern w:val="0"/>
                <w:szCs w:val="21"/>
              </w:rPr>
            </w:pPr>
            <w:r>
              <w:rPr>
                <w:rFonts w:ascii="宋体" w:hAnsi="宋体" w:cs="宋体" w:hint="eastAsia"/>
                <w:kern w:val="0"/>
                <w:szCs w:val="21"/>
              </w:rPr>
              <w:t>喷涂重金属海洋防腐漆；</w:t>
            </w:r>
          </w:p>
          <w:p>
            <w:pPr>
              <w:numPr>
                <w:ilvl w:val="0"/>
                <w:numId w:val="15"/>
              </w:numPr>
              <w:rPr>
                <w:rFonts w:ascii="宋体" w:hAnsi="宋体" w:cs="宋体"/>
                <w:kern w:val="0"/>
                <w:szCs w:val="21"/>
              </w:rPr>
            </w:pPr>
            <w:r>
              <w:rPr>
                <w:rFonts w:ascii="宋体" w:hAnsi="宋体" w:cs="宋体" w:hint="eastAsia"/>
                <w:kern w:val="0"/>
                <w:szCs w:val="21"/>
              </w:rPr>
              <w:t>舱顶不锈钢护栏。</w:t>
            </w:r>
          </w:p>
        </w:tc>
        <w:tc>
          <w:tcPr>
            <w:tcW w:w="90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1</w:t>
            </w:r>
          </w:p>
        </w:tc>
        <w:tc>
          <w:tcPr>
            <w:tcW w:w="91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套</w:t>
            </w:r>
          </w:p>
        </w:tc>
      </w:tr>
      <w:tr>
        <w:tblPrEx>
          <w:tblW w:w="8176" w:type="dxa"/>
          <w:jc w:val="center"/>
          <w:tblCellMar>
            <w:top w:w="0" w:type="dxa"/>
            <w:left w:w="108" w:type="dxa"/>
            <w:bottom w:w="0" w:type="dxa"/>
            <w:right w:w="108" w:type="dxa"/>
          </w:tblCellMar>
        </w:tblPrEx>
        <w:trPr>
          <w:trHeight w:val="2127"/>
          <w:jc w:val="center"/>
        </w:trPr>
        <w:tc>
          <w:tcPr>
            <w:tcW w:w="1277" w:type="dxa"/>
            <w:vMerge/>
            <w:tcBorders>
              <w:left w:val="single" w:sz="4" w:space="0" w:color="auto"/>
              <w:right w:val="single" w:sz="4" w:space="0" w:color="auto"/>
            </w:tcBorders>
            <w:vAlign w:val="center"/>
          </w:tcPr>
          <w:p>
            <w:pPr>
              <w:rPr>
                <w:rFonts w:ascii="宋体" w:hAnsi="宋体" w:cs="宋体"/>
                <w:kern w:val="0"/>
                <w:sz w:val="20"/>
                <w:szCs w:val="21"/>
              </w:rPr>
            </w:pPr>
          </w:p>
        </w:tc>
        <w:tc>
          <w:tcPr>
            <w:tcW w:w="153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 w:val="20"/>
                <w:szCs w:val="21"/>
              </w:rPr>
            </w:pPr>
            <w:r>
              <w:rPr>
                <w:rFonts w:ascii="宋体" w:hAnsi="宋体" w:cs="宋体" w:hint="eastAsia"/>
                <w:kern w:val="0"/>
                <w:sz w:val="20"/>
                <w:szCs w:val="21"/>
              </w:rPr>
              <w:t>舱体自卸举升机构</w:t>
            </w:r>
          </w:p>
        </w:tc>
        <w:tc>
          <w:tcPr>
            <w:tcW w:w="355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 w:val="20"/>
                <w:szCs w:val="21"/>
              </w:rPr>
            </w:pPr>
            <w:r>
              <w:rPr>
                <w:rFonts w:ascii="宋体" w:hAnsi="宋体" w:cs="宋体" w:hint="eastAsia"/>
                <w:kern w:val="0"/>
                <w:sz w:val="20"/>
                <w:szCs w:val="21"/>
              </w:rPr>
              <w:t xml:space="preserve">配备 1 套舱体电动自卸举升机构。 </w:t>
            </w:r>
          </w:p>
          <w:p>
            <w:pPr>
              <w:rPr>
                <w:rFonts w:ascii="宋体" w:hAnsi="宋体" w:cs="宋体"/>
                <w:kern w:val="0"/>
                <w:sz w:val="20"/>
                <w:szCs w:val="21"/>
              </w:rPr>
            </w:pPr>
            <w:r>
              <w:rPr>
                <w:rFonts w:ascii="宋体" w:hAnsi="宋体" w:cs="宋体" w:hint="eastAsia"/>
                <w:kern w:val="0"/>
                <w:sz w:val="20"/>
                <w:szCs w:val="21"/>
              </w:rPr>
              <w:t>a）额定提升重量：满足舱体设计使用重量要求，并具备30%以上冗余能力；</w:t>
            </w:r>
          </w:p>
          <w:p>
            <w:pPr>
              <w:rPr>
                <w:rFonts w:ascii="宋体" w:hAnsi="宋体" w:cs="宋体"/>
                <w:kern w:val="0"/>
                <w:sz w:val="20"/>
                <w:szCs w:val="21"/>
              </w:rPr>
            </w:pPr>
            <w:r>
              <w:rPr>
                <w:rFonts w:ascii="宋体" w:hAnsi="宋体" w:cs="宋体" w:hint="eastAsia"/>
                <w:kern w:val="0"/>
                <w:sz w:val="20"/>
                <w:szCs w:val="21"/>
              </w:rPr>
              <w:t xml:space="preserve">b）额定举升高度：≥1500mm； </w:t>
            </w:r>
          </w:p>
          <w:p>
            <w:pPr>
              <w:rPr>
                <w:rFonts w:ascii="宋体" w:hAnsi="宋体" w:cs="宋体"/>
                <w:kern w:val="0"/>
                <w:sz w:val="20"/>
                <w:szCs w:val="21"/>
              </w:rPr>
            </w:pPr>
            <w:r>
              <w:rPr>
                <w:rFonts w:ascii="宋体" w:hAnsi="宋体" w:cs="宋体" w:hint="eastAsia"/>
                <w:kern w:val="0"/>
                <w:sz w:val="20"/>
                <w:szCs w:val="21"/>
              </w:rPr>
              <w:t>d）升降时间(单程)：≤15min；</w:t>
            </w:r>
          </w:p>
          <w:p>
            <w:pPr>
              <w:rPr>
                <w:rFonts w:ascii="宋体" w:hAnsi="宋体" w:cs="宋体"/>
                <w:kern w:val="0"/>
                <w:sz w:val="20"/>
                <w:szCs w:val="21"/>
              </w:rPr>
            </w:pPr>
            <w:r>
              <w:rPr>
                <w:rFonts w:ascii="宋体" w:hAnsi="宋体" w:cs="宋体" w:hint="eastAsia"/>
                <w:kern w:val="0"/>
                <w:sz w:val="20"/>
                <w:szCs w:val="21"/>
              </w:rPr>
              <w:t xml:space="preserve">e）调平时间：≤3min（6m 长方舱所需时间）； </w:t>
            </w:r>
          </w:p>
          <w:p>
            <w:pPr>
              <w:rPr>
                <w:rFonts w:ascii="宋体" w:hAnsi="宋体" w:cs="宋体"/>
                <w:kern w:val="0"/>
                <w:sz w:val="20"/>
                <w:szCs w:val="21"/>
              </w:rPr>
            </w:pPr>
            <w:r>
              <w:rPr>
                <w:rFonts w:ascii="宋体" w:hAnsi="宋体" w:cs="宋体" w:hint="eastAsia"/>
                <w:kern w:val="0"/>
                <w:sz w:val="20"/>
                <w:szCs w:val="21"/>
              </w:rPr>
              <w:t>f）调平精度：≤0.5 度；</w:t>
            </w:r>
          </w:p>
          <w:p>
            <w:pPr>
              <w:rPr>
                <w:rFonts w:ascii="宋体" w:hAnsi="宋体" w:cs="宋体"/>
                <w:kern w:val="0"/>
                <w:sz w:val="20"/>
                <w:szCs w:val="21"/>
              </w:rPr>
            </w:pPr>
            <w:r>
              <w:rPr>
                <w:rFonts w:ascii="宋体" w:hAnsi="宋体" w:cs="宋体" w:hint="eastAsia"/>
                <w:kern w:val="0"/>
                <w:sz w:val="20"/>
                <w:szCs w:val="21"/>
              </w:rPr>
              <w:t>I）工作方式：电动（可手动）。</w:t>
            </w:r>
          </w:p>
        </w:tc>
        <w:tc>
          <w:tcPr>
            <w:tcW w:w="90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 w:val="20"/>
                <w:szCs w:val="21"/>
              </w:rPr>
            </w:pPr>
            <w:r>
              <w:rPr>
                <w:rFonts w:ascii="宋体" w:hAnsi="宋体" w:cs="宋体" w:hint="eastAsia"/>
                <w:kern w:val="0"/>
                <w:sz w:val="20"/>
                <w:szCs w:val="21"/>
              </w:rPr>
              <w:t>1</w:t>
            </w:r>
          </w:p>
        </w:tc>
        <w:tc>
          <w:tcPr>
            <w:tcW w:w="91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 w:val="20"/>
                <w:szCs w:val="21"/>
              </w:rPr>
            </w:pPr>
            <w:r>
              <w:rPr>
                <w:rFonts w:ascii="宋体" w:hAnsi="宋体" w:cs="宋体" w:hint="eastAsia"/>
                <w:kern w:val="0"/>
                <w:sz w:val="20"/>
                <w:szCs w:val="21"/>
              </w:rPr>
              <w:t>套</w:t>
            </w:r>
          </w:p>
        </w:tc>
      </w:tr>
      <w:tr>
        <w:tblPrEx>
          <w:tblW w:w="8176" w:type="dxa"/>
          <w:jc w:val="center"/>
          <w:tblCellMar>
            <w:top w:w="0" w:type="dxa"/>
            <w:left w:w="108" w:type="dxa"/>
            <w:bottom w:w="0" w:type="dxa"/>
            <w:right w:w="108" w:type="dxa"/>
          </w:tblCellMar>
        </w:tblPrEx>
        <w:trPr>
          <w:jc w:val="center"/>
        </w:trPr>
        <w:tc>
          <w:tcPr>
            <w:tcW w:w="1277" w:type="dxa"/>
            <w:vMerge/>
            <w:tcBorders>
              <w:left w:val="single" w:sz="4" w:space="0" w:color="auto"/>
              <w:right w:val="single" w:sz="4" w:space="0" w:color="auto"/>
            </w:tcBorders>
            <w:vAlign w:val="center"/>
          </w:tcPr>
          <w:p>
            <w:pPr>
              <w:rPr>
                <w:rFonts w:ascii="宋体" w:hAnsi="宋体" w:cs="宋体"/>
                <w:kern w:val="0"/>
                <w:szCs w:val="21"/>
              </w:rPr>
            </w:pPr>
          </w:p>
        </w:tc>
        <w:tc>
          <w:tcPr>
            <w:tcW w:w="153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方舱侧开门</w:t>
            </w:r>
          </w:p>
        </w:tc>
        <w:tc>
          <w:tcPr>
            <w:tcW w:w="355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入户门</w:t>
            </w:r>
          </w:p>
        </w:tc>
        <w:tc>
          <w:tcPr>
            <w:tcW w:w="90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1</w:t>
            </w:r>
          </w:p>
        </w:tc>
        <w:tc>
          <w:tcPr>
            <w:tcW w:w="91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套</w:t>
            </w:r>
          </w:p>
        </w:tc>
      </w:tr>
      <w:tr>
        <w:tblPrEx>
          <w:tblW w:w="8176" w:type="dxa"/>
          <w:jc w:val="center"/>
          <w:tblCellMar>
            <w:top w:w="0" w:type="dxa"/>
            <w:left w:w="108" w:type="dxa"/>
            <w:bottom w:w="0" w:type="dxa"/>
            <w:right w:w="108" w:type="dxa"/>
          </w:tblCellMar>
        </w:tblPrEx>
        <w:trPr>
          <w:jc w:val="center"/>
        </w:trPr>
        <w:tc>
          <w:tcPr>
            <w:tcW w:w="1277" w:type="dxa"/>
            <w:vMerge/>
            <w:tcBorders>
              <w:left w:val="single" w:sz="4" w:space="0" w:color="auto"/>
              <w:right w:val="single" w:sz="4" w:space="0" w:color="auto"/>
            </w:tcBorders>
            <w:vAlign w:val="center"/>
          </w:tcPr>
          <w:p>
            <w:pPr>
              <w:rPr>
                <w:rFonts w:ascii="宋体" w:hAnsi="宋体" w:cs="宋体"/>
                <w:kern w:val="0"/>
                <w:szCs w:val="21"/>
              </w:rPr>
            </w:pPr>
          </w:p>
        </w:tc>
        <w:tc>
          <w:tcPr>
            <w:tcW w:w="153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方舱侧开门</w:t>
            </w:r>
          </w:p>
        </w:tc>
        <w:tc>
          <w:tcPr>
            <w:tcW w:w="355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检修门</w:t>
            </w:r>
          </w:p>
        </w:tc>
        <w:tc>
          <w:tcPr>
            <w:tcW w:w="90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1</w:t>
            </w:r>
          </w:p>
        </w:tc>
        <w:tc>
          <w:tcPr>
            <w:tcW w:w="91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套</w:t>
            </w:r>
          </w:p>
        </w:tc>
      </w:tr>
      <w:tr>
        <w:tblPrEx>
          <w:tblW w:w="8176" w:type="dxa"/>
          <w:jc w:val="center"/>
          <w:tblCellMar>
            <w:top w:w="0" w:type="dxa"/>
            <w:left w:w="108" w:type="dxa"/>
            <w:bottom w:w="0" w:type="dxa"/>
            <w:right w:w="108" w:type="dxa"/>
          </w:tblCellMar>
        </w:tblPrEx>
        <w:trPr>
          <w:jc w:val="center"/>
        </w:trPr>
        <w:tc>
          <w:tcPr>
            <w:tcW w:w="1277" w:type="dxa"/>
            <w:vMerge/>
            <w:tcBorders>
              <w:left w:val="single" w:sz="4" w:space="0" w:color="auto"/>
              <w:right w:val="single" w:sz="4" w:space="0" w:color="auto"/>
            </w:tcBorders>
            <w:vAlign w:val="center"/>
          </w:tcPr>
          <w:p>
            <w:pPr>
              <w:rPr>
                <w:rFonts w:ascii="宋体" w:hAnsi="宋体" w:cs="宋体"/>
                <w:kern w:val="0"/>
                <w:szCs w:val="21"/>
              </w:rPr>
            </w:pPr>
          </w:p>
        </w:tc>
        <w:tc>
          <w:tcPr>
            <w:tcW w:w="153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攀登梯</w:t>
            </w:r>
          </w:p>
        </w:tc>
        <w:tc>
          <w:tcPr>
            <w:tcW w:w="355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方舱固定式爬梯</w:t>
            </w:r>
          </w:p>
        </w:tc>
        <w:tc>
          <w:tcPr>
            <w:tcW w:w="90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1</w:t>
            </w:r>
          </w:p>
        </w:tc>
        <w:tc>
          <w:tcPr>
            <w:tcW w:w="91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套</w:t>
            </w:r>
          </w:p>
        </w:tc>
      </w:tr>
      <w:tr>
        <w:tblPrEx>
          <w:tblW w:w="8176" w:type="dxa"/>
          <w:jc w:val="center"/>
          <w:tblCellMar>
            <w:top w:w="0" w:type="dxa"/>
            <w:left w:w="108" w:type="dxa"/>
            <w:bottom w:w="0" w:type="dxa"/>
            <w:right w:w="108" w:type="dxa"/>
          </w:tblCellMar>
        </w:tblPrEx>
        <w:trPr>
          <w:jc w:val="center"/>
        </w:trPr>
        <w:tc>
          <w:tcPr>
            <w:tcW w:w="1277" w:type="dxa"/>
            <w:vMerge/>
            <w:tcBorders>
              <w:left w:val="single" w:sz="4" w:space="0" w:color="auto"/>
              <w:right w:val="single" w:sz="4" w:space="0" w:color="auto"/>
            </w:tcBorders>
            <w:vAlign w:val="center"/>
          </w:tcPr>
          <w:p>
            <w:pPr>
              <w:rPr>
                <w:rFonts w:ascii="宋体" w:hAnsi="宋体" w:cs="宋体"/>
                <w:kern w:val="0"/>
                <w:szCs w:val="21"/>
              </w:rPr>
            </w:pPr>
          </w:p>
        </w:tc>
        <w:tc>
          <w:tcPr>
            <w:tcW w:w="153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灭火器</w:t>
            </w:r>
          </w:p>
        </w:tc>
        <w:tc>
          <w:tcPr>
            <w:tcW w:w="355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2kg 干粉灭火器</w:t>
            </w:r>
          </w:p>
        </w:tc>
        <w:tc>
          <w:tcPr>
            <w:tcW w:w="90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1</w:t>
            </w:r>
          </w:p>
        </w:tc>
        <w:tc>
          <w:tcPr>
            <w:tcW w:w="91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套</w:t>
            </w:r>
          </w:p>
        </w:tc>
      </w:tr>
      <w:tr>
        <w:tblPrEx>
          <w:tblW w:w="8176" w:type="dxa"/>
          <w:jc w:val="center"/>
          <w:tblCellMar>
            <w:top w:w="0" w:type="dxa"/>
            <w:left w:w="108" w:type="dxa"/>
            <w:bottom w:w="0" w:type="dxa"/>
            <w:right w:w="108" w:type="dxa"/>
          </w:tblCellMar>
        </w:tblPrEx>
        <w:trPr>
          <w:jc w:val="center"/>
        </w:trPr>
        <w:tc>
          <w:tcPr>
            <w:tcW w:w="1277" w:type="dxa"/>
            <w:vMerge/>
            <w:tcBorders>
              <w:left w:val="single" w:sz="4" w:space="0" w:color="auto"/>
              <w:right w:val="single" w:sz="4" w:space="0" w:color="auto"/>
            </w:tcBorders>
            <w:vAlign w:val="center"/>
          </w:tcPr>
          <w:p>
            <w:pPr>
              <w:rPr>
                <w:rFonts w:ascii="宋体" w:hAnsi="宋体" w:cs="宋体"/>
                <w:kern w:val="0"/>
                <w:szCs w:val="21"/>
              </w:rPr>
            </w:pPr>
          </w:p>
        </w:tc>
        <w:tc>
          <w:tcPr>
            <w:tcW w:w="153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外部电源接口面板</w:t>
            </w:r>
          </w:p>
        </w:tc>
        <w:tc>
          <w:tcPr>
            <w:tcW w:w="355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220V/50Hz 电源输入接口、网线接口、光纤接口</w:t>
            </w:r>
          </w:p>
        </w:tc>
        <w:tc>
          <w:tcPr>
            <w:tcW w:w="90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1</w:t>
            </w:r>
          </w:p>
        </w:tc>
        <w:tc>
          <w:tcPr>
            <w:tcW w:w="91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套</w:t>
            </w:r>
          </w:p>
        </w:tc>
      </w:tr>
      <w:tr>
        <w:tblPrEx>
          <w:tblW w:w="8176" w:type="dxa"/>
          <w:jc w:val="center"/>
          <w:tblCellMar>
            <w:top w:w="0" w:type="dxa"/>
            <w:left w:w="108" w:type="dxa"/>
            <w:bottom w:w="0" w:type="dxa"/>
            <w:right w:w="108" w:type="dxa"/>
          </w:tblCellMar>
        </w:tblPrEx>
        <w:trPr>
          <w:jc w:val="center"/>
        </w:trPr>
        <w:tc>
          <w:tcPr>
            <w:tcW w:w="1277" w:type="dxa"/>
            <w:vMerge/>
            <w:tcBorders>
              <w:left w:val="single" w:sz="4" w:space="0" w:color="auto"/>
              <w:right w:val="single" w:sz="4" w:space="0" w:color="auto"/>
            </w:tcBorders>
            <w:vAlign w:val="center"/>
          </w:tcPr>
          <w:p>
            <w:pPr>
              <w:rPr>
                <w:rFonts w:ascii="宋体" w:hAnsi="宋体" w:cs="宋体"/>
                <w:kern w:val="0"/>
                <w:szCs w:val="21"/>
              </w:rPr>
            </w:pPr>
          </w:p>
        </w:tc>
        <w:tc>
          <w:tcPr>
            <w:tcW w:w="153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供能配置</w:t>
            </w:r>
          </w:p>
        </w:tc>
        <w:tc>
          <w:tcPr>
            <w:tcW w:w="355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双层床、双联办公桌、电磁炉、洗手盆、厨台、冰箱、热水器、淋浴间等</w:t>
            </w:r>
          </w:p>
        </w:tc>
        <w:tc>
          <w:tcPr>
            <w:tcW w:w="90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1</w:t>
            </w:r>
          </w:p>
        </w:tc>
        <w:tc>
          <w:tcPr>
            <w:tcW w:w="91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套</w:t>
            </w:r>
          </w:p>
        </w:tc>
      </w:tr>
      <w:tr>
        <w:tblPrEx>
          <w:tblW w:w="8176" w:type="dxa"/>
          <w:jc w:val="center"/>
          <w:tblCellMar>
            <w:top w:w="0" w:type="dxa"/>
            <w:left w:w="108" w:type="dxa"/>
            <w:bottom w:w="0" w:type="dxa"/>
            <w:right w:w="108" w:type="dxa"/>
          </w:tblCellMar>
        </w:tblPrEx>
        <w:trPr>
          <w:jc w:val="center"/>
        </w:trPr>
        <w:tc>
          <w:tcPr>
            <w:tcW w:w="1277" w:type="dxa"/>
            <w:vMerge w:val="restart"/>
            <w:tcBorders>
              <w:left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1.2供电系统</w:t>
            </w:r>
          </w:p>
        </w:tc>
        <w:tc>
          <w:tcPr>
            <w:tcW w:w="153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市电接入</w:t>
            </w:r>
          </w:p>
        </w:tc>
        <w:tc>
          <w:tcPr>
            <w:tcW w:w="355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具备1路供电电压 380×（1±10%）V、频率50×（1±5%）Hz或1路供电电压220×（1±10%）V、频率50×（1±5%）Hz，供电总功率不低于10kW，配备满足功率的手动或电动市电线缆轴长度≮45米；配备满足功率的市电对接插头。</w:t>
            </w:r>
          </w:p>
        </w:tc>
        <w:tc>
          <w:tcPr>
            <w:tcW w:w="90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1</w:t>
            </w:r>
          </w:p>
        </w:tc>
        <w:tc>
          <w:tcPr>
            <w:tcW w:w="91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套</w:t>
            </w:r>
          </w:p>
        </w:tc>
      </w:tr>
      <w:tr>
        <w:tblPrEx>
          <w:tblW w:w="8176" w:type="dxa"/>
          <w:jc w:val="center"/>
          <w:tblCellMar>
            <w:top w:w="0" w:type="dxa"/>
            <w:left w:w="108" w:type="dxa"/>
            <w:bottom w:w="0" w:type="dxa"/>
            <w:right w:w="108" w:type="dxa"/>
          </w:tblCellMar>
        </w:tblPrEx>
        <w:trPr>
          <w:jc w:val="center"/>
        </w:trPr>
        <w:tc>
          <w:tcPr>
            <w:tcW w:w="1277" w:type="dxa"/>
            <w:vMerge/>
            <w:tcBorders>
              <w:left w:val="single" w:sz="4" w:space="0" w:color="auto"/>
              <w:right w:val="single" w:sz="4" w:space="0" w:color="auto"/>
            </w:tcBorders>
            <w:vAlign w:val="center"/>
          </w:tcPr>
          <w:p>
            <w:pPr>
              <w:rPr>
                <w:rFonts w:ascii="宋体" w:hAnsi="宋体" w:cs="宋体"/>
                <w:kern w:val="0"/>
                <w:szCs w:val="21"/>
              </w:rPr>
            </w:pPr>
          </w:p>
        </w:tc>
        <w:tc>
          <w:tcPr>
            <w:tcW w:w="153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静音发电机</w:t>
            </w:r>
          </w:p>
        </w:tc>
        <w:tc>
          <w:tcPr>
            <w:tcW w:w="3551" w:type="dxa"/>
            <w:tcBorders>
              <w:top w:val="single" w:sz="4" w:space="0" w:color="auto"/>
              <w:left w:val="single" w:sz="4" w:space="0" w:color="auto"/>
              <w:bottom w:val="single" w:sz="4" w:space="0" w:color="auto"/>
              <w:right w:val="single" w:sz="4" w:space="0" w:color="auto"/>
            </w:tcBorders>
            <w:vAlign w:val="center"/>
          </w:tcPr>
          <w:p>
            <w:pPr>
              <w:numPr>
                <w:ilvl w:val="0"/>
                <w:numId w:val="16"/>
              </w:numPr>
              <w:rPr>
                <w:rFonts w:ascii="宋体" w:hAnsi="宋体" w:cs="宋体"/>
                <w:kern w:val="0"/>
                <w:szCs w:val="21"/>
              </w:rPr>
            </w:pPr>
            <w:r>
              <w:rPr>
                <w:rFonts w:ascii="宋体" w:hAnsi="宋体" w:cs="宋体" w:hint="eastAsia"/>
                <w:kern w:val="0"/>
                <w:szCs w:val="21"/>
              </w:rPr>
              <w:t>额定频率：50 HZ</w:t>
            </w:r>
          </w:p>
          <w:p>
            <w:pPr>
              <w:numPr>
                <w:ilvl w:val="0"/>
                <w:numId w:val="16"/>
              </w:numPr>
              <w:rPr>
                <w:rFonts w:ascii="宋体" w:hAnsi="宋体" w:cs="宋体"/>
                <w:kern w:val="0"/>
                <w:szCs w:val="21"/>
              </w:rPr>
            </w:pPr>
            <w:r>
              <w:rPr>
                <w:rFonts w:ascii="宋体" w:hAnsi="宋体" w:cs="宋体"/>
                <w:kern w:val="0"/>
                <w:szCs w:val="21"/>
              </w:rPr>
              <w:t>额定输出功率：</w:t>
            </w:r>
            <w:r>
              <w:rPr>
                <w:rFonts w:ascii="宋体" w:hAnsi="宋体" w:cs="宋体" w:hint="eastAsia"/>
                <w:kern w:val="0"/>
                <w:szCs w:val="21"/>
              </w:rPr>
              <w:t>≮</w:t>
            </w:r>
            <w:r>
              <w:rPr>
                <w:rFonts w:ascii="宋体" w:hAnsi="宋体" w:cs="宋体"/>
                <w:kern w:val="0"/>
                <w:szCs w:val="21"/>
              </w:rPr>
              <w:t>10KW</w:t>
            </w:r>
          </w:p>
          <w:p>
            <w:pPr>
              <w:numPr>
                <w:ilvl w:val="0"/>
                <w:numId w:val="16"/>
              </w:numPr>
              <w:rPr>
                <w:rFonts w:ascii="宋体" w:hAnsi="宋体" w:cs="宋体"/>
                <w:kern w:val="0"/>
                <w:szCs w:val="21"/>
              </w:rPr>
            </w:pPr>
            <w:r>
              <w:rPr>
                <w:rFonts w:ascii="宋体" w:hAnsi="宋体" w:cs="宋体"/>
                <w:kern w:val="0"/>
                <w:szCs w:val="21"/>
              </w:rPr>
              <w:t>额定电压：230 V</w:t>
            </w:r>
            <w:r>
              <w:rPr>
                <w:rFonts w:ascii="宋体" w:hAnsi="宋体" w:cs="宋体" w:hint="eastAsia"/>
                <w:kern w:val="0"/>
                <w:szCs w:val="21"/>
              </w:rPr>
              <w:t>或400V</w:t>
            </w:r>
          </w:p>
          <w:p>
            <w:pPr>
              <w:numPr>
                <w:ilvl w:val="0"/>
                <w:numId w:val="16"/>
              </w:numPr>
              <w:rPr>
                <w:rFonts w:ascii="宋体" w:hAnsi="宋体" w:cs="宋体"/>
                <w:kern w:val="0"/>
                <w:szCs w:val="21"/>
              </w:rPr>
            </w:pPr>
            <w:r>
              <w:rPr>
                <w:rFonts w:ascii="宋体" w:hAnsi="宋体" w:cs="宋体"/>
                <w:kern w:val="0"/>
                <w:szCs w:val="21"/>
              </w:rPr>
              <w:t>机组连续运行时间：≥</w:t>
            </w:r>
            <w:r>
              <w:rPr>
                <w:rFonts w:ascii="宋体" w:hAnsi="宋体" w:cs="宋体" w:hint="eastAsia"/>
                <w:kern w:val="0"/>
                <w:szCs w:val="21"/>
              </w:rPr>
              <w:t>8</w:t>
            </w:r>
            <w:r>
              <w:rPr>
                <w:rFonts w:ascii="宋体" w:hAnsi="宋体" w:cs="宋体"/>
                <w:kern w:val="0"/>
                <w:szCs w:val="21"/>
              </w:rPr>
              <w:t>h</w:t>
            </w:r>
          </w:p>
          <w:p>
            <w:pPr>
              <w:numPr>
                <w:ilvl w:val="0"/>
                <w:numId w:val="16"/>
              </w:numPr>
              <w:rPr>
                <w:rFonts w:ascii="宋体" w:hAnsi="宋体" w:cs="宋体"/>
                <w:kern w:val="0"/>
                <w:szCs w:val="21"/>
              </w:rPr>
            </w:pPr>
            <w:r>
              <w:rPr>
                <w:rFonts w:ascii="宋体" w:hAnsi="宋体" w:cs="宋体"/>
                <w:kern w:val="0"/>
                <w:szCs w:val="21"/>
              </w:rPr>
              <w:t>噪音（1m 处）：</w:t>
            </w:r>
            <w:r>
              <w:rPr>
                <w:rFonts w:ascii="宋体" w:hAnsi="宋体" w:cs="宋体" w:hint="eastAsia"/>
                <w:kern w:val="0"/>
                <w:szCs w:val="21"/>
              </w:rPr>
              <w:t>≤</w:t>
            </w:r>
            <w:r>
              <w:rPr>
                <w:rFonts w:ascii="宋体" w:hAnsi="宋体" w:cs="宋体"/>
                <w:kern w:val="0"/>
                <w:szCs w:val="21"/>
              </w:rPr>
              <w:t>7</w:t>
            </w:r>
            <w:r>
              <w:rPr>
                <w:rFonts w:ascii="宋体" w:hAnsi="宋体" w:cs="宋体" w:hint="eastAsia"/>
                <w:kern w:val="0"/>
                <w:szCs w:val="21"/>
              </w:rPr>
              <w:t>5</w:t>
            </w:r>
            <w:r>
              <w:rPr>
                <w:rFonts w:ascii="宋体" w:hAnsi="宋体" w:cs="宋体"/>
                <w:kern w:val="0"/>
                <w:szCs w:val="21"/>
              </w:rPr>
              <w:t xml:space="preserve"> dB(A)</w:t>
            </w:r>
          </w:p>
        </w:tc>
        <w:tc>
          <w:tcPr>
            <w:tcW w:w="90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1</w:t>
            </w:r>
          </w:p>
        </w:tc>
        <w:tc>
          <w:tcPr>
            <w:tcW w:w="91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套</w:t>
            </w:r>
          </w:p>
        </w:tc>
      </w:tr>
      <w:tr>
        <w:tblPrEx>
          <w:tblW w:w="8176" w:type="dxa"/>
          <w:jc w:val="center"/>
          <w:tblCellMar>
            <w:top w:w="0" w:type="dxa"/>
            <w:left w:w="108" w:type="dxa"/>
            <w:bottom w:w="0" w:type="dxa"/>
            <w:right w:w="108" w:type="dxa"/>
          </w:tblCellMar>
        </w:tblPrEx>
        <w:trPr>
          <w:jc w:val="center"/>
        </w:trPr>
        <w:tc>
          <w:tcPr>
            <w:tcW w:w="1277" w:type="dxa"/>
            <w:vMerge/>
            <w:tcBorders>
              <w:left w:val="single" w:sz="4" w:space="0" w:color="auto"/>
              <w:right w:val="single" w:sz="4" w:space="0" w:color="auto"/>
            </w:tcBorders>
            <w:vAlign w:val="center"/>
          </w:tcPr>
          <w:p>
            <w:pPr>
              <w:rPr>
                <w:rFonts w:ascii="宋体" w:hAnsi="宋体" w:cs="宋体"/>
                <w:kern w:val="0"/>
                <w:szCs w:val="21"/>
              </w:rPr>
            </w:pPr>
          </w:p>
        </w:tc>
        <w:tc>
          <w:tcPr>
            <w:tcW w:w="153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配电箱</w:t>
            </w:r>
          </w:p>
        </w:tc>
        <w:tc>
          <w:tcPr>
            <w:tcW w:w="355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kern w:val="0"/>
                <w:szCs w:val="21"/>
              </w:rPr>
              <w:t>集中式电源管理系统，含电源漏电保护、开关、电源电压电流显示等，开关分别控制空调、设备用电等；配电盘面板为数控机床加工，表面喷塑处理。</w:t>
            </w:r>
          </w:p>
        </w:tc>
        <w:tc>
          <w:tcPr>
            <w:tcW w:w="90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1</w:t>
            </w:r>
          </w:p>
        </w:tc>
        <w:tc>
          <w:tcPr>
            <w:tcW w:w="91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套</w:t>
            </w:r>
          </w:p>
        </w:tc>
      </w:tr>
      <w:tr>
        <w:tblPrEx>
          <w:tblW w:w="8176" w:type="dxa"/>
          <w:jc w:val="center"/>
          <w:tblCellMar>
            <w:top w:w="0" w:type="dxa"/>
            <w:left w:w="108" w:type="dxa"/>
            <w:bottom w:w="0" w:type="dxa"/>
            <w:right w:w="108" w:type="dxa"/>
          </w:tblCellMar>
        </w:tblPrEx>
        <w:trPr>
          <w:jc w:val="center"/>
        </w:trPr>
        <w:tc>
          <w:tcPr>
            <w:tcW w:w="1277" w:type="dxa"/>
            <w:vMerge/>
            <w:tcBorders>
              <w:left w:val="single" w:sz="4" w:space="0" w:color="auto"/>
              <w:right w:val="single" w:sz="4" w:space="0" w:color="auto"/>
            </w:tcBorders>
            <w:vAlign w:val="center"/>
          </w:tcPr>
          <w:p>
            <w:pPr>
              <w:rPr>
                <w:rFonts w:ascii="宋体" w:hAnsi="宋体" w:cs="宋体"/>
                <w:kern w:val="0"/>
                <w:szCs w:val="21"/>
              </w:rPr>
            </w:pPr>
          </w:p>
        </w:tc>
        <w:tc>
          <w:tcPr>
            <w:tcW w:w="153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全车接地</w:t>
            </w:r>
          </w:p>
        </w:tc>
        <w:tc>
          <w:tcPr>
            <w:tcW w:w="355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kern w:val="0"/>
                <w:szCs w:val="21"/>
              </w:rPr>
              <w:t>含接地桩、接地线，电源防浪涌装置。</w:t>
            </w:r>
          </w:p>
        </w:tc>
        <w:tc>
          <w:tcPr>
            <w:tcW w:w="90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1</w:t>
            </w:r>
          </w:p>
        </w:tc>
        <w:tc>
          <w:tcPr>
            <w:tcW w:w="91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套</w:t>
            </w:r>
          </w:p>
        </w:tc>
      </w:tr>
      <w:tr>
        <w:tblPrEx>
          <w:tblW w:w="8176" w:type="dxa"/>
          <w:jc w:val="center"/>
          <w:tblCellMar>
            <w:top w:w="0" w:type="dxa"/>
            <w:left w:w="108" w:type="dxa"/>
            <w:bottom w:w="0" w:type="dxa"/>
            <w:right w:w="108" w:type="dxa"/>
          </w:tblCellMar>
        </w:tblPrEx>
        <w:trPr>
          <w:jc w:val="center"/>
        </w:trPr>
        <w:tc>
          <w:tcPr>
            <w:tcW w:w="1277" w:type="dxa"/>
            <w:vMerge/>
            <w:tcBorders>
              <w:left w:val="single" w:sz="4" w:space="0" w:color="auto"/>
              <w:right w:val="single" w:sz="4" w:space="0" w:color="auto"/>
            </w:tcBorders>
            <w:vAlign w:val="center"/>
          </w:tcPr>
          <w:p>
            <w:pPr>
              <w:rPr>
                <w:rFonts w:ascii="宋体" w:hAnsi="宋体" w:cs="宋体"/>
                <w:kern w:val="0"/>
                <w:szCs w:val="21"/>
              </w:rPr>
            </w:pPr>
          </w:p>
        </w:tc>
        <w:tc>
          <w:tcPr>
            <w:tcW w:w="153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对外接口板</w:t>
            </w:r>
          </w:p>
        </w:tc>
        <w:tc>
          <w:tcPr>
            <w:tcW w:w="355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kern w:val="0"/>
                <w:szCs w:val="21"/>
              </w:rPr>
              <w:t>含电源、数据传输接口。</w:t>
            </w:r>
          </w:p>
        </w:tc>
        <w:tc>
          <w:tcPr>
            <w:tcW w:w="90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1</w:t>
            </w:r>
          </w:p>
        </w:tc>
        <w:tc>
          <w:tcPr>
            <w:tcW w:w="91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套</w:t>
            </w:r>
          </w:p>
        </w:tc>
      </w:tr>
      <w:tr>
        <w:tblPrEx>
          <w:tblW w:w="8176" w:type="dxa"/>
          <w:jc w:val="center"/>
          <w:tblCellMar>
            <w:top w:w="0" w:type="dxa"/>
            <w:left w:w="108" w:type="dxa"/>
            <w:bottom w:w="0" w:type="dxa"/>
            <w:right w:w="108" w:type="dxa"/>
          </w:tblCellMar>
        </w:tblPrEx>
        <w:trPr>
          <w:jc w:val="center"/>
        </w:trPr>
        <w:tc>
          <w:tcPr>
            <w:tcW w:w="1277" w:type="dxa"/>
            <w:vMerge/>
            <w:tcBorders>
              <w:left w:val="single" w:sz="4" w:space="0" w:color="auto"/>
              <w:right w:val="single" w:sz="4" w:space="0" w:color="auto"/>
            </w:tcBorders>
            <w:vAlign w:val="center"/>
          </w:tcPr>
          <w:p>
            <w:pPr>
              <w:rPr>
                <w:rFonts w:ascii="宋体" w:hAnsi="宋体" w:cs="宋体"/>
                <w:kern w:val="0"/>
                <w:szCs w:val="21"/>
              </w:rPr>
            </w:pPr>
          </w:p>
        </w:tc>
        <w:tc>
          <w:tcPr>
            <w:tcW w:w="153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空调系统</w:t>
            </w:r>
          </w:p>
        </w:tc>
        <w:tc>
          <w:tcPr>
            <w:tcW w:w="355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kern w:val="0"/>
                <w:szCs w:val="21"/>
              </w:rPr>
              <w:t>配备冷暖空调≥1.5匹，满足休息区环境使用要求，配备暖风机1套满足休息区使用要求。</w:t>
            </w:r>
          </w:p>
        </w:tc>
        <w:tc>
          <w:tcPr>
            <w:tcW w:w="90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1</w:t>
            </w:r>
          </w:p>
        </w:tc>
        <w:tc>
          <w:tcPr>
            <w:tcW w:w="91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套</w:t>
            </w:r>
          </w:p>
        </w:tc>
      </w:tr>
      <w:tr>
        <w:tblPrEx>
          <w:tblW w:w="8176" w:type="dxa"/>
          <w:jc w:val="center"/>
          <w:tblCellMar>
            <w:top w:w="0" w:type="dxa"/>
            <w:left w:w="108" w:type="dxa"/>
            <w:bottom w:w="0" w:type="dxa"/>
            <w:right w:w="108" w:type="dxa"/>
          </w:tblCellMar>
        </w:tblPrEx>
        <w:trPr>
          <w:jc w:val="center"/>
        </w:trPr>
        <w:tc>
          <w:tcPr>
            <w:tcW w:w="1277" w:type="dxa"/>
            <w:vMerge/>
            <w:tcBorders>
              <w:left w:val="single" w:sz="4" w:space="0" w:color="auto"/>
              <w:bottom w:val="single" w:sz="4" w:space="0" w:color="auto"/>
              <w:right w:val="single" w:sz="4" w:space="0" w:color="auto"/>
            </w:tcBorders>
            <w:vAlign w:val="center"/>
          </w:tcPr>
          <w:p>
            <w:pPr>
              <w:rPr>
                <w:rFonts w:ascii="宋体" w:hAnsi="宋体" w:cs="宋体"/>
                <w:kern w:val="0"/>
                <w:szCs w:val="21"/>
              </w:rPr>
            </w:pPr>
          </w:p>
        </w:tc>
        <w:tc>
          <w:tcPr>
            <w:tcW w:w="153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通信传输系统</w:t>
            </w:r>
          </w:p>
        </w:tc>
        <w:tc>
          <w:tcPr>
            <w:tcW w:w="355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kern w:val="0"/>
                <w:szCs w:val="21"/>
              </w:rPr>
              <w:t>配备北斗全球导航定位系统、4G/5G移动通信，用于提供方舱内部工作网络，联通探测、指挥和作业模组，以及方舱内部各类监控设备组网。</w:t>
            </w:r>
          </w:p>
        </w:tc>
        <w:tc>
          <w:tcPr>
            <w:tcW w:w="90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1</w:t>
            </w:r>
          </w:p>
        </w:tc>
        <w:tc>
          <w:tcPr>
            <w:tcW w:w="91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套</w:t>
            </w:r>
          </w:p>
        </w:tc>
      </w:tr>
    </w:tbl>
    <w:p>
      <w:pPr>
        <w:pStyle w:val="12"/>
        <w:widowControl/>
        <w:spacing w:line="360" w:lineRule="auto"/>
        <w:ind w:firstLine="0" w:firstLineChars="0"/>
        <w:contextualSpacing/>
        <w:jc w:val="left"/>
        <w:outlineLvl w:val="2"/>
        <w:rPr>
          <w:rFonts w:ascii="宋体" w:hAnsi="宋体"/>
          <w:b/>
          <w:bCs/>
          <w:spacing w:val="-10"/>
        </w:rPr>
      </w:pPr>
      <w:r>
        <w:rPr>
          <w:rFonts w:ascii="宋体" w:hAnsi="宋体" w:hint="eastAsia"/>
          <w:b/>
          <w:bCs/>
          <w:spacing w:val="-10"/>
        </w:rPr>
        <w:t>4.2车载监控子系统 （2套）</w:t>
      </w:r>
    </w:p>
    <w:p>
      <w:pPr>
        <w:spacing w:line="360" w:lineRule="auto"/>
        <w:ind w:firstLine="420" w:firstLineChars="200"/>
        <w:rPr>
          <w:rFonts w:ascii="宋体" w:hAnsi="宋体" w:cs="宋体"/>
          <w:szCs w:val="21"/>
        </w:rPr>
      </w:pPr>
      <w:r>
        <w:rPr>
          <w:rFonts w:ascii="宋体" w:hAnsi="宋体" w:cs="宋体" w:hint="eastAsia"/>
          <w:szCs w:val="21"/>
        </w:rPr>
        <w:t>具备高清显示、多路视频监控、环境监测、报警提示以及稳定的数据传输功能。</w:t>
      </w:r>
    </w:p>
    <w:p>
      <w:pPr>
        <w:spacing w:line="360" w:lineRule="auto"/>
        <w:ind w:firstLine="420" w:firstLineChars="200"/>
        <w:rPr>
          <w:rFonts w:ascii="宋体" w:hAnsi="宋体" w:cs="宋体"/>
          <w:szCs w:val="21"/>
        </w:rPr>
      </w:pPr>
      <w:r>
        <w:rPr>
          <w:rFonts w:ascii="宋体" w:hAnsi="宋体" w:cs="宋体" w:hint="eastAsia"/>
          <w:szCs w:val="21"/>
        </w:rPr>
        <w:t>车载监控子系统技术参数应符合或者高于下表要求：</w:t>
      </w:r>
    </w:p>
    <w:p>
      <w:pPr>
        <w:spacing w:line="360" w:lineRule="auto"/>
        <w:jc w:val="center"/>
        <w:rPr>
          <w:rFonts w:ascii="宋体" w:hAnsi="宋体"/>
          <w:spacing w:val="-10"/>
          <w:szCs w:val="21"/>
        </w:rPr>
      </w:pPr>
      <w:r>
        <w:rPr>
          <w:rFonts w:ascii="宋体" w:hAnsi="宋体" w:hint="eastAsia"/>
          <w:b/>
          <w:bCs/>
          <w:spacing w:val="-10"/>
          <w:szCs w:val="21"/>
        </w:rPr>
        <w:t>车载监控子系统技术参数</w:t>
      </w:r>
    </w:p>
    <w:tbl>
      <w:tblPr>
        <w:tblStyle w:val="13"/>
        <w:tblW w:w="81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939"/>
        <w:gridCol w:w="1879"/>
        <w:gridCol w:w="2541"/>
        <w:gridCol w:w="906"/>
        <w:gridCol w:w="911"/>
      </w:tblGrid>
      <w:tr>
        <w:tblPrEx>
          <w:tblW w:w="81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1939" w:type="dxa"/>
            <w:tcBorders>
              <w:top w:val="single" w:sz="4" w:space="0" w:color="auto"/>
              <w:left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系统</w:t>
            </w:r>
          </w:p>
        </w:tc>
        <w:tc>
          <w:tcPr>
            <w:tcW w:w="1879"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项目</w:t>
            </w:r>
          </w:p>
        </w:tc>
        <w:tc>
          <w:tcPr>
            <w:tcW w:w="254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参数</w:t>
            </w:r>
          </w:p>
        </w:tc>
        <w:tc>
          <w:tcPr>
            <w:tcW w:w="906"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数量</w:t>
            </w:r>
          </w:p>
        </w:tc>
        <w:tc>
          <w:tcPr>
            <w:tcW w:w="91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单位</w:t>
            </w:r>
          </w:p>
        </w:tc>
      </w:tr>
      <w:tr>
        <w:tblPrEx>
          <w:tblW w:w="8176" w:type="dxa"/>
          <w:jc w:val="center"/>
          <w:tblCellMar>
            <w:top w:w="0" w:type="dxa"/>
            <w:left w:w="108" w:type="dxa"/>
            <w:bottom w:w="0" w:type="dxa"/>
            <w:right w:w="108" w:type="dxa"/>
          </w:tblCellMar>
        </w:tblPrEx>
        <w:trPr>
          <w:jc w:val="center"/>
        </w:trPr>
        <w:tc>
          <w:tcPr>
            <w:tcW w:w="1939" w:type="dxa"/>
            <w:tcBorders>
              <w:left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舱内摄像机</w:t>
            </w:r>
          </w:p>
        </w:tc>
        <w:tc>
          <w:tcPr>
            <w:tcW w:w="4420" w:type="dxa"/>
            <w:gridSpan w:val="2"/>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POE 半球摄像机</w:t>
            </w:r>
          </w:p>
          <w:p>
            <w:pPr>
              <w:rPr>
                <w:rFonts w:ascii="宋体" w:hAnsi="宋体" w:cs="宋体"/>
                <w:kern w:val="0"/>
                <w:szCs w:val="21"/>
              </w:rPr>
            </w:pPr>
            <w:r>
              <w:rPr>
                <w:rFonts w:ascii="宋体" w:hAnsi="宋体" w:cs="宋体" w:hint="eastAsia"/>
                <w:kern w:val="0"/>
                <w:szCs w:val="21"/>
              </w:rPr>
              <w:t>支持夜间补光</w:t>
            </w:r>
          </w:p>
          <w:p>
            <w:pPr>
              <w:rPr>
                <w:rFonts w:ascii="宋体" w:hAnsi="宋体" w:cs="宋体"/>
                <w:kern w:val="0"/>
                <w:szCs w:val="21"/>
              </w:rPr>
            </w:pPr>
            <w:r>
              <w:rPr>
                <w:rFonts w:ascii="宋体" w:hAnsi="宋体" w:cs="宋体" w:hint="eastAsia"/>
                <w:kern w:val="0"/>
                <w:szCs w:val="21"/>
              </w:rPr>
              <w:t>支持接入全车视频监控系统</w:t>
            </w:r>
          </w:p>
        </w:tc>
        <w:tc>
          <w:tcPr>
            <w:tcW w:w="90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1</w:t>
            </w:r>
          </w:p>
        </w:tc>
        <w:tc>
          <w:tcPr>
            <w:tcW w:w="91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套</w:t>
            </w:r>
          </w:p>
        </w:tc>
      </w:tr>
      <w:tr>
        <w:tblPrEx>
          <w:tblW w:w="8176" w:type="dxa"/>
          <w:jc w:val="center"/>
          <w:tblCellMar>
            <w:top w:w="0" w:type="dxa"/>
            <w:left w:w="108" w:type="dxa"/>
            <w:bottom w:w="0" w:type="dxa"/>
            <w:right w:w="108" w:type="dxa"/>
          </w:tblCellMar>
        </w:tblPrEx>
        <w:trPr>
          <w:jc w:val="center"/>
        </w:trPr>
        <w:tc>
          <w:tcPr>
            <w:tcW w:w="1939" w:type="dxa"/>
            <w:vMerge w:val="restart"/>
            <w:tcBorders>
              <w:left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舱外摄像机</w:t>
            </w:r>
          </w:p>
        </w:tc>
        <w:tc>
          <w:tcPr>
            <w:tcW w:w="1879"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变倍</w:t>
            </w:r>
          </w:p>
        </w:tc>
        <w:tc>
          <w:tcPr>
            <w:tcW w:w="254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20 倍光学变焦</w:t>
            </w:r>
          </w:p>
        </w:tc>
        <w:tc>
          <w:tcPr>
            <w:tcW w:w="906" w:type="dxa"/>
            <w:vMerge w:val="restart"/>
            <w:tcBorders>
              <w:top w:val="single" w:sz="4" w:space="0" w:color="auto"/>
              <w:left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1</w:t>
            </w:r>
          </w:p>
        </w:tc>
        <w:tc>
          <w:tcPr>
            <w:tcW w:w="911" w:type="dxa"/>
            <w:vMerge w:val="restart"/>
            <w:tcBorders>
              <w:top w:val="single" w:sz="4" w:space="0" w:color="auto"/>
              <w:left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套</w:t>
            </w:r>
          </w:p>
        </w:tc>
      </w:tr>
      <w:tr>
        <w:tblPrEx>
          <w:tblW w:w="8176" w:type="dxa"/>
          <w:jc w:val="center"/>
          <w:tblCellMar>
            <w:top w:w="0" w:type="dxa"/>
            <w:left w:w="108" w:type="dxa"/>
            <w:bottom w:w="0" w:type="dxa"/>
            <w:right w:w="108" w:type="dxa"/>
          </w:tblCellMar>
        </w:tblPrEx>
        <w:trPr>
          <w:jc w:val="center"/>
        </w:trPr>
        <w:tc>
          <w:tcPr>
            <w:tcW w:w="1939" w:type="dxa"/>
            <w:vMerge/>
            <w:tcBorders>
              <w:left w:val="single" w:sz="4" w:space="0" w:color="auto"/>
              <w:right w:val="single" w:sz="4" w:space="0" w:color="auto"/>
            </w:tcBorders>
            <w:vAlign w:val="center"/>
          </w:tcPr>
          <w:p>
            <w:pPr>
              <w:rPr>
                <w:rFonts w:ascii="宋体" w:hAnsi="宋体" w:cs="宋体"/>
                <w:kern w:val="0"/>
                <w:szCs w:val="21"/>
              </w:rPr>
            </w:pPr>
          </w:p>
        </w:tc>
        <w:tc>
          <w:tcPr>
            <w:tcW w:w="1879"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焦距</w:t>
            </w:r>
          </w:p>
        </w:tc>
        <w:tc>
          <w:tcPr>
            <w:tcW w:w="254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f4.5～86mm</w:t>
            </w:r>
          </w:p>
        </w:tc>
        <w:tc>
          <w:tcPr>
            <w:tcW w:w="906" w:type="dxa"/>
            <w:vMerge/>
            <w:tcBorders>
              <w:left w:val="single" w:sz="4" w:space="0" w:color="auto"/>
              <w:right w:val="single" w:sz="4" w:space="0" w:color="auto"/>
            </w:tcBorders>
            <w:vAlign w:val="center"/>
          </w:tcPr>
          <w:p>
            <w:pPr>
              <w:jc w:val="center"/>
              <w:rPr>
                <w:rFonts w:ascii="宋体" w:hAnsi="宋体" w:cs="宋体"/>
                <w:kern w:val="0"/>
                <w:szCs w:val="21"/>
              </w:rPr>
            </w:pPr>
          </w:p>
        </w:tc>
        <w:tc>
          <w:tcPr>
            <w:tcW w:w="911" w:type="dxa"/>
            <w:vMerge/>
            <w:tcBorders>
              <w:left w:val="single" w:sz="4" w:space="0" w:color="auto"/>
              <w:right w:val="single" w:sz="4" w:space="0" w:color="auto"/>
            </w:tcBorders>
            <w:vAlign w:val="center"/>
          </w:tcPr>
          <w:p>
            <w:pPr>
              <w:jc w:val="center"/>
              <w:rPr>
                <w:rFonts w:ascii="宋体" w:hAnsi="宋体" w:cs="宋体"/>
                <w:kern w:val="0"/>
                <w:szCs w:val="21"/>
              </w:rPr>
            </w:pPr>
          </w:p>
        </w:tc>
      </w:tr>
      <w:tr>
        <w:tblPrEx>
          <w:tblW w:w="8176" w:type="dxa"/>
          <w:jc w:val="center"/>
          <w:tblCellMar>
            <w:top w:w="0" w:type="dxa"/>
            <w:left w:w="108" w:type="dxa"/>
            <w:bottom w:w="0" w:type="dxa"/>
            <w:right w:w="108" w:type="dxa"/>
          </w:tblCellMar>
        </w:tblPrEx>
        <w:trPr>
          <w:jc w:val="center"/>
        </w:trPr>
        <w:tc>
          <w:tcPr>
            <w:tcW w:w="1939" w:type="dxa"/>
            <w:vMerge/>
            <w:tcBorders>
              <w:left w:val="single" w:sz="4" w:space="0" w:color="auto"/>
              <w:right w:val="single" w:sz="4" w:space="0" w:color="auto"/>
            </w:tcBorders>
            <w:vAlign w:val="center"/>
          </w:tcPr>
          <w:p>
            <w:pPr>
              <w:rPr>
                <w:rFonts w:ascii="宋体" w:hAnsi="宋体" w:cs="宋体"/>
                <w:kern w:val="0"/>
                <w:szCs w:val="21"/>
              </w:rPr>
            </w:pPr>
          </w:p>
        </w:tc>
        <w:tc>
          <w:tcPr>
            <w:tcW w:w="1879"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图像传感器</w:t>
            </w:r>
          </w:p>
        </w:tc>
        <w:tc>
          <w:tcPr>
            <w:tcW w:w="254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1/2.8″2.0MP 逐行扫描 CMOS</w:t>
            </w:r>
          </w:p>
        </w:tc>
        <w:tc>
          <w:tcPr>
            <w:tcW w:w="906" w:type="dxa"/>
            <w:vMerge/>
            <w:tcBorders>
              <w:left w:val="single" w:sz="4" w:space="0" w:color="auto"/>
              <w:right w:val="single" w:sz="4" w:space="0" w:color="auto"/>
            </w:tcBorders>
            <w:vAlign w:val="center"/>
          </w:tcPr>
          <w:p>
            <w:pPr>
              <w:jc w:val="center"/>
              <w:rPr>
                <w:rFonts w:ascii="宋体" w:hAnsi="宋体" w:cs="宋体"/>
                <w:kern w:val="0"/>
                <w:szCs w:val="21"/>
              </w:rPr>
            </w:pPr>
          </w:p>
        </w:tc>
        <w:tc>
          <w:tcPr>
            <w:tcW w:w="911" w:type="dxa"/>
            <w:vMerge/>
            <w:tcBorders>
              <w:left w:val="single" w:sz="4" w:space="0" w:color="auto"/>
              <w:right w:val="single" w:sz="4" w:space="0" w:color="auto"/>
            </w:tcBorders>
            <w:vAlign w:val="center"/>
          </w:tcPr>
          <w:p>
            <w:pPr>
              <w:jc w:val="center"/>
              <w:rPr>
                <w:rFonts w:ascii="宋体" w:hAnsi="宋体" w:cs="宋体"/>
                <w:kern w:val="0"/>
                <w:szCs w:val="21"/>
              </w:rPr>
            </w:pPr>
          </w:p>
        </w:tc>
      </w:tr>
      <w:tr>
        <w:tblPrEx>
          <w:tblW w:w="8176" w:type="dxa"/>
          <w:jc w:val="center"/>
          <w:tblCellMar>
            <w:top w:w="0" w:type="dxa"/>
            <w:left w:w="108" w:type="dxa"/>
            <w:bottom w:w="0" w:type="dxa"/>
            <w:right w:w="108" w:type="dxa"/>
          </w:tblCellMar>
        </w:tblPrEx>
        <w:trPr>
          <w:jc w:val="center"/>
        </w:trPr>
        <w:tc>
          <w:tcPr>
            <w:tcW w:w="1939" w:type="dxa"/>
            <w:vMerge/>
            <w:tcBorders>
              <w:left w:val="single" w:sz="4" w:space="0" w:color="auto"/>
              <w:right w:val="single" w:sz="4" w:space="0" w:color="auto"/>
            </w:tcBorders>
            <w:vAlign w:val="center"/>
          </w:tcPr>
          <w:p>
            <w:pPr>
              <w:rPr>
                <w:rFonts w:ascii="宋体" w:hAnsi="宋体" w:cs="宋体"/>
                <w:kern w:val="0"/>
                <w:szCs w:val="21"/>
              </w:rPr>
            </w:pPr>
          </w:p>
        </w:tc>
        <w:tc>
          <w:tcPr>
            <w:tcW w:w="1879"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光圈</w:t>
            </w:r>
          </w:p>
        </w:tc>
        <w:tc>
          <w:tcPr>
            <w:tcW w:w="254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Fw1.6～Ft4.4</w:t>
            </w:r>
          </w:p>
        </w:tc>
        <w:tc>
          <w:tcPr>
            <w:tcW w:w="906" w:type="dxa"/>
            <w:vMerge/>
            <w:tcBorders>
              <w:left w:val="single" w:sz="4" w:space="0" w:color="auto"/>
              <w:right w:val="single" w:sz="4" w:space="0" w:color="auto"/>
            </w:tcBorders>
            <w:vAlign w:val="center"/>
          </w:tcPr>
          <w:p>
            <w:pPr>
              <w:jc w:val="center"/>
              <w:rPr>
                <w:rFonts w:ascii="宋体" w:hAnsi="宋体" w:cs="宋体"/>
                <w:kern w:val="0"/>
                <w:szCs w:val="21"/>
              </w:rPr>
            </w:pPr>
          </w:p>
        </w:tc>
        <w:tc>
          <w:tcPr>
            <w:tcW w:w="911" w:type="dxa"/>
            <w:vMerge/>
            <w:tcBorders>
              <w:left w:val="single" w:sz="4" w:space="0" w:color="auto"/>
              <w:right w:val="single" w:sz="4" w:space="0" w:color="auto"/>
            </w:tcBorders>
            <w:vAlign w:val="center"/>
          </w:tcPr>
          <w:p>
            <w:pPr>
              <w:jc w:val="center"/>
              <w:rPr>
                <w:rFonts w:ascii="宋体" w:hAnsi="宋体" w:cs="宋体"/>
                <w:kern w:val="0"/>
                <w:szCs w:val="21"/>
              </w:rPr>
            </w:pPr>
          </w:p>
        </w:tc>
      </w:tr>
      <w:tr>
        <w:tblPrEx>
          <w:tblW w:w="8176" w:type="dxa"/>
          <w:jc w:val="center"/>
          <w:tblCellMar>
            <w:top w:w="0" w:type="dxa"/>
            <w:left w:w="108" w:type="dxa"/>
            <w:bottom w:w="0" w:type="dxa"/>
            <w:right w:w="108" w:type="dxa"/>
          </w:tblCellMar>
        </w:tblPrEx>
        <w:trPr>
          <w:jc w:val="center"/>
        </w:trPr>
        <w:tc>
          <w:tcPr>
            <w:tcW w:w="1939" w:type="dxa"/>
            <w:vMerge/>
            <w:tcBorders>
              <w:left w:val="single" w:sz="4" w:space="0" w:color="auto"/>
              <w:right w:val="single" w:sz="4" w:space="0" w:color="auto"/>
            </w:tcBorders>
            <w:vAlign w:val="center"/>
          </w:tcPr>
          <w:p>
            <w:pPr>
              <w:rPr>
                <w:rFonts w:ascii="宋体" w:hAnsi="宋体" w:cs="宋体"/>
                <w:kern w:val="0"/>
                <w:szCs w:val="21"/>
              </w:rPr>
            </w:pPr>
          </w:p>
        </w:tc>
        <w:tc>
          <w:tcPr>
            <w:tcW w:w="1879"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白平衡、光圈、</w:t>
            </w:r>
          </w:p>
          <w:p>
            <w:pPr>
              <w:rPr>
                <w:rFonts w:ascii="宋体" w:hAnsi="宋体" w:cs="宋体"/>
                <w:kern w:val="0"/>
                <w:szCs w:val="21"/>
              </w:rPr>
            </w:pPr>
            <w:r>
              <w:rPr>
                <w:rFonts w:ascii="宋体" w:hAnsi="宋体" w:cs="宋体" w:hint="eastAsia"/>
                <w:kern w:val="0"/>
                <w:szCs w:val="21"/>
              </w:rPr>
              <w:t>聚焦</w:t>
            </w:r>
          </w:p>
        </w:tc>
        <w:tc>
          <w:tcPr>
            <w:tcW w:w="254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自动/手动</w:t>
            </w:r>
          </w:p>
        </w:tc>
        <w:tc>
          <w:tcPr>
            <w:tcW w:w="906" w:type="dxa"/>
            <w:vMerge/>
            <w:tcBorders>
              <w:left w:val="single" w:sz="4" w:space="0" w:color="auto"/>
              <w:right w:val="single" w:sz="4" w:space="0" w:color="auto"/>
            </w:tcBorders>
            <w:vAlign w:val="center"/>
          </w:tcPr>
          <w:p>
            <w:pPr>
              <w:jc w:val="center"/>
              <w:rPr>
                <w:rFonts w:ascii="宋体" w:hAnsi="宋体" w:cs="宋体"/>
                <w:kern w:val="0"/>
                <w:szCs w:val="21"/>
              </w:rPr>
            </w:pPr>
          </w:p>
        </w:tc>
        <w:tc>
          <w:tcPr>
            <w:tcW w:w="911" w:type="dxa"/>
            <w:vMerge/>
            <w:tcBorders>
              <w:left w:val="single" w:sz="4" w:space="0" w:color="auto"/>
              <w:right w:val="single" w:sz="4" w:space="0" w:color="auto"/>
            </w:tcBorders>
            <w:vAlign w:val="center"/>
          </w:tcPr>
          <w:p>
            <w:pPr>
              <w:jc w:val="center"/>
              <w:rPr>
                <w:rFonts w:ascii="宋体" w:hAnsi="宋体" w:cs="宋体"/>
                <w:kern w:val="0"/>
                <w:szCs w:val="21"/>
              </w:rPr>
            </w:pPr>
          </w:p>
        </w:tc>
      </w:tr>
      <w:tr>
        <w:tblPrEx>
          <w:tblW w:w="8176" w:type="dxa"/>
          <w:jc w:val="center"/>
          <w:tblCellMar>
            <w:top w:w="0" w:type="dxa"/>
            <w:left w:w="108" w:type="dxa"/>
            <w:bottom w:w="0" w:type="dxa"/>
            <w:right w:w="108" w:type="dxa"/>
          </w:tblCellMar>
        </w:tblPrEx>
        <w:trPr>
          <w:jc w:val="center"/>
        </w:trPr>
        <w:tc>
          <w:tcPr>
            <w:tcW w:w="1939" w:type="dxa"/>
            <w:vMerge/>
            <w:tcBorders>
              <w:left w:val="single" w:sz="4" w:space="0" w:color="auto"/>
              <w:right w:val="single" w:sz="4" w:space="0" w:color="auto"/>
            </w:tcBorders>
            <w:vAlign w:val="center"/>
          </w:tcPr>
          <w:p>
            <w:pPr>
              <w:rPr>
                <w:rFonts w:ascii="宋体" w:hAnsi="宋体" w:cs="宋体"/>
                <w:kern w:val="0"/>
                <w:szCs w:val="21"/>
              </w:rPr>
            </w:pPr>
          </w:p>
        </w:tc>
        <w:tc>
          <w:tcPr>
            <w:tcW w:w="1879"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视频压缩标准</w:t>
            </w:r>
          </w:p>
        </w:tc>
        <w:tc>
          <w:tcPr>
            <w:tcW w:w="254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H.265 / H.264</w:t>
            </w:r>
          </w:p>
        </w:tc>
        <w:tc>
          <w:tcPr>
            <w:tcW w:w="906" w:type="dxa"/>
            <w:vMerge/>
            <w:tcBorders>
              <w:left w:val="single" w:sz="4" w:space="0" w:color="auto"/>
              <w:right w:val="single" w:sz="4" w:space="0" w:color="auto"/>
            </w:tcBorders>
            <w:vAlign w:val="center"/>
          </w:tcPr>
          <w:p>
            <w:pPr>
              <w:jc w:val="center"/>
              <w:rPr>
                <w:rFonts w:ascii="宋体" w:hAnsi="宋体" w:cs="宋体"/>
                <w:kern w:val="0"/>
                <w:szCs w:val="21"/>
              </w:rPr>
            </w:pPr>
          </w:p>
        </w:tc>
        <w:tc>
          <w:tcPr>
            <w:tcW w:w="911" w:type="dxa"/>
            <w:vMerge/>
            <w:tcBorders>
              <w:left w:val="single" w:sz="4" w:space="0" w:color="auto"/>
              <w:right w:val="single" w:sz="4" w:space="0" w:color="auto"/>
            </w:tcBorders>
            <w:vAlign w:val="center"/>
          </w:tcPr>
          <w:p>
            <w:pPr>
              <w:jc w:val="center"/>
              <w:rPr>
                <w:rFonts w:ascii="宋体" w:hAnsi="宋体" w:cs="宋体"/>
                <w:kern w:val="0"/>
                <w:szCs w:val="21"/>
              </w:rPr>
            </w:pPr>
          </w:p>
        </w:tc>
      </w:tr>
      <w:tr>
        <w:tblPrEx>
          <w:tblW w:w="8176" w:type="dxa"/>
          <w:jc w:val="center"/>
          <w:tblCellMar>
            <w:top w:w="0" w:type="dxa"/>
            <w:left w:w="108" w:type="dxa"/>
            <w:bottom w:w="0" w:type="dxa"/>
            <w:right w:w="108" w:type="dxa"/>
          </w:tblCellMar>
        </w:tblPrEx>
        <w:trPr>
          <w:jc w:val="center"/>
        </w:trPr>
        <w:tc>
          <w:tcPr>
            <w:tcW w:w="1939" w:type="dxa"/>
            <w:vMerge/>
            <w:tcBorders>
              <w:left w:val="single" w:sz="4" w:space="0" w:color="auto"/>
              <w:right w:val="single" w:sz="4" w:space="0" w:color="auto"/>
            </w:tcBorders>
            <w:vAlign w:val="center"/>
          </w:tcPr>
          <w:p>
            <w:pPr>
              <w:rPr>
                <w:rFonts w:ascii="宋体" w:hAnsi="宋体" w:cs="宋体"/>
                <w:kern w:val="0"/>
                <w:szCs w:val="21"/>
              </w:rPr>
            </w:pPr>
          </w:p>
        </w:tc>
        <w:tc>
          <w:tcPr>
            <w:tcW w:w="1879"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水平角度</w:t>
            </w:r>
          </w:p>
        </w:tc>
        <w:tc>
          <w:tcPr>
            <w:tcW w:w="254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360°连续旋转</w:t>
            </w:r>
          </w:p>
        </w:tc>
        <w:tc>
          <w:tcPr>
            <w:tcW w:w="906" w:type="dxa"/>
            <w:vMerge/>
            <w:tcBorders>
              <w:left w:val="single" w:sz="4" w:space="0" w:color="auto"/>
              <w:right w:val="single" w:sz="4" w:space="0" w:color="auto"/>
            </w:tcBorders>
            <w:vAlign w:val="center"/>
          </w:tcPr>
          <w:p>
            <w:pPr>
              <w:jc w:val="center"/>
              <w:rPr>
                <w:rFonts w:ascii="宋体" w:hAnsi="宋体" w:cs="宋体"/>
                <w:kern w:val="0"/>
                <w:szCs w:val="21"/>
              </w:rPr>
            </w:pPr>
          </w:p>
        </w:tc>
        <w:tc>
          <w:tcPr>
            <w:tcW w:w="911" w:type="dxa"/>
            <w:vMerge/>
            <w:tcBorders>
              <w:left w:val="single" w:sz="4" w:space="0" w:color="auto"/>
              <w:right w:val="single" w:sz="4" w:space="0" w:color="auto"/>
            </w:tcBorders>
            <w:vAlign w:val="center"/>
          </w:tcPr>
          <w:p>
            <w:pPr>
              <w:jc w:val="center"/>
              <w:rPr>
                <w:rFonts w:ascii="宋体" w:hAnsi="宋体" w:cs="宋体"/>
                <w:kern w:val="0"/>
                <w:szCs w:val="21"/>
              </w:rPr>
            </w:pPr>
          </w:p>
        </w:tc>
      </w:tr>
      <w:tr>
        <w:tblPrEx>
          <w:tblW w:w="8176" w:type="dxa"/>
          <w:jc w:val="center"/>
          <w:tblCellMar>
            <w:top w:w="0" w:type="dxa"/>
            <w:left w:w="108" w:type="dxa"/>
            <w:bottom w:w="0" w:type="dxa"/>
            <w:right w:w="108" w:type="dxa"/>
          </w:tblCellMar>
        </w:tblPrEx>
        <w:trPr>
          <w:jc w:val="center"/>
        </w:trPr>
        <w:tc>
          <w:tcPr>
            <w:tcW w:w="1939" w:type="dxa"/>
            <w:vMerge/>
            <w:tcBorders>
              <w:left w:val="single" w:sz="4" w:space="0" w:color="auto"/>
              <w:right w:val="single" w:sz="4" w:space="0" w:color="auto"/>
            </w:tcBorders>
            <w:vAlign w:val="center"/>
          </w:tcPr>
          <w:p>
            <w:pPr>
              <w:rPr>
                <w:rFonts w:ascii="宋体" w:hAnsi="宋体" w:cs="宋体"/>
                <w:kern w:val="0"/>
                <w:szCs w:val="21"/>
              </w:rPr>
            </w:pPr>
          </w:p>
        </w:tc>
        <w:tc>
          <w:tcPr>
            <w:tcW w:w="1879"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俯仰角度</w:t>
            </w:r>
          </w:p>
        </w:tc>
        <w:tc>
          <w:tcPr>
            <w:tcW w:w="254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-90°～ +90°</w:t>
            </w:r>
          </w:p>
        </w:tc>
        <w:tc>
          <w:tcPr>
            <w:tcW w:w="906" w:type="dxa"/>
            <w:vMerge/>
            <w:tcBorders>
              <w:left w:val="single" w:sz="4" w:space="0" w:color="auto"/>
              <w:right w:val="single" w:sz="4" w:space="0" w:color="auto"/>
            </w:tcBorders>
            <w:vAlign w:val="center"/>
          </w:tcPr>
          <w:p>
            <w:pPr>
              <w:jc w:val="center"/>
              <w:rPr>
                <w:rFonts w:ascii="宋体" w:hAnsi="宋体" w:cs="宋体"/>
                <w:kern w:val="0"/>
                <w:szCs w:val="21"/>
              </w:rPr>
            </w:pPr>
          </w:p>
        </w:tc>
        <w:tc>
          <w:tcPr>
            <w:tcW w:w="911" w:type="dxa"/>
            <w:vMerge/>
            <w:tcBorders>
              <w:left w:val="single" w:sz="4" w:space="0" w:color="auto"/>
              <w:right w:val="single" w:sz="4" w:space="0" w:color="auto"/>
            </w:tcBorders>
            <w:vAlign w:val="center"/>
          </w:tcPr>
          <w:p>
            <w:pPr>
              <w:jc w:val="center"/>
              <w:rPr>
                <w:rFonts w:ascii="宋体" w:hAnsi="宋体" w:cs="宋体"/>
                <w:kern w:val="0"/>
                <w:szCs w:val="21"/>
              </w:rPr>
            </w:pPr>
          </w:p>
        </w:tc>
      </w:tr>
      <w:tr>
        <w:tblPrEx>
          <w:tblW w:w="8176" w:type="dxa"/>
          <w:jc w:val="center"/>
          <w:tblCellMar>
            <w:top w:w="0" w:type="dxa"/>
            <w:left w:w="108" w:type="dxa"/>
            <w:bottom w:w="0" w:type="dxa"/>
            <w:right w:w="108" w:type="dxa"/>
          </w:tblCellMar>
        </w:tblPrEx>
        <w:trPr>
          <w:jc w:val="center"/>
        </w:trPr>
        <w:tc>
          <w:tcPr>
            <w:tcW w:w="1939" w:type="dxa"/>
            <w:vMerge/>
            <w:tcBorders>
              <w:left w:val="single" w:sz="4" w:space="0" w:color="auto"/>
              <w:right w:val="single" w:sz="4" w:space="0" w:color="auto"/>
            </w:tcBorders>
            <w:vAlign w:val="center"/>
          </w:tcPr>
          <w:p>
            <w:pPr>
              <w:rPr>
                <w:rFonts w:ascii="宋体" w:hAnsi="宋体" w:cs="宋体"/>
                <w:kern w:val="0"/>
                <w:szCs w:val="21"/>
              </w:rPr>
            </w:pPr>
          </w:p>
        </w:tc>
        <w:tc>
          <w:tcPr>
            <w:tcW w:w="1879"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防护等级</w:t>
            </w:r>
          </w:p>
        </w:tc>
        <w:tc>
          <w:tcPr>
            <w:tcW w:w="254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kern w:val="0"/>
                <w:szCs w:val="21"/>
              </w:rPr>
              <w:t>≥</w:t>
            </w:r>
            <w:r>
              <w:rPr>
                <w:rFonts w:ascii="宋体" w:hAnsi="宋体" w:cs="宋体" w:hint="eastAsia"/>
                <w:kern w:val="0"/>
                <w:szCs w:val="21"/>
              </w:rPr>
              <w:t>IP66</w:t>
            </w:r>
          </w:p>
        </w:tc>
        <w:tc>
          <w:tcPr>
            <w:tcW w:w="906" w:type="dxa"/>
            <w:vMerge/>
            <w:tcBorders>
              <w:left w:val="single" w:sz="4" w:space="0" w:color="auto"/>
              <w:right w:val="single" w:sz="4" w:space="0" w:color="auto"/>
            </w:tcBorders>
            <w:vAlign w:val="center"/>
          </w:tcPr>
          <w:p>
            <w:pPr>
              <w:jc w:val="center"/>
              <w:rPr>
                <w:rFonts w:ascii="宋体" w:hAnsi="宋体" w:cs="宋体"/>
                <w:kern w:val="0"/>
                <w:szCs w:val="21"/>
              </w:rPr>
            </w:pPr>
          </w:p>
        </w:tc>
        <w:tc>
          <w:tcPr>
            <w:tcW w:w="911" w:type="dxa"/>
            <w:vMerge/>
            <w:tcBorders>
              <w:left w:val="single" w:sz="4" w:space="0" w:color="auto"/>
              <w:right w:val="single" w:sz="4" w:space="0" w:color="auto"/>
            </w:tcBorders>
            <w:vAlign w:val="center"/>
          </w:tcPr>
          <w:p>
            <w:pPr>
              <w:jc w:val="center"/>
              <w:rPr>
                <w:rFonts w:ascii="宋体" w:hAnsi="宋体" w:cs="宋体"/>
                <w:kern w:val="0"/>
                <w:szCs w:val="21"/>
              </w:rPr>
            </w:pPr>
          </w:p>
        </w:tc>
      </w:tr>
      <w:tr>
        <w:tblPrEx>
          <w:tblW w:w="8176" w:type="dxa"/>
          <w:jc w:val="center"/>
          <w:tblCellMar>
            <w:top w:w="0" w:type="dxa"/>
            <w:left w:w="108" w:type="dxa"/>
            <w:bottom w:w="0" w:type="dxa"/>
            <w:right w:w="108" w:type="dxa"/>
          </w:tblCellMar>
        </w:tblPrEx>
        <w:trPr>
          <w:jc w:val="center"/>
        </w:trPr>
        <w:tc>
          <w:tcPr>
            <w:tcW w:w="1939" w:type="dxa"/>
            <w:vMerge/>
            <w:tcBorders>
              <w:left w:val="single" w:sz="4" w:space="0" w:color="auto"/>
              <w:right w:val="single" w:sz="4" w:space="0" w:color="auto"/>
            </w:tcBorders>
            <w:vAlign w:val="center"/>
          </w:tcPr>
          <w:p>
            <w:pPr>
              <w:rPr>
                <w:rFonts w:ascii="宋体" w:hAnsi="宋体" w:cs="宋体"/>
                <w:kern w:val="0"/>
                <w:szCs w:val="21"/>
              </w:rPr>
            </w:pPr>
          </w:p>
        </w:tc>
        <w:tc>
          <w:tcPr>
            <w:tcW w:w="1879"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除雾除霜</w:t>
            </w:r>
          </w:p>
        </w:tc>
        <w:tc>
          <w:tcPr>
            <w:tcW w:w="254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支持</w:t>
            </w:r>
          </w:p>
        </w:tc>
        <w:tc>
          <w:tcPr>
            <w:tcW w:w="906" w:type="dxa"/>
            <w:vMerge/>
            <w:tcBorders>
              <w:left w:val="single" w:sz="4" w:space="0" w:color="auto"/>
              <w:right w:val="single" w:sz="4" w:space="0" w:color="auto"/>
            </w:tcBorders>
            <w:vAlign w:val="center"/>
          </w:tcPr>
          <w:p>
            <w:pPr>
              <w:jc w:val="center"/>
              <w:rPr>
                <w:rFonts w:ascii="宋体" w:hAnsi="宋体" w:cs="宋体"/>
                <w:kern w:val="0"/>
                <w:szCs w:val="21"/>
              </w:rPr>
            </w:pPr>
          </w:p>
        </w:tc>
        <w:tc>
          <w:tcPr>
            <w:tcW w:w="911" w:type="dxa"/>
            <w:vMerge/>
            <w:tcBorders>
              <w:left w:val="single" w:sz="4" w:space="0" w:color="auto"/>
              <w:right w:val="single" w:sz="4" w:space="0" w:color="auto"/>
            </w:tcBorders>
            <w:vAlign w:val="center"/>
          </w:tcPr>
          <w:p>
            <w:pPr>
              <w:jc w:val="center"/>
              <w:rPr>
                <w:rFonts w:ascii="宋体" w:hAnsi="宋体" w:cs="宋体"/>
                <w:kern w:val="0"/>
                <w:szCs w:val="21"/>
              </w:rPr>
            </w:pPr>
          </w:p>
        </w:tc>
      </w:tr>
      <w:tr>
        <w:tblPrEx>
          <w:tblW w:w="8176" w:type="dxa"/>
          <w:jc w:val="center"/>
          <w:tblCellMar>
            <w:top w:w="0" w:type="dxa"/>
            <w:left w:w="108" w:type="dxa"/>
            <w:bottom w:w="0" w:type="dxa"/>
            <w:right w:w="108" w:type="dxa"/>
          </w:tblCellMar>
        </w:tblPrEx>
        <w:trPr>
          <w:jc w:val="center"/>
        </w:trPr>
        <w:tc>
          <w:tcPr>
            <w:tcW w:w="1939" w:type="dxa"/>
            <w:vMerge/>
            <w:tcBorders>
              <w:left w:val="single" w:sz="4" w:space="0" w:color="auto"/>
              <w:right w:val="single" w:sz="4" w:space="0" w:color="auto"/>
            </w:tcBorders>
            <w:vAlign w:val="center"/>
          </w:tcPr>
          <w:p>
            <w:pPr>
              <w:rPr>
                <w:rFonts w:ascii="宋体" w:hAnsi="宋体" w:cs="宋体"/>
                <w:kern w:val="0"/>
                <w:szCs w:val="21"/>
              </w:rPr>
            </w:pPr>
          </w:p>
        </w:tc>
        <w:tc>
          <w:tcPr>
            <w:tcW w:w="1879"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其他</w:t>
            </w:r>
          </w:p>
        </w:tc>
        <w:tc>
          <w:tcPr>
            <w:tcW w:w="2541" w:type="dxa"/>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a)电机带断电自锁功能；</w:t>
            </w:r>
          </w:p>
          <w:p>
            <w:pPr>
              <w:rPr>
                <w:rFonts w:ascii="宋体" w:hAnsi="宋体" w:cs="宋体"/>
                <w:kern w:val="0"/>
                <w:szCs w:val="21"/>
              </w:rPr>
            </w:pPr>
            <w:r>
              <w:rPr>
                <w:rFonts w:ascii="宋体" w:hAnsi="宋体" w:cs="宋体" w:hint="eastAsia"/>
                <w:kern w:val="0"/>
                <w:szCs w:val="21"/>
              </w:rPr>
              <w:t>b)支持接入全车视频监控系统。</w:t>
            </w:r>
          </w:p>
        </w:tc>
        <w:tc>
          <w:tcPr>
            <w:tcW w:w="906" w:type="dxa"/>
            <w:vMerge/>
            <w:tcBorders>
              <w:left w:val="single" w:sz="4" w:space="0" w:color="auto"/>
              <w:bottom w:val="single" w:sz="4" w:space="0" w:color="auto"/>
              <w:right w:val="single" w:sz="4" w:space="0" w:color="auto"/>
            </w:tcBorders>
            <w:vAlign w:val="center"/>
          </w:tcPr>
          <w:p>
            <w:pPr>
              <w:jc w:val="center"/>
              <w:rPr>
                <w:rFonts w:ascii="宋体" w:hAnsi="宋体" w:cs="宋体"/>
                <w:kern w:val="0"/>
                <w:szCs w:val="21"/>
              </w:rPr>
            </w:pPr>
          </w:p>
        </w:tc>
        <w:tc>
          <w:tcPr>
            <w:tcW w:w="911" w:type="dxa"/>
            <w:vMerge/>
            <w:tcBorders>
              <w:left w:val="single" w:sz="4" w:space="0" w:color="auto"/>
              <w:bottom w:val="single" w:sz="4" w:space="0" w:color="auto"/>
              <w:right w:val="single" w:sz="4" w:space="0" w:color="auto"/>
            </w:tcBorders>
            <w:vAlign w:val="center"/>
          </w:tcPr>
          <w:p>
            <w:pPr>
              <w:jc w:val="center"/>
              <w:rPr>
                <w:rFonts w:ascii="宋体" w:hAnsi="宋体" w:cs="宋体"/>
                <w:kern w:val="0"/>
                <w:szCs w:val="21"/>
              </w:rPr>
            </w:pPr>
          </w:p>
        </w:tc>
      </w:tr>
      <w:tr>
        <w:tblPrEx>
          <w:tblW w:w="8176" w:type="dxa"/>
          <w:jc w:val="center"/>
          <w:tblCellMar>
            <w:top w:w="0" w:type="dxa"/>
            <w:left w:w="108" w:type="dxa"/>
            <w:bottom w:w="0" w:type="dxa"/>
            <w:right w:w="108" w:type="dxa"/>
          </w:tblCellMar>
        </w:tblPrEx>
        <w:trPr>
          <w:jc w:val="center"/>
        </w:trPr>
        <w:tc>
          <w:tcPr>
            <w:tcW w:w="1939" w:type="dxa"/>
            <w:tcBorders>
              <w:left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硬盘录像机</w:t>
            </w:r>
          </w:p>
        </w:tc>
        <w:tc>
          <w:tcPr>
            <w:tcW w:w="4420" w:type="dxa"/>
            <w:gridSpan w:val="2"/>
            <w:tcBorders>
              <w:top w:val="single" w:sz="4" w:space="0" w:color="auto"/>
              <w:left w:val="single" w:sz="4" w:space="0" w:color="auto"/>
              <w:bottom w:val="single" w:sz="4" w:space="0" w:color="auto"/>
              <w:right w:val="single" w:sz="4" w:space="0" w:color="auto"/>
            </w:tcBorders>
            <w:vAlign w:val="center"/>
          </w:tcPr>
          <w:p>
            <w:pPr>
              <w:numPr>
                <w:ilvl w:val="0"/>
                <w:numId w:val="17"/>
              </w:numPr>
              <w:rPr>
                <w:rFonts w:ascii="宋体" w:hAnsi="宋体" w:cs="宋体"/>
                <w:kern w:val="0"/>
                <w:szCs w:val="21"/>
              </w:rPr>
            </w:pPr>
            <w:r>
              <w:rPr>
                <w:rFonts w:ascii="宋体" w:hAnsi="宋体" w:cs="宋体" w:hint="eastAsia"/>
                <w:kern w:val="0"/>
                <w:szCs w:val="21"/>
              </w:rPr>
              <w:t>支持 4 路 1080P 视频输入；</w:t>
            </w:r>
          </w:p>
          <w:p>
            <w:pPr>
              <w:numPr>
                <w:ilvl w:val="0"/>
                <w:numId w:val="17"/>
              </w:numPr>
              <w:rPr>
                <w:rFonts w:ascii="宋体" w:hAnsi="宋体" w:cs="宋体"/>
                <w:kern w:val="0"/>
                <w:szCs w:val="21"/>
              </w:rPr>
            </w:pPr>
            <w:r>
              <w:rPr>
                <w:rFonts w:ascii="宋体" w:hAnsi="宋体" w:cs="宋体"/>
                <w:kern w:val="0"/>
                <w:szCs w:val="21"/>
              </w:rPr>
              <w:t>存储容量≥1T；</w:t>
            </w:r>
          </w:p>
          <w:p>
            <w:pPr>
              <w:numPr>
                <w:ilvl w:val="0"/>
                <w:numId w:val="17"/>
              </w:numPr>
              <w:rPr>
                <w:rFonts w:ascii="宋体" w:hAnsi="宋体" w:cs="宋体"/>
                <w:kern w:val="0"/>
                <w:szCs w:val="21"/>
              </w:rPr>
            </w:pPr>
            <w:r>
              <w:rPr>
                <w:rFonts w:ascii="宋体" w:hAnsi="宋体" w:cs="宋体"/>
                <w:kern w:val="0"/>
                <w:szCs w:val="21"/>
              </w:rPr>
              <w:t>支持 H.265/H.264 压缩模式。</w:t>
            </w:r>
          </w:p>
        </w:tc>
        <w:tc>
          <w:tcPr>
            <w:tcW w:w="90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1</w:t>
            </w:r>
          </w:p>
        </w:tc>
        <w:tc>
          <w:tcPr>
            <w:tcW w:w="91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套</w:t>
            </w:r>
          </w:p>
        </w:tc>
      </w:tr>
      <w:tr>
        <w:tblPrEx>
          <w:tblW w:w="8176" w:type="dxa"/>
          <w:jc w:val="center"/>
          <w:tblCellMar>
            <w:top w:w="0" w:type="dxa"/>
            <w:left w:w="108" w:type="dxa"/>
            <w:bottom w:w="0" w:type="dxa"/>
            <w:right w:w="108" w:type="dxa"/>
          </w:tblCellMar>
        </w:tblPrEx>
        <w:trPr>
          <w:jc w:val="center"/>
        </w:trPr>
        <w:tc>
          <w:tcPr>
            <w:tcW w:w="1939" w:type="dxa"/>
            <w:tcBorders>
              <w:left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环境监控系</w:t>
            </w:r>
          </w:p>
          <w:p>
            <w:pPr>
              <w:rPr>
                <w:rFonts w:ascii="宋体" w:hAnsi="宋体" w:cs="宋体"/>
                <w:kern w:val="0"/>
                <w:szCs w:val="21"/>
              </w:rPr>
            </w:pPr>
            <w:r>
              <w:rPr>
                <w:rFonts w:ascii="宋体" w:hAnsi="宋体" w:cs="宋体" w:hint="eastAsia"/>
                <w:kern w:val="0"/>
                <w:szCs w:val="21"/>
              </w:rPr>
              <w:t>统</w:t>
            </w:r>
          </w:p>
        </w:tc>
        <w:tc>
          <w:tcPr>
            <w:tcW w:w="4420" w:type="dxa"/>
            <w:gridSpan w:val="2"/>
            <w:tcBorders>
              <w:top w:val="single" w:sz="4" w:space="0" w:color="auto"/>
              <w:left w:val="single" w:sz="4" w:space="0" w:color="auto"/>
              <w:bottom w:val="single" w:sz="4" w:space="0" w:color="auto"/>
              <w:right w:val="single" w:sz="4" w:space="0" w:color="auto"/>
            </w:tcBorders>
            <w:vAlign w:val="center"/>
          </w:tcPr>
          <w:p>
            <w:pPr>
              <w:rPr>
                <w:rFonts w:ascii="宋体" w:hAnsi="宋体" w:cs="宋体"/>
                <w:kern w:val="0"/>
                <w:szCs w:val="21"/>
              </w:rPr>
            </w:pPr>
            <w:r>
              <w:rPr>
                <w:rFonts w:ascii="宋体" w:hAnsi="宋体" w:cs="宋体" w:hint="eastAsia"/>
                <w:kern w:val="0"/>
                <w:szCs w:val="21"/>
              </w:rPr>
              <w:t>a)</w:t>
            </w:r>
            <w:r>
              <w:rPr>
                <w:rFonts w:ascii="宋体" w:hAnsi="宋体" w:cs="宋体"/>
                <w:kern w:val="0"/>
                <w:szCs w:val="21"/>
              </w:rPr>
              <w:t>包括温湿度传感器、烟雾传感器，及监控主机，带声光报警功能</w:t>
            </w:r>
            <w:r>
              <w:rPr>
                <w:rFonts w:ascii="宋体" w:hAnsi="宋体" w:cs="宋体" w:hint="eastAsia"/>
                <w:kern w:val="0"/>
                <w:szCs w:val="21"/>
              </w:rPr>
              <w:t>；</w:t>
            </w:r>
          </w:p>
          <w:p>
            <w:pPr>
              <w:rPr>
                <w:rFonts w:ascii="宋体" w:hAnsi="宋体" w:cs="宋体"/>
                <w:kern w:val="0"/>
                <w:szCs w:val="21"/>
              </w:rPr>
            </w:pPr>
            <w:r>
              <w:rPr>
                <w:rFonts w:ascii="宋体" w:hAnsi="宋体" w:cs="宋体" w:hint="eastAsia"/>
                <w:kern w:val="0"/>
                <w:szCs w:val="21"/>
              </w:rPr>
              <w:t>b)</w:t>
            </w:r>
            <w:r>
              <w:rPr>
                <w:rFonts w:ascii="宋体" w:hAnsi="宋体" w:cs="宋体"/>
                <w:kern w:val="0"/>
                <w:szCs w:val="21"/>
              </w:rPr>
              <w:t>具备监控及报警信息本地显示，监控及报警信息上传功能。</w:t>
            </w:r>
          </w:p>
        </w:tc>
        <w:tc>
          <w:tcPr>
            <w:tcW w:w="90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1</w:t>
            </w:r>
          </w:p>
        </w:tc>
        <w:tc>
          <w:tcPr>
            <w:tcW w:w="91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kern w:val="0"/>
                <w:szCs w:val="21"/>
              </w:rPr>
            </w:pPr>
            <w:r>
              <w:rPr>
                <w:rFonts w:ascii="宋体" w:hAnsi="宋体" w:cs="宋体" w:hint="eastAsia"/>
                <w:kern w:val="0"/>
                <w:szCs w:val="21"/>
              </w:rPr>
              <w:t>套</w:t>
            </w:r>
          </w:p>
        </w:tc>
      </w:tr>
    </w:tbl>
    <w:p>
      <w:pPr>
        <w:pStyle w:val="12"/>
        <w:widowControl/>
        <w:spacing w:line="360" w:lineRule="auto"/>
        <w:ind w:firstLine="0" w:firstLineChars="0"/>
        <w:contextualSpacing/>
        <w:jc w:val="left"/>
        <w:outlineLvl w:val="2"/>
        <w:rPr>
          <w:rFonts w:ascii="宋体" w:hAnsi="宋体"/>
          <w:b/>
          <w:bCs/>
          <w:spacing w:val="-10"/>
        </w:rPr>
      </w:pPr>
      <w:r>
        <w:rPr>
          <w:rFonts w:ascii="宋体" w:hAnsi="宋体" w:hint="eastAsia"/>
          <w:b/>
          <w:bCs/>
          <w:spacing w:val="-10"/>
        </w:rPr>
        <w:t>4.3工作生活单元（2套）</w:t>
      </w:r>
    </w:p>
    <w:p>
      <w:pPr>
        <w:spacing w:line="360" w:lineRule="auto"/>
        <w:ind w:firstLine="420" w:firstLineChars="200"/>
        <w:rPr>
          <w:rFonts w:ascii="宋体" w:eastAsia="宋体" w:hAnsi="宋体" w:cs="Times New Roman"/>
          <w:szCs w:val="21"/>
        </w:rPr>
      </w:pPr>
      <w:r>
        <w:rPr>
          <w:rFonts w:ascii="宋体" w:hAnsi="宋体" w:cs="宋体"/>
          <w:szCs w:val="21"/>
        </w:rPr>
        <w:t>工作生活单元由饮水机、冰箱、电视机、折叠座椅、文件柜、灭火器、设备机柜、医疗急救箱、激光打印机、厨房工作台、电磁炉、微波炉、热水器、洗手池、坐便器、净水箱、灰水箱等组成。满足野外作业所需工作、生活、急救、安全、防火等基本需求。</w:t>
      </w:r>
    </w:p>
    <w:p>
      <w:pPr>
        <w:spacing w:line="360" w:lineRule="auto"/>
        <w:ind w:firstLine="420" w:firstLineChars="200"/>
        <w:rPr>
          <w:rFonts w:ascii="宋体" w:hAnsi="宋体"/>
          <w:szCs w:val="21"/>
        </w:rPr>
      </w:pPr>
      <w:r>
        <w:rPr>
          <w:rFonts w:ascii="宋体" w:hAnsi="宋体" w:hint="eastAsia"/>
          <w:szCs w:val="21"/>
        </w:rPr>
        <w:t>四、检验考核要求</w:t>
      </w:r>
    </w:p>
    <w:p>
      <w:pPr>
        <w:spacing w:line="360" w:lineRule="auto"/>
        <w:ind w:firstLine="420" w:firstLineChars="200"/>
        <w:rPr>
          <w:rFonts w:ascii="宋体" w:hAnsi="宋体"/>
          <w:szCs w:val="21"/>
        </w:rPr>
      </w:pPr>
      <w:r>
        <w:rPr>
          <w:rFonts w:ascii="宋体" w:hAnsi="宋体" w:hint="eastAsia"/>
          <w:szCs w:val="21"/>
        </w:rPr>
        <w:t>1.自合同签订之日起6个月内完成交货、设备出厂测试、整套系统集成安装、调试、项目验收等全部工作。中标人必须依照招标文件的要求和投标文件的承诺，将设备、系统安装并调试至正常运行的最佳状态。</w:t>
      </w:r>
    </w:p>
    <w:p>
      <w:pPr>
        <w:spacing w:line="360" w:lineRule="auto"/>
        <w:ind w:firstLine="420" w:firstLineChars="200"/>
        <w:rPr>
          <w:rFonts w:ascii="宋体" w:hAnsi="宋体"/>
          <w:szCs w:val="21"/>
        </w:rPr>
      </w:pPr>
      <w:r>
        <w:rPr>
          <w:rFonts w:ascii="宋体" w:hAnsi="宋体" w:hint="eastAsia"/>
          <w:szCs w:val="21"/>
        </w:rPr>
        <w:t>2.货物若有国家标准按照国家标准验收，若无国家标准按行业标准验收，为原制造商制造的全新产品，整机无污染，无侵权行为、表面无划损、无任何缺陷隐患，在中国境内可依常规安全合法使用。</w:t>
      </w:r>
    </w:p>
    <w:p>
      <w:pPr>
        <w:spacing w:line="360" w:lineRule="auto"/>
        <w:ind w:firstLine="420" w:firstLineChars="200"/>
        <w:rPr>
          <w:rFonts w:ascii="宋体" w:hAnsi="宋体"/>
          <w:szCs w:val="21"/>
        </w:rPr>
      </w:pPr>
      <w:r>
        <w:rPr>
          <w:rFonts w:ascii="宋体" w:hAnsi="宋体" w:hint="eastAsia"/>
          <w:szCs w:val="21"/>
        </w:rPr>
        <w:t>3.货物集成安装前为原厂商未启封全新包装，具出厂合格证，序列号、包装箱号与出厂批号一致，并可追索查阅。所有随设备的附件必须齐全。</w:t>
      </w:r>
    </w:p>
    <w:p>
      <w:pPr>
        <w:spacing w:line="360" w:lineRule="auto"/>
        <w:ind w:firstLine="420" w:firstLineChars="200"/>
        <w:rPr>
          <w:rFonts w:ascii="宋体" w:hAnsi="宋体"/>
          <w:szCs w:val="21"/>
        </w:rPr>
      </w:pPr>
      <w:r>
        <w:rPr>
          <w:rFonts w:ascii="宋体" w:hAnsi="宋体" w:hint="eastAsia"/>
          <w:szCs w:val="21"/>
        </w:rPr>
        <w:t>4.中标人应将关键主机设备的用户手册、保修手册、有关单证资料及配备件、随机工具等交付给用户，使用操作及安全须知等重要资料应附有中文说明。</w:t>
      </w:r>
    </w:p>
    <w:p>
      <w:pPr>
        <w:spacing w:line="360" w:lineRule="auto"/>
        <w:ind w:firstLine="420" w:firstLineChars="200"/>
        <w:rPr>
          <w:rFonts w:ascii="宋体" w:hAnsi="宋体"/>
          <w:szCs w:val="21"/>
        </w:rPr>
      </w:pPr>
      <w:r>
        <w:rPr>
          <w:rFonts w:ascii="宋体" w:hAnsi="宋体" w:hint="eastAsia"/>
          <w:szCs w:val="21"/>
        </w:rPr>
        <w:t>5.项目验收：设备安装调试完成，达到可使用状态后，投入实验试运行，系统运行稳定通过三方测试后，中标人书面向采购人提出验收申请，采购人接到申请后10个工作日内组织人员对系统进行验收，并在10个工作日内出具项目验收报告。采购人出具验收报告后，视为中标人已完成该期项目的交付。</w:t>
      </w:r>
    </w:p>
    <w:p>
      <w:pPr>
        <w:spacing w:line="360" w:lineRule="auto"/>
        <w:ind w:firstLine="420" w:firstLineChars="200"/>
        <w:rPr>
          <w:rFonts w:ascii="宋体" w:hAnsi="宋体"/>
          <w:szCs w:val="21"/>
        </w:rPr>
      </w:pPr>
      <w:r>
        <w:rPr>
          <w:rFonts w:ascii="宋体" w:hAnsi="宋体" w:hint="eastAsia"/>
          <w:szCs w:val="21"/>
        </w:rPr>
        <w:t>6.采购人组成验收小组按国家有关规定、规范进行验收。因货物质量问题发生争议时，由本地质量技术监督部门鉴定。货物符合质量技术标准的，鉴定费由采购人承担；否则鉴定费由中标人承担。</w:t>
      </w:r>
    </w:p>
    <w:p>
      <w:pPr>
        <w:spacing w:line="360" w:lineRule="auto"/>
        <w:ind w:firstLine="420" w:firstLineChars="200"/>
        <w:rPr>
          <w:rFonts w:ascii="宋体" w:hAnsi="宋体"/>
          <w:szCs w:val="21"/>
        </w:rPr>
      </w:pPr>
      <w:r>
        <w:rPr>
          <w:rFonts w:ascii="宋体" w:hAnsi="宋体" w:hint="eastAsia"/>
          <w:szCs w:val="21"/>
        </w:rPr>
        <w:t>7.如因第三方不可控原因导致工期延迟，中标人可视情况向采购人书面递交延期申请，采购人批复同意后，方可延期。</w:t>
      </w:r>
    </w:p>
    <w:p>
      <w:pPr>
        <w:spacing w:line="360" w:lineRule="auto"/>
        <w:ind w:firstLine="420" w:firstLineChars="200"/>
        <w:rPr>
          <w:rFonts w:ascii="宋体" w:hAnsi="宋体"/>
          <w:szCs w:val="21"/>
        </w:rPr>
      </w:pPr>
      <w:r>
        <w:rPr>
          <w:rFonts w:ascii="宋体" w:hAnsi="宋体" w:hint="eastAsia"/>
          <w:szCs w:val="21"/>
        </w:rPr>
        <w:t>8.因中标人原因不能完成交付的，采购人有权解除合同，并要求中标人退还预付款及承担违约责任。</w:t>
      </w:r>
    </w:p>
    <w:p>
      <w:pPr>
        <w:spacing w:line="360" w:lineRule="auto"/>
        <w:ind w:firstLine="420" w:firstLineChars="200"/>
        <w:rPr>
          <w:rFonts w:ascii="宋体" w:hAnsi="宋体"/>
          <w:szCs w:val="21"/>
        </w:rPr>
      </w:pPr>
      <w:r>
        <w:rPr>
          <w:rFonts w:ascii="宋体" w:hAnsi="宋体" w:hint="eastAsia"/>
          <w:szCs w:val="21"/>
        </w:rPr>
        <w:t>五、技术服务和质保期服务要求</w:t>
      </w:r>
    </w:p>
    <w:p>
      <w:pPr>
        <w:spacing w:line="360" w:lineRule="auto"/>
        <w:ind w:firstLine="420" w:firstLineChars="200"/>
        <w:rPr>
          <w:rFonts w:ascii="宋体" w:hAnsi="宋体"/>
          <w:szCs w:val="21"/>
        </w:rPr>
      </w:pPr>
      <w:r>
        <w:rPr>
          <w:rFonts w:ascii="宋体" w:hAnsi="宋体" w:hint="eastAsia"/>
          <w:szCs w:val="21"/>
        </w:rPr>
        <w:t>1.交付（实施）的时间（期限）和地点（范围）</w:t>
      </w:r>
    </w:p>
    <w:p>
      <w:pPr>
        <w:spacing w:line="360" w:lineRule="auto"/>
        <w:ind w:firstLine="420" w:firstLineChars="200"/>
        <w:rPr>
          <w:rFonts w:ascii="宋体" w:hAnsi="宋体"/>
          <w:szCs w:val="21"/>
        </w:rPr>
      </w:pPr>
      <w:r>
        <w:rPr>
          <w:rFonts w:ascii="宋体" w:hAnsi="宋体" w:hint="eastAsia"/>
          <w:szCs w:val="21"/>
        </w:rPr>
        <w:t>☑采购标的交付（实施）的时间（期限）：合同签订之日起6个月内完成。</w:t>
      </w:r>
    </w:p>
    <w:p>
      <w:pPr>
        <w:spacing w:line="360" w:lineRule="auto"/>
        <w:ind w:firstLine="420" w:firstLineChars="200"/>
        <w:rPr>
          <w:rFonts w:ascii="宋体" w:hAnsi="宋体"/>
          <w:szCs w:val="21"/>
        </w:rPr>
      </w:pPr>
      <w:r>
        <w:rPr>
          <w:rFonts w:ascii="宋体" w:hAnsi="宋体" w:hint="eastAsia"/>
          <w:szCs w:val="21"/>
        </w:rPr>
        <w:t>☑采购标的交付地点（范围）：按合同约定。</w:t>
      </w:r>
    </w:p>
    <w:p>
      <w:pPr>
        <w:spacing w:line="360" w:lineRule="auto"/>
        <w:ind w:firstLine="420" w:firstLineChars="200"/>
        <w:rPr>
          <w:rFonts w:ascii="宋体" w:hAnsi="宋体"/>
          <w:szCs w:val="21"/>
        </w:rPr>
      </w:pPr>
      <w:r>
        <w:rPr>
          <w:rFonts w:ascii="宋体" w:hAnsi="宋体" w:hint="eastAsia"/>
          <w:szCs w:val="21"/>
        </w:rPr>
        <w:t>2.付款条件（进度和方式）</w:t>
      </w:r>
    </w:p>
    <w:p>
      <w:pPr>
        <w:spacing w:line="360" w:lineRule="auto"/>
        <w:ind w:firstLine="420" w:firstLineChars="200"/>
        <w:rPr>
          <w:rFonts w:ascii="宋体" w:hAnsi="宋体"/>
          <w:szCs w:val="21"/>
        </w:rPr>
      </w:pPr>
      <w:r>
        <w:rPr>
          <w:rFonts w:ascii="宋体" w:hAnsi="宋体" w:hint="eastAsia"/>
          <w:szCs w:val="21"/>
        </w:rPr>
        <w:t>按合同约定。</w:t>
      </w:r>
    </w:p>
    <w:p>
      <w:pPr>
        <w:spacing w:line="360" w:lineRule="auto"/>
        <w:ind w:firstLine="420" w:firstLineChars="200"/>
        <w:rPr>
          <w:rFonts w:ascii="宋体" w:hAnsi="宋体"/>
          <w:szCs w:val="21"/>
        </w:rPr>
      </w:pPr>
      <w:r>
        <w:rPr>
          <w:rFonts w:ascii="宋体" w:hAnsi="宋体" w:hint="eastAsia"/>
          <w:szCs w:val="21"/>
        </w:rPr>
        <w:t>3.售后服务（质保期）（如适用）</w:t>
      </w:r>
    </w:p>
    <w:p>
      <w:pPr>
        <w:spacing w:line="360" w:lineRule="auto"/>
        <w:ind w:firstLine="420" w:firstLineChars="200"/>
        <w:rPr>
          <w:rFonts w:ascii="宋体" w:hAnsi="宋体"/>
          <w:szCs w:val="21"/>
        </w:rPr>
      </w:pPr>
      <w:r>
        <w:rPr>
          <w:rFonts w:ascii="宋体" w:hAnsi="宋体" w:hint="eastAsia"/>
          <w:szCs w:val="21"/>
        </w:rPr>
        <w:t>（1）提供7*24小时电话热线服务；</w:t>
      </w:r>
    </w:p>
    <w:p>
      <w:pPr>
        <w:spacing w:line="360" w:lineRule="auto"/>
        <w:ind w:firstLine="420" w:firstLineChars="200"/>
        <w:rPr>
          <w:rFonts w:ascii="宋体" w:hAnsi="宋体"/>
          <w:szCs w:val="21"/>
        </w:rPr>
      </w:pPr>
      <w:r>
        <w:rPr>
          <w:rFonts w:ascii="宋体" w:hAnsi="宋体" w:hint="eastAsia"/>
          <w:szCs w:val="21"/>
        </w:rPr>
        <w:t>（2）质保期内，采购人发现各设备不可用或其他质量问题等情况，应立即对相应部分进行处理，保证用户正常使用；</w:t>
      </w:r>
    </w:p>
    <w:p>
      <w:pPr>
        <w:spacing w:line="360" w:lineRule="auto"/>
        <w:ind w:firstLine="420" w:firstLineChars="200"/>
        <w:rPr>
          <w:rFonts w:ascii="宋体" w:hAnsi="宋体"/>
          <w:szCs w:val="21"/>
        </w:rPr>
      </w:pPr>
      <w:r>
        <w:rPr>
          <w:rFonts w:ascii="宋体" w:hAnsi="宋体" w:hint="eastAsia"/>
          <w:szCs w:val="21"/>
        </w:rPr>
        <w:t>（3）如确需上门服务的，在接到问题报告后24小时内派人到达现场；</w:t>
      </w:r>
    </w:p>
    <w:p>
      <w:pPr>
        <w:spacing w:line="360" w:lineRule="auto"/>
        <w:ind w:firstLine="420" w:firstLineChars="200"/>
        <w:rPr>
          <w:rFonts w:ascii="宋体" w:hAnsi="宋体"/>
          <w:szCs w:val="21"/>
        </w:rPr>
      </w:pPr>
      <w:r>
        <w:rPr>
          <w:rFonts w:ascii="宋体" w:hAnsi="宋体" w:hint="eastAsia"/>
          <w:szCs w:val="21"/>
        </w:rPr>
        <w:t>（4）质量保修范围和保修期：</w:t>
      </w:r>
    </w:p>
    <w:p>
      <w:pPr>
        <w:spacing w:line="360" w:lineRule="auto"/>
        <w:ind w:firstLine="420" w:firstLineChars="200"/>
        <w:rPr>
          <w:rFonts w:ascii="宋体" w:hAnsi="宋体"/>
          <w:szCs w:val="21"/>
        </w:rPr>
      </w:pPr>
      <w:r>
        <w:rPr>
          <w:rFonts w:ascii="宋体" w:hAnsi="宋体" w:hint="eastAsia"/>
          <w:szCs w:val="21"/>
          <w:highlight w:val="yellow"/>
        </w:rPr>
        <w:t>*本次采购除特殊质保要求以外其他所有内容质保期均为8年，保修期为自项目验收之日起计算，中标单位应根据项目要求建立售后服务体系，在保修期以及保修期外为用户提供广泛、及时的技术支持与售后服务。</w:t>
      </w:r>
    </w:p>
    <w:p>
      <w:pPr>
        <w:spacing w:line="360" w:lineRule="auto"/>
        <w:ind w:firstLine="420" w:firstLineChars="200"/>
        <w:rPr>
          <w:rFonts w:ascii="宋体" w:eastAsia="宋体" w:hAnsi="宋体" w:cs="Times New Roman"/>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7"/>
        <w:gridCol w:w="3522"/>
        <w:gridCol w:w="816"/>
        <w:gridCol w:w="1134"/>
        <w:gridCol w:w="1293"/>
        <w:gridCol w:w="816"/>
        <w:gridCol w:w="48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132" w:name="货物一览表_index"/>
            <w:r>
              <w:rPr>
                <w:rFonts w:asciiTheme="minorEastAsia" w:eastAsiaTheme="minorEastAsia" w:hAnsiTheme="minorEastAsia" w:cstheme="minorEastAsia" w:hint="eastAsia"/>
                <w:kern w:val="0"/>
                <w:szCs w:val="21"/>
              </w:rPr>
              <w:t>序号</w:t>
            </w:r>
            <w:bookmarkEnd w:id="132"/>
          </w:p>
        </w:tc>
        <w:tc>
          <w:tcPr>
            <w:tcW w:w="1135" w:type="dxa"/>
          </w:tcPr>
          <w:p>
            <w:pPr>
              <w:autoSpaceDE w:val="0"/>
              <w:jc w:val="center"/>
              <w:rPr>
                <w:rFonts w:asciiTheme="minorEastAsia" w:hAnsiTheme="minorEastAsia" w:cstheme="minorEastAsia"/>
                <w:kern w:val="0"/>
                <w:szCs w:val="21"/>
              </w:rPr>
            </w:pPr>
            <w:bookmarkStart w:id="133" w:name="货物一览表_goodsName"/>
            <w:r>
              <w:rPr>
                <w:rFonts w:asciiTheme="minorEastAsia" w:eastAsiaTheme="minorEastAsia" w:hAnsiTheme="minorEastAsia" w:cstheme="minorEastAsia" w:hint="eastAsia"/>
                <w:kern w:val="0"/>
                <w:szCs w:val="21"/>
              </w:rPr>
              <w:t>设备名称</w:t>
            </w:r>
            <w:bookmarkEnd w:id="133"/>
          </w:p>
        </w:tc>
        <w:tc>
          <w:tcPr>
            <w:tcW w:w="965" w:type="dxa"/>
          </w:tcPr>
          <w:p>
            <w:pPr>
              <w:autoSpaceDE w:val="0"/>
              <w:jc w:val="center"/>
              <w:rPr>
                <w:rFonts w:asciiTheme="minorEastAsia" w:hAnsiTheme="minorEastAsia" w:cstheme="minorEastAsia"/>
                <w:kern w:val="0"/>
                <w:szCs w:val="21"/>
              </w:rPr>
            </w:pPr>
            <w:bookmarkStart w:id="134" w:name="货物一览表_nums"/>
            <w:r>
              <w:rPr>
                <w:rFonts w:asciiTheme="minorEastAsia" w:eastAsiaTheme="minorEastAsia" w:hAnsiTheme="minorEastAsia" w:cstheme="minorEastAsia" w:hint="eastAsia"/>
                <w:kern w:val="0"/>
                <w:szCs w:val="21"/>
              </w:rPr>
              <w:t>采购数量</w:t>
            </w:r>
            <w:bookmarkEnd w:id="134"/>
          </w:p>
        </w:tc>
        <w:tc>
          <w:tcPr>
            <w:tcW w:w="1062" w:type="dxa"/>
          </w:tcPr>
          <w:p>
            <w:pPr>
              <w:autoSpaceDE w:val="0"/>
              <w:jc w:val="center"/>
              <w:rPr>
                <w:rFonts w:asciiTheme="minorEastAsia" w:hAnsiTheme="minorEastAsia" w:cstheme="minorEastAsia"/>
                <w:kern w:val="0"/>
                <w:szCs w:val="21"/>
              </w:rPr>
            </w:pPr>
            <w:bookmarkStart w:id="135" w:name="货物一览表_units"/>
            <w:r>
              <w:rPr>
                <w:rFonts w:asciiTheme="minorEastAsia" w:eastAsiaTheme="minorEastAsia" w:hAnsiTheme="minorEastAsia" w:cstheme="minorEastAsia" w:hint="eastAsia"/>
                <w:kern w:val="0"/>
                <w:szCs w:val="21"/>
              </w:rPr>
              <w:t>计量单位</w:t>
            </w:r>
            <w:bookmarkEnd w:id="135"/>
          </w:p>
        </w:tc>
        <w:tc>
          <w:tcPr>
            <w:tcW w:w="1220" w:type="dxa"/>
          </w:tcPr>
          <w:p>
            <w:pPr>
              <w:autoSpaceDE w:val="0"/>
              <w:jc w:val="center"/>
              <w:rPr>
                <w:rFonts w:asciiTheme="minorEastAsia" w:hAnsiTheme="minorEastAsia" w:cstheme="minorEastAsia"/>
                <w:kern w:val="0"/>
                <w:szCs w:val="21"/>
              </w:rPr>
            </w:pPr>
            <w:bookmarkStart w:id="136" w:name="货物一览表_procurementBudget"/>
            <w:r>
              <w:rPr>
                <w:rFonts w:asciiTheme="minorEastAsia" w:eastAsiaTheme="minorEastAsia" w:hAnsiTheme="minorEastAsia" w:cstheme="minorEastAsia" w:hint="eastAsia"/>
                <w:kern w:val="0"/>
                <w:szCs w:val="21"/>
              </w:rPr>
              <w:t>采购预算（元）</w:t>
            </w:r>
            <w:bookmarkEnd w:id="136"/>
          </w:p>
        </w:tc>
        <w:tc>
          <w:tcPr>
            <w:tcW w:w="1329" w:type="dxa"/>
          </w:tcPr>
          <w:p>
            <w:pPr>
              <w:autoSpaceDE w:val="0"/>
              <w:jc w:val="center"/>
              <w:rPr>
                <w:rFonts w:asciiTheme="minorEastAsia" w:hAnsiTheme="minorEastAsia" w:cstheme="minorEastAsia" w:hint="eastAsia"/>
                <w:kern w:val="0"/>
                <w:szCs w:val="21"/>
              </w:rPr>
            </w:pPr>
            <w:bookmarkStart w:id="13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137"/>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138" w:name="货物一览表_remark"/>
            <w:r>
              <w:rPr>
                <w:rFonts w:asciiTheme="minorEastAsia" w:eastAsiaTheme="minorEastAsia" w:hAnsiTheme="minorEastAsia" w:cstheme="minorEastAsia" w:hint="eastAsia"/>
                <w:kern w:val="0"/>
                <w:szCs w:val="21"/>
              </w:rPr>
              <w:t>备注</w:t>
            </w:r>
            <w:bookmarkEnd w:id="13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移动式火箭发射装置</w:t>
            </w:r>
          </w:p>
        </w:tc>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750,000.00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无线安全锁定发控器</w:t>
            </w:r>
          </w:p>
        </w:tc>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30,000.00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弹药临时储运箱</w:t>
            </w:r>
          </w:p>
        </w:tc>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480,000.00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工作生活单元</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1,400,000.00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载车平台（指挥模组）</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970,000.00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小型旋翼无人机</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800,000.00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7</w:t>
            </w:r>
          </w:p>
        </w:tc>
        <w:tc>
          <w:tcPr/>
          <w:p>
            <w:pPr>
              <w:autoSpaceDE w:val="0"/>
              <w:jc w:val="center"/>
              <w:rPr>
                <w:rFonts w:asciiTheme="minorEastAsia" w:hAnsiTheme="minorEastAsia" w:cstheme="minorEastAsia"/>
                <w:kern w:val="0"/>
                <w:szCs w:val="21"/>
              </w:rPr>
            </w:pPr>
            <w:r>
              <w:t>作业设备储运方舱（作业模组）</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1,700,000.00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8</w:t>
            </w:r>
          </w:p>
        </w:tc>
        <w:tc>
          <w:tcPr/>
          <w:p>
            <w:pPr>
              <w:autoSpaceDE w:val="0"/>
              <w:jc w:val="center"/>
              <w:rPr>
                <w:rFonts w:asciiTheme="minorEastAsia" w:hAnsiTheme="minorEastAsia" w:cstheme="minorEastAsia"/>
                <w:kern w:val="0"/>
                <w:szCs w:val="21"/>
              </w:rPr>
            </w:pPr>
            <w:r>
              <w:t>毫米波测云雷达（全固态Ka波段双偏振云雷达）</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4,400,000.00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9</w:t>
            </w:r>
          </w:p>
        </w:tc>
        <w:tc>
          <w:tcPr/>
          <w:p>
            <w:pPr>
              <w:autoSpaceDE w:val="0"/>
              <w:jc w:val="center"/>
              <w:rPr>
                <w:rFonts w:asciiTheme="minorEastAsia" w:hAnsiTheme="minorEastAsia" w:cstheme="minorEastAsia"/>
                <w:kern w:val="0"/>
                <w:szCs w:val="21"/>
              </w:rPr>
            </w:pPr>
            <w:r>
              <w:t>火箭作业安全监控终端</w:t>
            </w:r>
          </w:p>
        </w:tc>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78,000.00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10</w:t>
            </w:r>
          </w:p>
        </w:tc>
        <w:tc>
          <w:tcPr/>
          <w:p>
            <w:pPr>
              <w:autoSpaceDE w:val="0"/>
              <w:jc w:val="center"/>
              <w:rPr>
                <w:rFonts w:asciiTheme="minorEastAsia" w:hAnsiTheme="minorEastAsia" w:cstheme="minorEastAsia"/>
                <w:kern w:val="0"/>
                <w:szCs w:val="21"/>
              </w:rPr>
            </w:pPr>
            <w:r>
              <w:t>载车平台（探测模组）</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1,100,000.00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11</w:t>
            </w:r>
          </w:p>
        </w:tc>
        <w:tc>
          <w:tcPr/>
          <w:p>
            <w:pPr>
              <w:autoSpaceDE w:val="0"/>
              <w:jc w:val="center"/>
              <w:rPr>
                <w:rFonts w:asciiTheme="minorEastAsia" w:hAnsiTheme="minorEastAsia" w:cstheme="minorEastAsia"/>
                <w:kern w:val="0"/>
                <w:szCs w:val="21"/>
              </w:rPr>
            </w:pPr>
            <w:r>
              <w:t>激光云高仪</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1,000,000.00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12</w:t>
            </w:r>
          </w:p>
        </w:tc>
        <w:tc>
          <w:tcPr/>
          <w:p>
            <w:pPr>
              <w:autoSpaceDE w:val="0"/>
              <w:jc w:val="center"/>
              <w:rPr>
                <w:rFonts w:asciiTheme="minorEastAsia" w:hAnsiTheme="minorEastAsia" w:cstheme="minorEastAsia"/>
                <w:kern w:val="0"/>
                <w:szCs w:val="21"/>
              </w:rPr>
            </w:pPr>
            <w:r>
              <w:t>车载式方舱（探测模组）</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1,500,000.00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13</w:t>
            </w:r>
          </w:p>
        </w:tc>
        <w:tc>
          <w:tcPr/>
          <w:p>
            <w:pPr>
              <w:autoSpaceDE w:val="0"/>
              <w:jc w:val="center"/>
              <w:rPr>
                <w:rFonts w:asciiTheme="minorEastAsia" w:hAnsiTheme="minorEastAsia" w:cstheme="minorEastAsia"/>
                <w:kern w:val="0"/>
                <w:szCs w:val="21"/>
              </w:rPr>
            </w:pPr>
            <w:r>
              <w:t>人工影响天气决策支持数据接收处理分析平台</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1,600,000.00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14</w:t>
            </w:r>
          </w:p>
        </w:tc>
        <w:tc>
          <w:tcPr/>
          <w:p>
            <w:pPr>
              <w:autoSpaceDE w:val="0"/>
              <w:jc w:val="center"/>
              <w:rPr>
                <w:rFonts w:asciiTheme="minorEastAsia" w:hAnsiTheme="minorEastAsia" w:cstheme="minorEastAsia"/>
                <w:kern w:val="0"/>
                <w:szCs w:val="21"/>
              </w:rPr>
            </w:pPr>
            <w:r>
              <w:t>任务舱舱体（指挥模组）</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1,560,000.00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15</w:t>
            </w:r>
          </w:p>
        </w:tc>
        <w:tc>
          <w:tcPr/>
          <w:p>
            <w:pPr>
              <w:autoSpaceDE w:val="0"/>
              <w:jc w:val="center"/>
              <w:rPr>
                <w:rFonts w:asciiTheme="minorEastAsia" w:hAnsiTheme="minorEastAsia" w:cstheme="minorEastAsia"/>
                <w:kern w:val="0"/>
                <w:szCs w:val="21"/>
              </w:rPr>
            </w:pPr>
            <w:r>
              <w:t>无人机探测设备</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2,200,000.00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16</w:t>
            </w:r>
          </w:p>
        </w:tc>
        <w:tc>
          <w:tcPr/>
          <w:p>
            <w:pPr>
              <w:autoSpaceDE w:val="0"/>
              <w:jc w:val="center"/>
              <w:rPr>
                <w:rFonts w:asciiTheme="minorEastAsia" w:hAnsiTheme="minorEastAsia" w:cstheme="minorEastAsia"/>
                <w:kern w:val="0"/>
                <w:szCs w:val="21"/>
              </w:rPr>
            </w:pPr>
            <w:r>
              <w:t>液压转运平台</w:t>
            </w:r>
          </w:p>
        </w:tc>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42,000.00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17</w:t>
            </w:r>
          </w:p>
        </w:tc>
        <w:tc>
          <w:tcPr/>
          <w:p>
            <w:pPr>
              <w:autoSpaceDE w:val="0"/>
              <w:jc w:val="center"/>
              <w:rPr>
                <w:rFonts w:asciiTheme="minorEastAsia" w:hAnsiTheme="minorEastAsia" w:cstheme="minorEastAsia"/>
                <w:kern w:val="0"/>
                <w:szCs w:val="21"/>
              </w:rPr>
            </w:pPr>
            <w:r>
              <w:t>任务舱舱体（作业保障模组）</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1,400,000.00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18</w:t>
            </w:r>
          </w:p>
        </w:tc>
        <w:tc>
          <w:tcPr/>
          <w:p>
            <w:pPr>
              <w:autoSpaceDE w:val="0"/>
              <w:jc w:val="center"/>
              <w:rPr>
                <w:rFonts w:asciiTheme="minorEastAsia" w:hAnsiTheme="minorEastAsia" w:cstheme="minorEastAsia"/>
                <w:kern w:val="0"/>
                <w:szCs w:val="21"/>
              </w:rPr>
            </w:pPr>
            <w:r>
              <w:t>气象信息处理和显控席位</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610,000.00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19</w:t>
            </w:r>
          </w:p>
        </w:tc>
        <w:tc>
          <w:tcPr/>
          <w:p>
            <w:pPr>
              <w:autoSpaceDE w:val="0"/>
              <w:jc w:val="center"/>
              <w:rPr>
                <w:rFonts w:asciiTheme="minorEastAsia" w:hAnsiTheme="minorEastAsia" w:cstheme="minorEastAsia"/>
                <w:kern w:val="0"/>
                <w:szCs w:val="21"/>
              </w:rPr>
            </w:pPr>
            <w:r>
              <w:t>无人机作业单元</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12,800,000.00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20</w:t>
            </w:r>
          </w:p>
        </w:tc>
        <w:tc>
          <w:tcPr/>
          <w:p>
            <w:pPr>
              <w:autoSpaceDE w:val="0"/>
              <w:jc w:val="center"/>
              <w:rPr>
                <w:rFonts w:asciiTheme="minorEastAsia" w:hAnsiTheme="minorEastAsia" w:cstheme="minorEastAsia"/>
                <w:kern w:val="0"/>
                <w:szCs w:val="21"/>
              </w:rPr>
            </w:pPr>
            <w:r>
              <w:t>车载监控子系统</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400,000.00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21</w:t>
            </w:r>
          </w:p>
        </w:tc>
        <w:tc>
          <w:tcPr/>
          <w:p>
            <w:pPr>
              <w:autoSpaceDE w:val="0"/>
              <w:jc w:val="center"/>
              <w:rPr>
                <w:rFonts w:asciiTheme="minorEastAsia" w:hAnsiTheme="minorEastAsia" w:cstheme="minorEastAsia"/>
                <w:kern w:val="0"/>
                <w:szCs w:val="21"/>
              </w:rPr>
            </w:pPr>
            <w:r>
              <w:t>X波段相控阵雷达</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16,156,400.00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22</w:t>
            </w:r>
          </w:p>
        </w:tc>
        <w:tc>
          <w:tcPr/>
          <w:p>
            <w:pPr>
              <w:autoSpaceDE w:val="0"/>
              <w:jc w:val="center"/>
              <w:rPr>
                <w:rFonts w:asciiTheme="minorEastAsia" w:hAnsiTheme="minorEastAsia" w:cstheme="minorEastAsia"/>
                <w:kern w:val="0"/>
                <w:szCs w:val="21"/>
              </w:rPr>
            </w:pPr>
            <w:r>
              <w:t>六要素气象站（便携式自动气象站）</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500,000.00</w:t>
            </w:r>
          </w:p>
        </w:tc>
        <w:tc>
          <w:tcPr/>
          <w:p>
            <w:pPr>
              <w:autoSpaceDE w:val="0"/>
              <w:jc w:val="center"/>
              <w:rPr>
                <w:rFonts w:asciiTheme="minorEastAsia" w:hAnsiTheme="minorEastAsia" w:cstheme="minorEastAsia" w:hint="eastAsia"/>
                <w:kern w:val="0"/>
                <w:szCs w:val="21"/>
              </w:rPr>
            </w:pPr>
            <w:r>
              <w:t>180天内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51,476,400.00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31"/>
        <w:gridCol w:w="1741"/>
        <w:gridCol w:w="2912"/>
        <w:gridCol w:w="431"/>
        <w:gridCol w:w="982"/>
        <w:gridCol w:w="888"/>
        <w:gridCol w:w="706"/>
        <w:gridCol w:w="43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13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云南省气象局(001053001)</w:t>
            </w:r>
          </w:p>
        </w:tc>
        <w:tc>
          <w:tcPr/>
          <w:p>
            <w:r>
              <w:t>X波段相控阵雷达</w:t>
            </w:r>
          </w:p>
        </w:tc>
        <w:tc>
          <w:tcPr/>
          <w:p>
            <w:r>
              <w:t>2</w:t>
            </w:r>
          </w:p>
        </w:tc>
        <w:tc>
          <w:tcPr/>
          <w:p>
            <w:r>
              <w:t>16156400.00</w:t>
            </w:r>
          </w:p>
        </w:tc>
        <w:tc>
          <w:tcPr>
            <w:vMerge w:val="restart"/>
          </w:tcPr>
          <w:p>
            <w:r>
              <w:t xml:space="preserve">51476400.00  </w:t>
            </w:r>
          </w:p>
        </w:tc>
        <w:tc>
          <w:tcPr/>
          <w:p/>
        </w:tc>
        <w:tc>
          <w:tcPr/>
          <w:p/>
        </w:tc>
      </w:tr>
      <w:tr>
        <w:tblPrEx>
          <w:tblW w:w="5000" w:type="pct"/>
          <w:tblCellMar>
            <w:left w:w="108" w:type="dxa"/>
            <w:right w:w="108" w:type="dxa"/>
          </w:tblCellMar>
        </w:tblPrEx>
        <w:tc>
          <w:tcPr/>
          <w:p>
            <w:r>
              <w:t>2</w:t>
            </w:r>
          </w:p>
        </w:tc>
        <w:tc>
          <w:tcPr>
            <w:vMerge/>
          </w:tcPr>
          <w:p>
            <w:r>
              <w:t>云南省气象局(001053001)</w:t>
            </w:r>
          </w:p>
        </w:tc>
        <w:tc>
          <w:tcPr/>
          <w:p>
            <w:r>
              <w:t>人工影响天气决策支持数据接收处理分析平台</w:t>
            </w:r>
          </w:p>
        </w:tc>
        <w:tc>
          <w:tcPr/>
          <w:p>
            <w:r>
              <w:t>2</w:t>
            </w:r>
          </w:p>
        </w:tc>
        <w:tc>
          <w:tcPr/>
          <w:p>
            <w:r>
              <w:t>1600000.00</w:t>
            </w:r>
          </w:p>
        </w:tc>
        <w:tc>
          <w:tcPr>
            <w:vMerge/>
          </w:tcPr>
          <w:p>
            <w:r>
              <w:t xml:space="preserve">51476400.00  </w:t>
            </w:r>
          </w:p>
        </w:tc>
        <w:tc>
          <w:tcPr/>
          <w:p/>
        </w:tc>
        <w:tc>
          <w:tcPr/>
          <w:p/>
        </w:tc>
      </w:tr>
      <w:tr>
        <w:tblPrEx>
          <w:tblW w:w="5000" w:type="pct"/>
          <w:tblCellMar>
            <w:left w:w="108" w:type="dxa"/>
            <w:right w:w="108" w:type="dxa"/>
          </w:tblCellMar>
        </w:tblPrEx>
        <w:tc>
          <w:tcPr/>
          <w:p>
            <w:r>
              <w:t>3</w:t>
            </w:r>
          </w:p>
        </w:tc>
        <w:tc>
          <w:tcPr>
            <w:vMerge/>
          </w:tcPr>
          <w:p>
            <w:r>
              <w:t>云南省气象局(001053001)</w:t>
            </w:r>
          </w:p>
        </w:tc>
        <w:tc>
          <w:tcPr/>
          <w:p>
            <w:r>
              <w:t>任务舱舱体（作业保障模组）</w:t>
            </w:r>
          </w:p>
        </w:tc>
        <w:tc>
          <w:tcPr/>
          <w:p>
            <w:r>
              <w:t>2</w:t>
            </w:r>
          </w:p>
        </w:tc>
        <w:tc>
          <w:tcPr/>
          <w:p>
            <w:r>
              <w:t>1400000.00</w:t>
            </w:r>
          </w:p>
        </w:tc>
        <w:tc>
          <w:tcPr>
            <w:vMerge/>
          </w:tcPr>
          <w:p>
            <w:r>
              <w:t xml:space="preserve">51476400.00  </w:t>
            </w:r>
          </w:p>
        </w:tc>
        <w:tc>
          <w:tcPr/>
          <w:p/>
        </w:tc>
        <w:tc>
          <w:tcPr/>
          <w:p/>
        </w:tc>
      </w:tr>
      <w:tr>
        <w:tblPrEx>
          <w:tblW w:w="5000" w:type="pct"/>
          <w:tblCellMar>
            <w:left w:w="108" w:type="dxa"/>
            <w:right w:w="108" w:type="dxa"/>
          </w:tblCellMar>
        </w:tblPrEx>
        <w:tc>
          <w:tcPr/>
          <w:p>
            <w:r>
              <w:t>4</w:t>
            </w:r>
          </w:p>
        </w:tc>
        <w:tc>
          <w:tcPr>
            <w:vMerge/>
          </w:tcPr>
          <w:p>
            <w:r>
              <w:t>云南省气象局(001053001)</w:t>
            </w:r>
          </w:p>
        </w:tc>
        <w:tc>
          <w:tcPr/>
          <w:p>
            <w:r>
              <w:t>任务舱舱体（指挥模组）</w:t>
            </w:r>
          </w:p>
        </w:tc>
        <w:tc>
          <w:tcPr/>
          <w:p>
            <w:r>
              <w:t>2</w:t>
            </w:r>
          </w:p>
        </w:tc>
        <w:tc>
          <w:tcPr/>
          <w:p>
            <w:r>
              <w:t>1560000.00</w:t>
            </w:r>
          </w:p>
        </w:tc>
        <w:tc>
          <w:tcPr>
            <w:vMerge/>
          </w:tcPr>
          <w:p>
            <w:r>
              <w:t xml:space="preserve">51476400.00  </w:t>
            </w:r>
          </w:p>
        </w:tc>
        <w:tc>
          <w:tcPr/>
          <w:p/>
        </w:tc>
        <w:tc>
          <w:tcPr/>
          <w:p/>
        </w:tc>
      </w:tr>
      <w:tr>
        <w:tblPrEx>
          <w:tblW w:w="5000" w:type="pct"/>
          <w:tblCellMar>
            <w:left w:w="108" w:type="dxa"/>
            <w:right w:w="108" w:type="dxa"/>
          </w:tblCellMar>
        </w:tblPrEx>
        <w:tc>
          <w:tcPr/>
          <w:p>
            <w:r>
              <w:t>5</w:t>
            </w:r>
          </w:p>
        </w:tc>
        <w:tc>
          <w:tcPr>
            <w:vMerge/>
          </w:tcPr>
          <w:p>
            <w:r>
              <w:t>云南省气象局(001053001)</w:t>
            </w:r>
          </w:p>
        </w:tc>
        <w:tc>
          <w:tcPr/>
          <w:p>
            <w:r>
              <w:t>作业设备储运方舱（作业模组）</w:t>
            </w:r>
          </w:p>
        </w:tc>
        <w:tc>
          <w:tcPr/>
          <w:p>
            <w:r>
              <w:t>2</w:t>
            </w:r>
          </w:p>
        </w:tc>
        <w:tc>
          <w:tcPr/>
          <w:p>
            <w:r>
              <w:t>1700000.00</w:t>
            </w:r>
          </w:p>
        </w:tc>
        <w:tc>
          <w:tcPr>
            <w:vMerge/>
          </w:tcPr>
          <w:p>
            <w:r>
              <w:t xml:space="preserve">51476400.00  </w:t>
            </w:r>
          </w:p>
        </w:tc>
        <w:tc>
          <w:tcPr/>
          <w:p/>
        </w:tc>
        <w:tc>
          <w:tcPr/>
          <w:p/>
        </w:tc>
      </w:tr>
      <w:tr>
        <w:tblPrEx>
          <w:tblW w:w="5000" w:type="pct"/>
          <w:tblCellMar>
            <w:left w:w="108" w:type="dxa"/>
            <w:right w:w="108" w:type="dxa"/>
          </w:tblCellMar>
        </w:tblPrEx>
        <w:tc>
          <w:tcPr/>
          <w:p>
            <w:r>
              <w:t>6</w:t>
            </w:r>
          </w:p>
        </w:tc>
        <w:tc>
          <w:tcPr>
            <w:vMerge/>
          </w:tcPr>
          <w:p>
            <w:r>
              <w:t>云南省气象局(001053001)</w:t>
            </w:r>
          </w:p>
        </w:tc>
        <w:tc>
          <w:tcPr/>
          <w:p>
            <w:r>
              <w:t>六要素气象站（便携式自动气象站）</w:t>
            </w:r>
          </w:p>
        </w:tc>
        <w:tc>
          <w:tcPr/>
          <w:p>
            <w:r>
              <w:t>2</w:t>
            </w:r>
          </w:p>
        </w:tc>
        <w:tc>
          <w:tcPr/>
          <w:p>
            <w:r>
              <w:t>500000.00</w:t>
            </w:r>
          </w:p>
        </w:tc>
        <w:tc>
          <w:tcPr>
            <w:vMerge/>
          </w:tcPr>
          <w:p>
            <w:r>
              <w:t xml:space="preserve">51476400.00  </w:t>
            </w:r>
          </w:p>
        </w:tc>
        <w:tc>
          <w:tcPr/>
          <w:p/>
        </w:tc>
        <w:tc>
          <w:tcPr/>
          <w:p/>
        </w:tc>
      </w:tr>
      <w:tr>
        <w:tblPrEx>
          <w:tblW w:w="5000" w:type="pct"/>
          <w:tblCellMar>
            <w:left w:w="108" w:type="dxa"/>
            <w:right w:w="108" w:type="dxa"/>
          </w:tblCellMar>
        </w:tblPrEx>
        <w:tc>
          <w:tcPr/>
          <w:p>
            <w:r>
              <w:t>7</w:t>
            </w:r>
          </w:p>
        </w:tc>
        <w:tc>
          <w:tcPr>
            <w:vMerge/>
          </w:tcPr>
          <w:p>
            <w:r>
              <w:t>云南省气象局(001053001)</w:t>
            </w:r>
          </w:p>
        </w:tc>
        <w:tc>
          <w:tcPr/>
          <w:p>
            <w:r>
              <w:t>小型旋翼无人机</w:t>
            </w:r>
          </w:p>
        </w:tc>
        <w:tc>
          <w:tcPr/>
          <w:p>
            <w:r>
              <w:t>2</w:t>
            </w:r>
          </w:p>
        </w:tc>
        <w:tc>
          <w:tcPr/>
          <w:p>
            <w:r>
              <w:t>800000.00</w:t>
            </w:r>
          </w:p>
        </w:tc>
        <w:tc>
          <w:tcPr>
            <w:vMerge/>
          </w:tcPr>
          <w:p>
            <w:r>
              <w:t xml:space="preserve">51476400.00  </w:t>
            </w:r>
          </w:p>
        </w:tc>
        <w:tc>
          <w:tcPr/>
          <w:p/>
        </w:tc>
        <w:tc>
          <w:tcPr/>
          <w:p/>
        </w:tc>
      </w:tr>
      <w:tr>
        <w:tblPrEx>
          <w:tblW w:w="5000" w:type="pct"/>
          <w:tblCellMar>
            <w:left w:w="108" w:type="dxa"/>
            <w:right w:w="108" w:type="dxa"/>
          </w:tblCellMar>
        </w:tblPrEx>
        <w:tc>
          <w:tcPr/>
          <w:p>
            <w:r>
              <w:t>8</w:t>
            </w:r>
          </w:p>
        </w:tc>
        <w:tc>
          <w:tcPr>
            <w:vMerge/>
          </w:tcPr>
          <w:p>
            <w:r>
              <w:t>云南省气象局(001053001)</w:t>
            </w:r>
          </w:p>
        </w:tc>
        <w:tc>
          <w:tcPr/>
          <w:p>
            <w:r>
              <w:t>工作生活单元</w:t>
            </w:r>
          </w:p>
        </w:tc>
        <w:tc>
          <w:tcPr/>
          <w:p>
            <w:r>
              <w:t>2</w:t>
            </w:r>
          </w:p>
        </w:tc>
        <w:tc>
          <w:tcPr/>
          <w:p>
            <w:r>
              <w:t>1400000.00</w:t>
            </w:r>
          </w:p>
        </w:tc>
        <w:tc>
          <w:tcPr>
            <w:vMerge/>
          </w:tcPr>
          <w:p>
            <w:r>
              <w:t xml:space="preserve">51476400.00  </w:t>
            </w:r>
          </w:p>
        </w:tc>
        <w:tc>
          <w:tcPr/>
          <w:p/>
        </w:tc>
        <w:tc>
          <w:tcPr/>
          <w:p/>
        </w:tc>
      </w:tr>
      <w:tr>
        <w:tblPrEx>
          <w:tblW w:w="5000" w:type="pct"/>
          <w:tblCellMar>
            <w:left w:w="108" w:type="dxa"/>
            <w:right w:w="108" w:type="dxa"/>
          </w:tblCellMar>
        </w:tblPrEx>
        <w:tc>
          <w:tcPr/>
          <w:p>
            <w:r>
              <w:t>9</w:t>
            </w:r>
          </w:p>
        </w:tc>
        <w:tc>
          <w:tcPr>
            <w:vMerge/>
          </w:tcPr>
          <w:p>
            <w:r>
              <w:t>云南省气象局(001053001)</w:t>
            </w:r>
          </w:p>
        </w:tc>
        <w:tc>
          <w:tcPr/>
          <w:p>
            <w:r>
              <w:t>弹药临时储运箱</w:t>
            </w:r>
          </w:p>
        </w:tc>
        <w:tc>
          <w:tcPr/>
          <w:p>
            <w:r>
              <w:t>6</w:t>
            </w:r>
          </w:p>
        </w:tc>
        <w:tc>
          <w:tcPr/>
          <w:p>
            <w:r>
              <w:t>480000.00</w:t>
            </w:r>
          </w:p>
        </w:tc>
        <w:tc>
          <w:tcPr>
            <w:vMerge/>
          </w:tcPr>
          <w:p>
            <w:r>
              <w:t xml:space="preserve">51476400.00  </w:t>
            </w:r>
          </w:p>
        </w:tc>
        <w:tc>
          <w:tcPr/>
          <w:p/>
        </w:tc>
        <w:tc>
          <w:tcPr/>
          <w:p/>
        </w:tc>
      </w:tr>
      <w:tr>
        <w:tblPrEx>
          <w:tblW w:w="5000" w:type="pct"/>
          <w:tblCellMar>
            <w:left w:w="108" w:type="dxa"/>
            <w:right w:w="108" w:type="dxa"/>
          </w:tblCellMar>
        </w:tblPrEx>
        <w:tc>
          <w:tcPr/>
          <w:p>
            <w:r>
              <w:t>10</w:t>
            </w:r>
          </w:p>
        </w:tc>
        <w:tc>
          <w:tcPr>
            <w:vMerge/>
          </w:tcPr>
          <w:p>
            <w:r>
              <w:t>云南省气象局(001053001)</w:t>
            </w:r>
          </w:p>
        </w:tc>
        <w:tc>
          <w:tcPr/>
          <w:p>
            <w:r>
              <w:t>无人机作业单元</w:t>
            </w:r>
          </w:p>
        </w:tc>
        <w:tc>
          <w:tcPr/>
          <w:p>
            <w:r>
              <w:t>2</w:t>
            </w:r>
          </w:p>
        </w:tc>
        <w:tc>
          <w:tcPr/>
          <w:p>
            <w:r>
              <w:t>12800000.00</w:t>
            </w:r>
          </w:p>
        </w:tc>
        <w:tc>
          <w:tcPr>
            <w:vMerge/>
          </w:tcPr>
          <w:p>
            <w:r>
              <w:t xml:space="preserve">51476400.00  </w:t>
            </w:r>
          </w:p>
        </w:tc>
        <w:tc>
          <w:tcPr/>
          <w:p/>
        </w:tc>
        <w:tc>
          <w:tcPr/>
          <w:p/>
        </w:tc>
      </w:tr>
      <w:tr>
        <w:tblPrEx>
          <w:tblW w:w="5000" w:type="pct"/>
          <w:tblCellMar>
            <w:left w:w="108" w:type="dxa"/>
            <w:right w:w="108" w:type="dxa"/>
          </w:tblCellMar>
        </w:tblPrEx>
        <w:tc>
          <w:tcPr/>
          <w:p>
            <w:r>
              <w:t>11</w:t>
            </w:r>
          </w:p>
        </w:tc>
        <w:tc>
          <w:tcPr>
            <w:vMerge/>
          </w:tcPr>
          <w:p>
            <w:r>
              <w:t>云南省气象局(001053001)</w:t>
            </w:r>
          </w:p>
        </w:tc>
        <w:tc>
          <w:tcPr/>
          <w:p>
            <w:r>
              <w:t>无人机探测设备</w:t>
            </w:r>
          </w:p>
        </w:tc>
        <w:tc>
          <w:tcPr/>
          <w:p>
            <w:r>
              <w:t>2</w:t>
            </w:r>
          </w:p>
        </w:tc>
        <w:tc>
          <w:tcPr/>
          <w:p>
            <w:r>
              <w:t>2200000.00</w:t>
            </w:r>
          </w:p>
        </w:tc>
        <w:tc>
          <w:tcPr>
            <w:vMerge/>
          </w:tcPr>
          <w:p>
            <w:r>
              <w:t xml:space="preserve">51476400.00  </w:t>
            </w:r>
          </w:p>
        </w:tc>
        <w:tc>
          <w:tcPr/>
          <w:p/>
        </w:tc>
        <w:tc>
          <w:tcPr/>
          <w:p/>
        </w:tc>
      </w:tr>
      <w:tr>
        <w:tblPrEx>
          <w:tblW w:w="5000" w:type="pct"/>
          <w:tblCellMar>
            <w:left w:w="108" w:type="dxa"/>
            <w:right w:w="108" w:type="dxa"/>
          </w:tblCellMar>
        </w:tblPrEx>
        <w:tc>
          <w:tcPr/>
          <w:p>
            <w:r>
              <w:t>12</w:t>
            </w:r>
          </w:p>
        </w:tc>
        <w:tc>
          <w:tcPr>
            <w:vMerge/>
          </w:tcPr>
          <w:p>
            <w:r>
              <w:t>云南省气象局(001053001)</w:t>
            </w:r>
          </w:p>
        </w:tc>
        <w:tc>
          <w:tcPr/>
          <w:p>
            <w:r>
              <w:t>无线安全锁定发控器</w:t>
            </w:r>
          </w:p>
        </w:tc>
        <w:tc>
          <w:tcPr/>
          <w:p>
            <w:r>
              <w:t>6</w:t>
            </w:r>
          </w:p>
        </w:tc>
        <w:tc>
          <w:tcPr/>
          <w:p>
            <w:r>
              <w:t>30000.00</w:t>
            </w:r>
          </w:p>
        </w:tc>
        <w:tc>
          <w:tcPr>
            <w:vMerge/>
          </w:tcPr>
          <w:p>
            <w:r>
              <w:t xml:space="preserve">51476400.00  </w:t>
            </w:r>
          </w:p>
        </w:tc>
        <w:tc>
          <w:tcPr/>
          <w:p/>
        </w:tc>
        <w:tc>
          <w:tcPr/>
          <w:p/>
        </w:tc>
      </w:tr>
      <w:tr>
        <w:tblPrEx>
          <w:tblW w:w="5000" w:type="pct"/>
          <w:tblCellMar>
            <w:left w:w="108" w:type="dxa"/>
            <w:right w:w="108" w:type="dxa"/>
          </w:tblCellMar>
        </w:tblPrEx>
        <w:tc>
          <w:tcPr/>
          <w:p>
            <w:r>
              <w:t>13</w:t>
            </w:r>
          </w:p>
        </w:tc>
        <w:tc>
          <w:tcPr>
            <w:vMerge/>
          </w:tcPr>
          <w:p>
            <w:r>
              <w:t>云南省气象局(001053001)</w:t>
            </w:r>
          </w:p>
        </w:tc>
        <w:tc>
          <w:tcPr/>
          <w:p>
            <w:r>
              <w:t>毫米波测云雷达</w:t>
            </w:r>
          </w:p>
        </w:tc>
        <w:tc>
          <w:tcPr/>
          <w:p>
            <w:r>
              <w:t>2</w:t>
            </w:r>
          </w:p>
        </w:tc>
        <w:tc>
          <w:tcPr/>
          <w:p>
            <w:r>
              <w:t>4400000.00</w:t>
            </w:r>
          </w:p>
        </w:tc>
        <w:tc>
          <w:tcPr>
            <w:vMerge/>
          </w:tcPr>
          <w:p>
            <w:r>
              <w:t xml:space="preserve">51476400.00  </w:t>
            </w:r>
          </w:p>
        </w:tc>
        <w:tc>
          <w:tcPr/>
          <w:p/>
        </w:tc>
        <w:tc>
          <w:tcPr/>
          <w:p/>
        </w:tc>
      </w:tr>
      <w:tr>
        <w:tblPrEx>
          <w:tblW w:w="5000" w:type="pct"/>
          <w:tblCellMar>
            <w:left w:w="108" w:type="dxa"/>
            <w:right w:w="108" w:type="dxa"/>
          </w:tblCellMar>
        </w:tblPrEx>
        <w:tc>
          <w:tcPr/>
          <w:p>
            <w:r>
              <w:t>14</w:t>
            </w:r>
          </w:p>
        </w:tc>
        <w:tc>
          <w:tcPr>
            <w:vMerge/>
          </w:tcPr>
          <w:p>
            <w:r>
              <w:t>云南省气象局(001053001)</w:t>
            </w:r>
          </w:p>
        </w:tc>
        <w:tc>
          <w:tcPr/>
          <w:p>
            <w:r>
              <w:t>气象信息处理和显控席位</w:t>
            </w:r>
          </w:p>
        </w:tc>
        <w:tc>
          <w:tcPr/>
          <w:p>
            <w:r>
              <w:t>2</w:t>
            </w:r>
          </w:p>
        </w:tc>
        <w:tc>
          <w:tcPr/>
          <w:p>
            <w:r>
              <w:t>610000.00</w:t>
            </w:r>
          </w:p>
        </w:tc>
        <w:tc>
          <w:tcPr>
            <w:vMerge/>
          </w:tcPr>
          <w:p>
            <w:r>
              <w:t xml:space="preserve">51476400.00  </w:t>
            </w:r>
          </w:p>
        </w:tc>
        <w:tc>
          <w:tcPr/>
          <w:p/>
        </w:tc>
        <w:tc>
          <w:tcPr/>
          <w:p/>
        </w:tc>
      </w:tr>
      <w:tr>
        <w:tblPrEx>
          <w:tblW w:w="5000" w:type="pct"/>
          <w:tblCellMar>
            <w:left w:w="108" w:type="dxa"/>
            <w:right w:w="108" w:type="dxa"/>
          </w:tblCellMar>
        </w:tblPrEx>
        <w:tc>
          <w:tcPr/>
          <w:p>
            <w:r>
              <w:t>15</w:t>
            </w:r>
          </w:p>
        </w:tc>
        <w:tc>
          <w:tcPr>
            <w:vMerge/>
          </w:tcPr>
          <w:p>
            <w:r>
              <w:t>云南省气象局(001053001)</w:t>
            </w:r>
          </w:p>
        </w:tc>
        <w:tc>
          <w:tcPr/>
          <w:p>
            <w:r>
              <w:t>液压转运平台</w:t>
            </w:r>
          </w:p>
        </w:tc>
        <w:tc>
          <w:tcPr/>
          <w:p>
            <w:r>
              <w:t>6</w:t>
            </w:r>
          </w:p>
        </w:tc>
        <w:tc>
          <w:tcPr/>
          <w:p>
            <w:r>
              <w:t>42000.00</w:t>
            </w:r>
          </w:p>
        </w:tc>
        <w:tc>
          <w:tcPr>
            <w:vMerge/>
          </w:tcPr>
          <w:p>
            <w:r>
              <w:t xml:space="preserve">51476400.00  </w:t>
            </w:r>
          </w:p>
        </w:tc>
        <w:tc>
          <w:tcPr/>
          <w:p/>
        </w:tc>
        <w:tc>
          <w:tcPr/>
          <w:p/>
        </w:tc>
      </w:tr>
      <w:tr>
        <w:tblPrEx>
          <w:tblW w:w="5000" w:type="pct"/>
          <w:tblCellMar>
            <w:left w:w="108" w:type="dxa"/>
            <w:right w:w="108" w:type="dxa"/>
          </w:tblCellMar>
        </w:tblPrEx>
        <w:tc>
          <w:tcPr/>
          <w:p>
            <w:r>
              <w:t>16</w:t>
            </w:r>
          </w:p>
        </w:tc>
        <w:tc>
          <w:tcPr>
            <w:vMerge/>
          </w:tcPr>
          <w:p>
            <w:r>
              <w:t>云南省气象局(001053001)</w:t>
            </w:r>
          </w:p>
        </w:tc>
        <w:tc>
          <w:tcPr/>
          <w:p>
            <w:r>
              <w:t>激光云高仪</w:t>
            </w:r>
          </w:p>
        </w:tc>
        <w:tc>
          <w:tcPr/>
          <w:p>
            <w:r>
              <w:t>2</w:t>
            </w:r>
          </w:p>
        </w:tc>
        <w:tc>
          <w:tcPr/>
          <w:p>
            <w:r>
              <w:t>1000000.00</w:t>
            </w:r>
          </w:p>
        </w:tc>
        <w:tc>
          <w:tcPr>
            <w:vMerge/>
          </w:tcPr>
          <w:p>
            <w:r>
              <w:t xml:space="preserve">51476400.00  </w:t>
            </w:r>
          </w:p>
        </w:tc>
        <w:tc>
          <w:tcPr/>
          <w:p/>
        </w:tc>
        <w:tc>
          <w:tcPr/>
          <w:p/>
        </w:tc>
      </w:tr>
      <w:tr>
        <w:tblPrEx>
          <w:tblW w:w="5000" w:type="pct"/>
          <w:tblCellMar>
            <w:left w:w="108" w:type="dxa"/>
            <w:right w:w="108" w:type="dxa"/>
          </w:tblCellMar>
        </w:tblPrEx>
        <w:tc>
          <w:tcPr/>
          <w:p>
            <w:r>
              <w:t>17</w:t>
            </w:r>
          </w:p>
        </w:tc>
        <w:tc>
          <w:tcPr>
            <w:vMerge/>
          </w:tcPr>
          <w:p>
            <w:r>
              <w:t>云南省气象局(001053001)</w:t>
            </w:r>
          </w:p>
        </w:tc>
        <w:tc>
          <w:tcPr/>
          <w:p>
            <w:r>
              <w:t>火箭作业安全监控终端</w:t>
            </w:r>
          </w:p>
        </w:tc>
        <w:tc>
          <w:tcPr/>
          <w:p>
            <w:r>
              <w:t>6</w:t>
            </w:r>
          </w:p>
        </w:tc>
        <w:tc>
          <w:tcPr/>
          <w:p>
            <w:r>
              <w:t>78000.00</w:t>
            </w:r>
          </w:p>
        </w:tc>
        <w:tc>
          <w:tcPr>
            <w:vMerge/>
          </w:tcPr>
          <w:p>
            <w:r>
              <w:t xml:space="preserve">51476400.00  </w:t>
            </w:r>
          </w:p>
        </w:tc>
        <w:tc>
          <w:tcPr/>
          <w:p/>
        </w:tc>
        <w:tc>
          <w:tcPr/>
          <w:p/>
        </w:tc>
      </w:tr>
      <w:tr>
        <w:tblPrEx>
          <w:tblW w:w="5000" w:type="pct"/>
          <w:tblCellMar>
            <w:left w:w="108" w:type="dxa"/>
            <w:right w:w="108" w:type="dxa"/>
          </w:tblCellMar>
        </w:tblPrEx>
        <w:tc>
          <w:tcPr/>
          <w:p>
            <w:r>
              <w:t>18</w:t>
            </w:r>
          </w:p>
        </w:tc>
        <w:tc>
          <w:tcPr>
            <w:vMerge/>
          </w:tcPr>
          <w:p>
            <w:r>
              <w:t>云南省气象局(001053001)</w:t>
            </w:r>
          </w:p>
        </w:tc>
        <w:tc>
          <w:tcPr/>
          <w:p>
            <w:r>
              <w:t>移动式火箭发射装置</w:t>
            </w:r>
          </w:p>
        </w:tc>
        <w:tc>
          <w:tcPr/>
          <w:p>
            <w:r>
              <w:t>6</w:t>
            </w:r>
          </w:p>
        </w:tc>
        <w:tc>
          <w:tcPr/>
          <w:p>
            <w:r>
              <w:t>750000.00</w:t>
            </w:r>
          </w:p>
        </w:tc>
        <w:tc>
          <w:tcPr>
            <w:vMerge/>
          </w:tcPr>
          <w:p>
            <w:r>
              <w:t xml:space="preserve">51476400.00  </w:t>
            </w:r>
          </w:p>
        </w:tc>
        <w:tc>
          <w:tcPr/>
          <w:p/>
        </w:tc>
        <w:tc>
          <w:tcPr/>
          <w:p/>
        </w:tc>
      </w:tr>
      <w:tr>
        <w:tblPrEx>
          <w:tblW w:w="5000" w:type="pct"/>
          <w:tblCellMar>
            <w:left w:w="108" w:type="dxa"/>
            <w:right w:w="108" w:type="dxa"/>
          </w:tblCellMar>
        </w:tblPrEx>
        <w:tc>
          <w:tcPr/>
          <w:p>
            <w:r>
              <w:t>19</w:t>
            </w:r>
          </w:p>
        </w:tc>
        <w:tc>
          <w:tcPr>
            <w:vMerge/>
          </w:tcPr>
          <w:p>
            <w:r>
              <w:t>云南省气象局(001053001)</w:t>
            </w:r>
          </w:p>
        </w:tc>
        <w:tc>
          <w:tcPr/>
          <w:p>
            <w:r>
              <w:t>车载式方舱（探测模组）</w:t>
            </w:r>
          </w:p>
        </w:tc>
        <w:tc>
          <w:tcPr/>
          <w:p>
            <w:r>
              <w:t>2</w:t>
            </w:r>
          </w:p>
        </w:tc>
        <w:tc>
          <w:tcPr/>
          <w:p>
            <w:r>
              <w:t>1500000.00</w:t>
            </w:r>
          </w:p>
        </w:tc>
        <w:tc>
          <w:tcPr>
            <w:vMerge/>
          </w:tcPr>
          <w:p>
            <w:r>
              <w:t xml:space="preserve">51476400.00  </w:t>
            </w:r>
          </w:p>
        </w:tc>
        <w:tc>
          <w:tcPr/>
          <w:p/>
        </w:tc>
        <w:tc>
          <w:tcPr/>
          <w:p/>
        </w:tc>
      </w:tr>
      <w:tr>
        <w:tblPrEx>
          <w:tblW w:w="5000" w:type="pct"/>
          <w:tblCellMar>
            <w:left w:w="108" w:type="dxa"/>
            <w:right w:w="108" w:type="dxa"/>
          </w:tblCellMar>
        </w:tblPrEx>
        <w:tc>
          <w:tcPr/>
          <w:p>
            <w:r>
              <w:t>20</w:t>
            </w:r>
          </w:p>
        </w:tc>
        <w:tc>
          <w:tcPr>
            <w:vMerge/>
          </w:tcPr>
          <w:p>
            <w:r>
              <w:t>云南省气象局(001053001)</w:t>
            </w:r>
          </w:p>
        </w:tc>
        <w:tc>
          <w:tcPr/>
          <w:p>
            <w:r>
              <w:t>车载监控子系统</w:t>
            </w:r>
          </w:p>
        </w:tc>
        <w:tc>
          <w:tcPr/>
          <w:p>
            <w:r>
              <w:t>2</w:t>
            </w:r>
          </w:p>
        </w:tc>
        <w:tc>
          <w:tcPr/>
          <w:p>
            <w:r>
              <w:t>400000.00</w:t>
            </w:r>
          </w:p>
        </w:tc>
        <w:tc>
          <w:tcPr>
            <w:vMerge/>
          </w:tcPr>
          <w:p>
            <w:r>
              <w:t xml:space="preserve">51476400.00  </w:t>
            </w:r>
          </w:p>
        </w:tc>
        <w:tc>
          <w:tcPr/>
          <w:p/>
        </w:tc>
        <w:tc>
          <w:tcPr/>
          <w:p/>
        </w:tc>
      </w:tr>
      <w:tr>
        <w:tblPrEx>
          <w:tblW w:w="5000" w:type="pct"/>
          <w:tblCellMar>
            <w:left w:w="108" w:type="dxa"/>
            <w:right w:w="108" w:type="dxa"/>
          </w:tblCellMar>
        </w:tblPrEx>
        <w:tc>
          <w:tcPr/>
          <w:p>
            <w:r>
              <w:t>21</w:t>
            </w:r>
          </w:p>
        </w:tc>
        <w:tc>
          <w:tcPr>
            <w:vMerge/>
          </w:tcPr>
          <w:p>
            <w:r>
              <w:t>云南省气象局(001053001)</w:t>
            </w:r>
          </w:p>
        </w:tc>
        <w:tc>
          <w:tcPr/>
          <w:p>
            <w:r>
              <w:t>载车平台（指挥模组）</w:t>
            </w:r>
          </w:p>
        </w:tc>
        <w:tc>
          <w:tcPr/>
          <w:p>
            <w:r>
              <w:t>2</w:t>
            </w:r>
          </w:p>
        </w:tc>
        <w:tc>
          <w:tcPr/>
          <w:p>
            <w:r>
              <w:t>970000.00</w:t>
            </w:r>
          </w:p>
        </w:tc>
        <w:tc>
          <w:tcPr>
            <w:vMerge/>
          </w:tcPr>
          <w:p>
            <w:r>
              <w:t xml:space="preserve">51476400.00  </w:t>
            </w:r>
          </w:p>
        </w:tc>
        <w:tc>
          <w:tcPr/>
          <w:p/>
        </w:tc>
        <w:tc>
          <w:tcPr/>
          <w:p/>
        </w:tc>
      </w:tr>
      <w:tr>
        <w:tblPrEx>
          <w:tblW w:w="5000" w:type="pct"/>
          <w:tblCellMar>
            <w:left w:w="108" w:type="dxa"/>
            <w:right w:w="108" w:type="dxa"/>
          </w:tblCellMar>
        </w:tblPrEx>
        <w:tc>
          <w:tcPr/>
          <w:p>
            <w:r>
              <w:t>22</w:t>
            </w:r>
          </w:p>
        </w:tc>
        <w:tc>
          <w:tcPr>
            <w:vMerge/>
          </w:tcPr>
          <w:p>
            <w:r>
              <w:t>云南省气象局(001053001)</w:t>
            </w:r>
          </w:p>
        </w:tc>
        <w:tc>
          <w:tcPr/>
          <w:p>
            <w:r>
              <w:t>载车平台（探测模组）</w:t>
            </w:r>
          </w:p>
        </w:tc>
        <w:tc>
          <w:tcPr/>
          <w:p>
            <w:r>
              <w:t>2</w:t>
            </w:r>
          </w:p>
        </w:tc>
        <w:tc>
          <w:tcPr/>
          <w:p>
            <w:r>
              <w:t>1100000.00</w:t>
            </w:r>
          </w:p>
        </w:tc>
        <w:tc>
          <w:tcPr>
            <w:vMerge/>
          </w:tcPr>
          <w:p>
            <w:r>
              <w:t xml:space="preserve">51476400.00  </w:t>
            </w:r>
          </w:p>
        </w:tc>
        <w:tc>
          <w:tcPr/>
          <w:p/>
        </w:tc>
        <w:tc>
          <w:tcPr/>
          <w:p/>
        </w:tc>
      </w:tr>
    </w:tbl>
    <w:p w:rsidR="00A77B3E"/>
    <w:p>
      <w:pPr>
        <w:spacing w:line="360" w:lineRule="auto"/>
        <w:rPr>
          <w:rFonts w:ascii="宋体" w:hAnsi="宋体"/>
          <w:szCs w:val="21"/>
        </w:rPr>
      </w:pPr>
      <w:bookmarkEnd w:id="139"/>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140"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p>
      <w:pPr>
        <w:adjustRightInd w:val="0"/>
        <w:snapToGrid w:val="0"/>
        <w:spacing w:before="156" w:beforeLines="50" w:line="360" w:lineRule="auto"/>
        <w:ind w:firstLine="420"/>
        <w:rPr>
          <w:rFonts w:ascii="宋体" w:hAnsi="宋体"/>
          <w:szCs w:val="21"/>
        </w:rPr>
      </w:pP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9"/>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5.7</w:t>
            </w:r>
          </w:p>
        </w:tc>
        <w:tc>
          <w:tcPr>
            <w:tcW w:w="7347" w:type="dxa"/>
          </w:tcPr>
          <w:p>
            <w:pPr>
              <w:tabs>
                <w:tab w:val="left" w:pos="709"/>
              </w:tabs>
              <w:spacing w:line="360" w:lineRule="auto"/>
              <w:jc w:val="left"/>
              <w:rPr>
                <w:rFonts w:ascii="宋体" w:hAnsi="宋体" w:cs="微软雅黑"/>
                <w:b/>
                <w:kern w:val="0"/>
                <w:sz w:val="18"/>
                <w:szCs w:val="18"/>
              </w:rPr>
            </w:pPr>
            <w:r>
              <w:rPr>
                <w:rFonts w:asciiTheme="minorEastAsia" w:hAnsiTheme="minorEastAsia" w:cstheme="minorEastAsia" w:hint="eastAsia"/>
                <w:kern w:val="0"/>
                <w:szCs w:val="21"/>
              </w:rPr>
              <w:t>以下产品需要提供至投标截止日仍有效的《气象专用技术装备使用许可证》：1、便携式自动气象站，2、激光云高仪，3、全固态Ka波段双偏振云雷达。</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9"/>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3.3.1.1</w:t>
            </w:r>
          </w:p>
        </w:tc>
        <w:tc>
          <w:tcPr>
            <w:tcW w:w="7347" w:type="dxa"/>
            <w:vAlign w:val="center"/>
          </w:tcPr>
          <w:p>
            <w:pPr>
              <w:rPr>
                <w:rFonts w:ascii="宋体" w:hAnsi="宋体"/>
                <w:szCs w:val="21"/>
                <w:highlight w:val="yellow"/>
              </w:rPr>
            </w:pPr>
            <w:r>
              <w:rPr>
                <w:rFonts w:ascii="宋体" w:hAnsi="宋体"/>
                <w:szCs w:val="21"/>
                <w:highlight w:val="yellow"/>
              </w:rPr>
              <w:t>*（7）质保期≥2年，提供不少于2名飞手的培训，及不少于5年的易损和耗材。</w:t>
            </w:r>
          </w:p>
          <w:p>
            <w:pPr>
              <w:rPr>
                <w:rFonts w:ascii="宋体" w:hAnsi="宋体"/>
                <w:szCs w:val="21"/>
                <w:highlight w:val="yellow"/>
              </w:rPr>
            </w:pPr>
            <w:r>
              <w:rPr>
                <w:rFonts w:ascii="宋体" w:hAnsi="宋体"/>
                <w:szCs w:val="21"/>
                <w:highlight w:val="yellow"/>
              </w:rPr>
              <w:t>*（8）无人机运维服务:</w:t>
            </w:r>
          </w:p>
          <w:p>
            <w:pPr>
              <w:rPr>
                <w:rFonts w:ascii="宋体" w:hAnsi="宋体"/>
                <w:szCs w:val="21"/>
                <w:highlight w:val="yellow"/>
              </w:rPr>
            </w:pPr>
            <w:r>
              <w:rPr>
                <w:rFonts w:ascii="宋体" w:hAnsi="宋体" w:hint="eastAsia"/>
                <w:szCs w:val="21"/>
                <w:highlight w:val="yellow"/>
              </w:rPr>
              <w:t>为期</w:t>
            </w:r>
            <w:r>
              <w:rPr>
                <w:rFonts w:ascii="宋体" w:hAnsi="宋体"/>
                <w:szCs w:val="21"/>
                <w:highlight w:val="yellow"/>
              </w:rPr>
              <w:t>2年</w:t>
            </w:r>
            <w:r>
              <w:rPr>
                <w:rFonts w:ascii="宋体" w:hAnsi="宋体" w:hint="eastAsia"/>
                <w:szCs w:val="21"/>
                <w:highlight w:val="yellow"/>
              </w:rPr>
              <w:t>的</w:t>
            </w:r>
            <w:r>
              <w:rPr>
                <w:rFonts w:ascii="宋体" w:hAnsi="宋体"/>
                <w:szCs w:val="21"/>
                <w:highlight w:val="yellow"/>
              </w:rPr>
              <w:t>飞行服务(含人员、机场、空域、燃油费用，每年按服务4个月120小时计算）</w:t>
            </w:r>
            <w:r>
              <w:rPr>
                <w:rFonts w:ascii="宋体" w:hAnsi="宋体" w:hint="eastAsia"/>
                <w:szCs w:val="21"/>
                <w:highlight w:val="yellow"/>
              </w:rPr>
              <w:t>、</w:t>
            </w:r>
            <w:r>
              <w:rPr>
                <w:rFonts w:ascii="宋体" w:hAnsi="宋体"/>
                <w:szCs w:val="21"/>
                <w:highlight w:val="yellow"/>
              </w:rPr>
              <w:t xml:space="preserve">保险(飞机及载荷的机损险、三者险) </w:t>
            </w:r>
            <w:r>
              <w:rPr>
                <w:rFonts w:ascii="宋体" w:hAnsi="宋体" w:hint="eastAsia"/>
                <w:szCs w:val="21"/>
                <w:highlight w:val="yellow"/>
              </w:rPr>
              <w:t>等全部费用</w:t>
            </w:r>
            <w:r>
              <w:rPr>
                <w:rFonts w:ascii="宋体" w:hAnsi="宋体"/>
                <w:szCs w:val="21"/>
                <w:highlight w:val="yellow"/>
              </w:rPr>
              <w:t>。</w:t>
            </w:r>
          </w:p>
          <w:p>
            <w:pPr>
              <w:rPr>
                <w:rFonts w:ascii="宋体" w:hAnsi="宋体"/>
                <w:szCs w:val="21"/>
                <w:highlight w:val="yellow"/>
              </w:rPr>
            </w:pPr>
            <w:r>
              <w:rPr>
                <w:rFonts w:ascii="宋体" w:hAnsi="宋体"/>
                <w:szCs w:val="21"/>
                <w:highlight w:val="yellow"/>
              </w:rPr>
              <w:t>*（9）具备机载卫通设备，任务载荷带宽不小于2Mbps并包含2年期机载卫通设备的高通量流量无限量使用。</w:t>
            </w:r>
          </w:p>
          <w:p>
            <w:pPr>
              <w:rPr>
                <w:rFonts w:ascii="宋体" w:hAnsi="宋体"/>
                <w:szCs w:val="21"/>
                <w:highlight w:val="yellow"/>
              </w:rPr>
            </w:pP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9"/>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3.3.2.1</w:t>
            </w:r>
          </w:p>
        </w:tc>
        <w:tc>
          <w:tcPr>
            <w:tcW w:w="7347" w:type="dxa"/>
            <w:vAlign w:val="center"/>
          </w:tcPr>
          <w:p>
            <w:pPr>
              <w:rPr>
                <w:rFonts w:ascii="宋体" w:hAnsi="宋体"/>
                <w:szCs w:val="21"/>
                <w:highlight w:val="yellow"/>
              </w:rPr>
            </w:pPr>
            <w:r>
              <w:rPr>
                <w:rFonts w:ascii="宋体" w:hAnsi="宋体"/>
                <w:szCs w:val="21"/>
                <w:highlight w:val="yellow"/>
              </w:rPr>
              <w:t>（7）</w:t>
            </w:r>
            <w:bookmarkStart w:id="141" w:name="OLE_LINK1_0"/>
            <w:r>
              <w:rPr>
                <w:rFonts w:ascii="宋体" w:hAnsi="宋体"/>
                <w:szCs w:val="21"/>
                <w:highlight w:val="yellow"/>
              </w:rPr>
              <w:t>质保期≥2年，提供不少于2名飞手的培训，及不少于5年的易损和运维耗材。</w:t>
            </w:r>
            <w:bookmarkEnd w:id="141"/>
          </w:p>
          <w:p>
            <w:pPr>
              <w:pStyle w:val="p2"/>
              <w:widowControl/>
              <w:rPr>
                <w:rFonts w:ascii="宋体" w:eastAsia="宋体" w:hAnsi="宋体" w:cs="Times New Roman" w:hint="default"/>
                <w:color w:val="auto"/>
                <w:kern w:val="2"/>
                <w:highlight w:val="yellow"/>
              </w:rPr>
            </w:pPr>
            <w:r>
              <w:rPr>
                <w:rFonts w:ascii="宋体" w:eastAsia="宋体" w:hAnsi="宋体" w:cs="Times New Roman"/>
                <w:color w:val="auto"/>
                <w:kern w:val="2"/>
                <w:highlight w:val="yellow"/>
              </w:rPr>
              <w:t>（8）无人机运维服务：</w:t>
            </w:r>
          </w:p>
          <w:p>
            <w:pPr>
              <w:pStyle w:val="p2"/>
              <w:widowControl/>
              <w:ind w:firstLine="420" w:firstLineChars="200"/>
              <w:rPr>
                <w:rFonts w:ascii="宋体" w:eastAsia="宋体" w:hAnsi="宋体" w:cs="Times New Roman" w:hint="default"/>
                <w:color w:val="auto"/>
                <w:kern w:val="2"/>
                <w:highlight w:val="yellow"/>
              </w:rPr>
            </w:pPr>
            <w:r>
              <w:rPr>
                <w:rFonts w:ascii="宋体" w:eastAsia="宋体" w:hAnsi="宋体" w:cs="Times New Roman"/>
                <w:color w:val="auto"/>
                <w:kern w:val="2"/>
                <w:highlight w:val="yellow"/>
              </w:rPr>
              <w:t>为期2年的飞行服务(含人员、机场、空域、燃油费用，每年按服务4个月120小时计算）、保险(飞机及载荷的机损险、三者险) 等全部费用。</w:t>
            </w:r>
          </w:p>
          <w:p>
            <w:pPr>
              <w:pStyle w:val="p2"/>
              <w:widowControl/>
              <w:rPr>
                <w:rFonts w:ascii="宋体" w:eastAsia="宋体" w:hAnsi="宋体" w:cs="Times New Roman" w:hint="default"/>
                <w:color w:val="auto"/>
                <w:kern w:val="2"/>
                <w:highlight w:val="yellow"/>
              </w:rPr>
            </w:pPr>
            <w:r>
              <w:rPr>
                <w:rFonts w:ascii="宋体" w:eastAsia="宋体" w:hAnsi="宋体" w:cs="Times New Roman"/>
                <w:color w:val="auto"/>
                <w:kern w:val="2"/>
                <w:highlight w:val="yellow"/>
              </w:rPr>
              <w:t>（9）具备机载卫通设备，任务载荷带宽不小于2Mbps并包含2年期机载卫通设备的流量无限量使用；</w:t>
            </w:r>
          </w:p>
          <w:p>
            <w:pPr>
              <w:rPr>
                <w:rFonts w:ascii="宋体" w:hAnsi="宋体"/>
                <w:szCs w:val="21"/>
                <w:highlight w:val="yellow"/>
              </w:rPr>
            </w:pP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9"/>
              </w:numPr>
              <w:rPr>
                <w:rFonts w:ascii="宋体" w:hAnsi="宋体"/>
                <w:sz w:val="18"/>
                <w:szCs w:val="18"/>
              </w:rPr>
            </w:pPr>
          </w:p>
        </w:tc>
        <w:tc>
          <w:tcPr>
            <w:tcW w:w="898" w:type="dxa"/>
            <w:vAlign w:val="center"/>
          </w:tcPr>
          <w:p>
            <w:pPr>
              <w:jc w:val="center"/>
              <w:rPr>
                <w:rFonts w:ascii="宋体" w:hAnsi="宋体"/>
                <w:bCs/>
                <w:szCs w:val="21"/>
              </w:rPr>
            </w:pPr>
            <w:r>
              <w:rPr>
                <w:rFonts w:ascii="宋体" w:hAnsi="宋体" w:hint="eastAsia"/>
                <w:bCs/>
                <w:szCs w:val="21"/>
              </w:rPr>
              <w:t>5</w:t>
            </w:r>
            <w:r>
              <w:rPr>
                <w:rFonts w:ascii="宋体" w:hAnsi="宋体"/>
                <w:bCs/>
                <w:szCs w:val="21"/>
              </w:rPr>
              <w:t>.3.4</w:t>
            </w:r>
          </w:p>
        </w:tc>
        <w:tc>
          <w:tcPr>
            <w:tcW w:w="7347" w:type="dxa"/>
            <w:vAlign w:val="center"/>
          </w:tcPr>
          <w:p>
            <w:pPr>
              <w:rPr>
                <w:rFonts w:ascii="宋体" w:hAnsi="宋体"/>
                <w:szCs w:val="21"/>
              </w:rPr>
            </w:pPr>
            <w:r>
              <w:rPr>
                <w:rFonts w:ascii="宋体" w:hAnsi="宋体" w:hint="eastAsia"/>
                <w:szCs w:val="21"/>
                <w:highlight w:val="yellow"/>
              </w:rPr>
              <w:t>*本次采购除特殊质保要求以外其他所有内容质保期均为8年，保修期为自项目验收之日起计算，中标单位应根据项目要求建立售后服务体系，在保修期以及保修期外为用户提供广泛、及时的技术支持与售后服务。</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14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18"/>
        </w:numPr>
        <w:spacing w:line="360" w:lineRule="auto"/>
        <w:ind w:firstLine="3066" w:firstLineChars="1460"/>
        <w:jc w:val="left"/>
        <w:rPr>
          <w:rFonts w:hint="eastAsia"/>
          <w:b/>
          <w:bCs/>
          <w:szCs w:val="21"/>
          <w:highlight w:val="none"/>
        </w:rPr>
      </w:pPr>
      <w:bookmarkStart w:id="142"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143" w:name="_Toc3995"/>
    </w:p>
    <w:bookmarkEnd w:id="143"/>
    <w:p>
      <w:pPr>
        <w:autoSpaceDE w:val="0"/>
        <w:autoSpaceDN w:val="0"/>
        <w:adjustRightInd w:val="0"/>
        <w:spacing w:line="300" w:lineRule="auto"/>
        <w:ind w:right="-72"/>
        <w:rPr>
          <w:rFonts w:ascii="宋体" w:hAnsi="宋体" w:cs="宋体" w:hint="eastAsia"/>
          <w:color w:val="auto"/>
          <w:kern w:val="0"/>
          <w:highlight w:val="none"/>
        </w:rPr>
      </w:pPr>
      <w:r>
        <w:rPr>
          <w:rFonts w:ascii="宋体" w:hAnsi="宋体" w:cs="宋体" w:hint="eastAsia"/>
          <w:color w:val="auto"/>
          <w:kern w:val="0"/>
          <w:sz w:val="24"/>
          <w:szCs w:val="24"/>
          <w:highlight w:val="none"/>
        </w:rPr>
        <w:t>合同编号：                        项目编号：</w:t>
      </w:r>
    </w:p>
    <w:p>
      <w:pPr>
        <w:autoSpaceDE w:val="0"/>
        <w:autoSpaceDN w:val="0"/>
        <w:adjustRightInd w:val="0"/>
        <w:spacing w:line="300" w:lineRule="auto"/>
        <w:ind w:right="568"/>
        <w:rPr>
          <w:rFonts w:ascii="宋体" w:hAnsi="宋体" w:cs="宋体" w:hint="eastAsia"/>
          <w:color w:val="auto"/>
          <w:kern w:val="0"/>
          <w:highlight w:val="none"/>
        </w:rPr>
      </w:pPr>
      <w:r>
        <w:rPr>
          <w:rFonts w:ascii="宋体" w:hAnsi="宋体" w:cs="宋体" w:hint="eastAsia"/>
          <w:color w:val="auto"/>
          <w:kern w:val="0"/>
          <w:sz w:val="32"/>
          <w:szCs w:val="32"/>
          <w:highlight w:val="none"/>
        </w:rPr>
        <w:t>●</w:t>
      </w:r>
      <w:r>
        <w:rPr>
          <w:rFonts w:ascii="宋体" w:hAnsi="宋体" w:cs="宋体" w:hint="eastAsia"/>
          <w:color w:val="auto"/>
          <w:kern w:val="0"/>
          <w:sz w:val="24"/>
          <w:szCs w:val="24"/>
          <w:highlight w:val="none"/>
        </w:rPr>
        <w:t>本合同须加盖甲乙双方骑缝章有效</w:t>
      </w:r>
    </w:p>
    <w:p>
      <w:pPr>
        <w:pStyle w:val="BodyText"/>
        <w:rPr>
          <w:color w:val="auto"/>
          <w:highlight w:val="none"/>
        </w:rPr>
      </w:pPr>
    </w:p>
    <w:p>
      <w:pPr>
        <w:widowControl/>
        <w:jc w:val="center"/>
        <w:rPr>
          <w:rFonts w:ascii="宋体" w:eastAsia="宋体" w:hAnsi="宋体" w:hint="eastAsia"/>
          <w:b/>
          <w:bCs/>
          <w:color w:val="auto"/>
          <w:sz w:val="44"/>
          <w:szCs w:val="44"/>
          <w:highlight w:val="none"/>
        </w:rPr>
      </w:pPr>
      <w:r>
        <w:rPr>
          <w:rFonts w:ascii="宋体" w:eastAsia="宋体" w:hAnsi="宋体"/>
          <w:b/>
          <w:bCs/>
          <w:color w:val="auto"/>
          <w:sz w:val="44"/>
          <w:szCs w:val="44"/>
          <w:highlight w:val="none"/>
        </w:rPr>
        <w:t>云南省人工影响天气水资源保障工程</w:t>
      </w:r>
    </w:p>
    <w:p>
      <w:pPr>
        <w:widowControl/>
        <w:jc w:val="center"/>
        <w:rPr>
          <w:rFonts w:ascii="宋体" w:eastAsia="宋体" w:hAnsi="宋体" w:hint="eastAsia"/>
          <w:b/>
          <w:bCs/>
          <w:color w:val="auto"/>
          <w:sz w:val="44"/>
          <w:szCs w:val="44"/>
          <w:highlight w:val="none"/>
        </w:rPr>
      </w:pPr>
      <w:r>
        <w:rPr>
          <w:rFonts w:ascii="宋体" w:eastAsia="宋体" w:hAnsi="宋体"/>
          <w:b/>
          <w:bCs/>
          <w:color w:val="auto"/>
          <w:sz w:val="44"/>
          <w:szCs w:val="44"/>
          <w:highlight w:val="none"/>
        </w:rPr>
        <w:t>（机动集成作业系统</w:t>
      </w:r>
      <w:r>
        <w:rPr>
          <w:rFonts w:ascii="宋体" w:eastAsia="宋体" w:hAnsi="宋体" w:hint="eastAsia"/>
          <w:b/>
          <w:bCs/>
          <w:color w:val="auto"/>
          <w:sz w:val="44"/>
          <w:szCs w:val="44"/>
          <w:highlight w:val="none"/>
          <w:lang w:val="en-US" w:eastAsia="zh-CN"/>
        </w:rPr>
        <w:t>建设</w:t>
      </w:r>
      <w:r>
        <w:rPr>
          <w:rFonts w:ascii="宋体" w:eastAsia="宋体" w:hAnsi="宋体"/>
          <w:b/>
          <w:bCs/>
          <w:color w:val="auto"/>
          <w:sz w:val="44"/>
          <w:szCs w:val="44"/>
          <w:highlight w:val="none"/>
        </w:rPr>
        <w:t>）</w:t>
      </w:r>
    </w:p>
    <w:p>
      <w:pPr>
        <w:widowControl/>
        <w:spacing w:after="240"/>
        <w:jc w:val="center"/>
        <w:rPr>
          <w:color w:val="auto"/>
          <w:highlight w:val="none"/>
        </w:rPr>
      </w:pPr>
      <w:r>
        <w:rPr>
          <w:rFonts w:ascii="宋体" w:hAnsi="宋体" w:cs="宋体" w:hint="eastAsia"/>
          <w:color w:val="auto"/>
          <w:kern w:val="0"/>
          <w:sz w:val="30"/>
          <w:szCs w:val="30"/>
          <w:highlight w:val="none"/>
        </w:rPr>
        <w:t>（此合同模板为参考，具体合同内容以双方约定为准）</w:t>
      </w:r>
    </w:p>
    <w:p>
      <w:pPr>
        <w:rPr>
          <w:color w:val="auto"/>
          <w:highlight w:val="none"/>
        </w:rPr>
      </w:pPr>
    </w:p>
    <w:p>
      <w:pPr>
        <w:widowControl/>
        <w:jc w:val="center"/>
        <w:rPr>
          <w:rFonts w:ascii="宋体" w:hAnsi="宋体" w:cs="宋体" w:hint="eastAsia"/>
          <w:b/>
          <w:bCs/>
          <w:color w:val="auto"/>
          <w:kern w:val="0"/>
          <w:sz w:val="84"/>
          <w:szCs w:val="84"/>
          <w:highlight w:val="none"/>
        </w:rPr>
      </w:pPr>
      <w:r>
        <w:rPr>
          <w:rFonts w:ascii="宋体" w:hAnsi="宋体" w:cs="宋体" w:hint="eastAsia"/>
          <w:b/>
          <w:bCs/>
          <w:color w:val="auto"/>
          <w:kern w:val="0"/>
          <w:sz w:val="84"/>
          <w:szCs w:val="84"/>
          <w:highlight w:val="none"/>
        </w:rPr>
        <w:t>合</w:t>
      </w:r>
    </w:p>
    <w:p>
      <w:pPr>
        <w:pStyle w:val="BodyText"/>
        <w:rPr>
          <w:color w:val="auto"/>
          <w:highlight w:val="none"/>
        </w:rPr>
      </w:pPr>
    </w:p>
    <w:p>
      <w:pPr>
        <w:rPr>
          <w:color w:val="auto"/>
          <w:highlight w:val="none"/>
        </w:rPr>
      </w:pPr>
    </w:p>
    <w:p>
      <w:pPr>
        <w:rPr>
          <w:color w:val="auto"/>
          <w:highlight w:val="none"/>
        </w:rPr>
      </w:pPr>
    </w:p>
    <w:p>
      <w:pPr>
        <w:widowControl/>
        <w:jc w:val="center"/>
        <w:rPr>
          <w:rFonts w:ascii="宋体" w:hAnsi="宋体" w:cs="宋体" w:hint="eastAsia"/>
          <w:b/>
          <w:bCs/>
          <w:color w:val="auto"/>
          <w:kern w:val="0"/>
          <w:sz w:val="84"/>
          <w:szCs w:val="84"/>
          <w:highlight w:val="none"/>
        </w:rPr>
      </w:pPr>
      <w:r>
        <w:rPr>
          <w:rFonts w:ascii="宋体" w:hAnsi="宋体" w:cs="宋体" w:hint="eastAsia"/>
          <w:b/>
          <w:bCs/>
          <w:color w:val="auto"/>
          <w:kern w:val="0"/>
          <w:sz w:val="84"/>
          <w:szCs w:val="84"/>
          <w:highlight w:val="none"/>
        </w:rPr>
        <w:t>同</w:t>
      </w:r>
    </w:p>
    <w:p>
      <w:pPr>
        <w:pStyle w:val="BodyText"/>
        <w:rPr>
          <w:color w:val="auto"/>
          <w:highlight w:val="none"/>
        </w:rPr>
      </w:pPr>
    </w:p>
    <w:p>
      <w:pPr>
        <w:rPr>
          <w:color w:val="auto"/>
          <w:highlight w:val="none"/>
        </w:rPr>
      </w:pPr>
    </w:p>
    <w:p>
      <w:pPr>
        <w:rPr>
          <w:color w:val="auto"/>
          <w:highlight w:val="none"/>
        </w:rPr>
      </w:pPr>
    </w:p>
    <w:p>
      <w:pPr>
        <w:widowControl/>
        <w:jc w:val="center"/>
        <w:rPr>
          <w:rFonts w:ascii="宋体" w:hAnsi="宋体" w:cs="宋体" w:hint="eastAsia"/>
          <w:color w:val="auto"/>
          <w:sz w:val="36"/>
          <w:szCs w:val="36"/>
          <w:highlight w:val="none"/>
        </w:rPr>
      </w:pPr>
      <w:r>
        <w:rPr>
          <w:rFonts w:ascii="宋体" w:hAnsi="宋体" w:cs="宋体" w:hint="eastAsia"/>
          <w:b/>
          <w:bCs/>
          <w:color w:val="auto"/>
          <w:kern w:val="0"/>
          <w:sz w:val="84"/>
          <w:szCs w:val="84"/>
          <w:highlight w:val="none"/>
        </w:rPr>
        <w:t>书</w:t>
      </w:r>
    </w:p>
    <w:p>
      <w:pPr>
        <w:rPr>
          <w:rFonts w:ascii="宋体" w:hAnsi="宋体" w:cs="宋体" w:hint="eastAsia"/>
          <w:color w:val="auto"/>
          <w:highlight w:val="none"/>
        </w:rPr>
      </w:pPr>
    </w:p>
    <w:p>
      <w:pPr>
        <w:pStyle w:val="Default"/>
        <w:rPr>
          <w:rFonts w:hint="eastAsia"/>
          <w:color w:val="auto"/>
          <w:sz w:val="32"/>
          <w:szCs w:val="32"/>
          <w:highlight w:val="none"/>
        </w:rPr>
      </w:pPr>
      <w:r>
        <w:rPr>
          <w:color w:val="auto"/>
          <w:sz w:val="32"/>
          <w:szCs w:val="32"/>
          <w:highlight w:val="none"/>
        </w:rPr>
        <w:t>甲方</w:t>
      </w:r>
      <w:r>
        <w:rPr>
          <w:rFonts w:hint="eastAsia"/>
          <w:color w:val="auto"/>
          <w:sz w:val="32"/>
          <w:szCs w:val="32"/>
          <w:highlight w:val="none"/>
        </w:rPr>
        <w:t>：</w:t>
      </w:r>
    </w:p>
    <w:p>
      <w:pPr>
        <w:pStyle w:val="Default"/>
        <w:rPr>
          <w:rFonts w:hint="eastAsia"/>
          <w:color w:val="auto"/>
          <w:sz w:val="32"/>
          <w:szCs w:val="32"/>
          <w:highlight w:val="none"/>
        </w:rPr>
      </w:pPr>
      <w:r>
        <w:rPr>
          <w:color w:val="auto"/>
          <w:sz w:val="32"/>
          <w:szCs w:val="32"/>
          <w:highlight w:val="none"/>
        </w:rPr>
        <w:t>乙方</w:t>
      </w:r>
      <w:r>
        <w:rPr>
          <w:rFonts w:hint="eastAsia"/>
          <w:color w:val="auto"/>
          <w:sz w:val="32"/>
          <w:szCs w:val="32"/>
          <w:highlight w:val="none"/>
        </w:rPr>
        <w:t>：</w:t>
      </w:r>
    </w:p>
    <w:p>
      <w:pPr>
        <w:pStyle w:val="Default"/>
        <w:rPr>
          <w:rFonts w:hint="eastAsia"/>
          <w:color w:val="auto"/>
          <w:sz w:val="32"/>
          <w:szCs w:val="32"/>
          <w:highlight w:val="none"/>
        </w:rPr>
      </w:pPr>
      <w:r>
        <w:rPr>
          <w:color w:val="auto"/>
          <w:sz w:val="32"/>
          <w:szCs w:val="32"/>
          <w:highlight w:val="none"/>
        </w:rPr>
        <w:t>签订地点：</w:t>
      </w:r>
    </w:p>
    <w:p>
      <w:pPr>
        <w:pStyle w:val="Default"/>
        <w:rPr>
          <w:rFonts w:ascii="仿宋_GB2312" w:eastAsia="仿宋_GB2312" w:hAnsi="仿宋_GB2312" w:cs="仿宋_GB2312" w:hint="eastAsia"/>
          <w:color w:val="auto"/>
          <w:sz w:val="28"/>
          <w:szCs w:val="28"/>
          <w:highlight w:val="none"/>
        </w:rPr>
        <w:sectPr>
          <w:footerReference w:type="default" r:id="rId8"/>
          <w:headerReference w:type="first" r:id="rId9"/>
          <w:footerReference w:type="first" r:id="rId10"/>
          <w:pgSz w:w="11906" w:h="16838"/>
          <w:pgMar w:top="1418" w:right="1474" w:bottom="1418" w:left="1418" w:header="851" w:footer="992" w:gutter="0"/>
          <w:pgNumType w:start="1"/>
          <w:cols w:num="1" w:space="720"/>
          <w:docGrid w:type="lines" w:linePitch="312" w:charSpace="0"/>
        </w:sectPr>
      </w:pPr>
      <w:r>
        <w:rPr>
          <w:color w:val="auto"/>
          <w:sz w:val="32"/>
          <w:szCs w:val="32"/>
          <w:highlight w:val="none"/>
        </w:rPr>
        <w:t>签订日期：</w:t>
      </w:r>
    </w:p>
    <w:p>
      <w:pPr>
        <w:spacing w:line="520" w:lineRule="exact"/>
        <w:ind w:firstLine="560" w:firstLineChars="200"/>
        <w:rPr>
          <w:rFonts w:ascii="仿宋_GB2312" w:eastAsia="仿宋_GB2312" w:hAnsi="仿宋" w:cs="仿宋" w:hint="eastAsia"/>
          <w:color w:val="auto"/>
          <w:sz w:val="28"/>
          <w:szCs w:val="28"/>
          <w:highlight w:val="none"/>
        </w:rPr>
      </w:pPr>
      <w:r>
        <w:rPr>
          <w:rFonts w:ascii="仿宋_GB2312" w:eastAsia="仿宋_GB2312" w:hAnsi="仿宋" w:cs="仿宋" w:hint="eastAsia"/>
          <w:color w:val="auto"/>
          <w:sz w:val="28"/>
          <w:szCs w:val="28"/>
          <w:highlight w:val="none"/>
        </w:rPr>
        <w:t>甲方：</w:t>
      </w:r>
    </w:p>
    <w:p>
      <w:pPr>
        <w:spacing w:line="520" w:lineRule="exact"/>
        <w:ind w:firstLine="560" w:firstLineChars="200"/>
        <w:rPr>
          <w:rFonts w:ascii="仿宋_GB2312" w:eastAsia="仿宋_GB2312" w:hAnsi="仿宋" w:cs="仿宋" w:hint="eastAsia"/>
          <w:color w:val="auto"/>
          <w:sz w:val="28"/>
          <w:szCs w:val="28"/>
          <w:highlight w:val="none"/>
        </w:rPr>
      </w:pPr>
      <w:r>
        <w:rPr>
          <w:rFonts w:ascii="仿宋_GB2312" w:eastAsia="仿宋_GB2312" w:hAnsi="仿宋" w:cs="仿宋" w:hint="eastAsia"/>
          <w:color w:val="auto"/>
          <w:sz w:val="28"/>
          <w:szCs w:val="28"/>
          <w:highlight w:val="none"/>
        </w:rPr>
        <w:t>统一社会信用代码：</w:t>
      </w:r>
    </w:p>
    <w:p>
      <w:pPr>
        <w:spacing w:line="520" w:lineRule="exact"/>
        <w:ind w:firstLine="560" w:firstLineChars="200"/>
        <w:rPr>
          <w:rFonts w:ascii="仿宋_GB2312" w:eastAsia="仿宋_GB2312" w:hAnsi="仿宋" w:cs="仿宋" w:hint="eastAsia"/>
          <w:color w:val="auto"/>
          <w:sz w:val="28"/>
          <w:szCs w:val="28"/>
          <w:highlight w:val="none"/>
        </w:rPr>
      </w:pPr>
      <w:r>
        <w:rPr>
          <w:rFonts w:ascii="仿宋_GB2312" w:eastAsia="仿宋_GB2312" w:hAnsi="仿宋" w:cs="仿宋" w:hint="eastAsia"/>
          <w:color w:val="auto"/>
          <w:sz w:val="28"/>
          <w:szCs w:val="28"/>
          <w:highlight w:val="none"/>
        </w:rPr>
        <w:t xml:space="preserve">地址： </w:t>
      </w:r>
    </w:p>
    <w:p>
      <w:pPr>
        <w:spacing w:line="520" w:lineRule="exact"/>
        <w:ind w:firstLine="560" w:firstLineChars="200"/>
        <w:rPr>
          <w:rFonts w:ascii="仿宋_GB2312" w:eastAsia="仿宋_GB2312" w:hAnsi="仿宋" w:cs="仿宋" w:hint="eastAsia"/>
          <w:color w:val="auto"/>
          <w:sz w:val="28"/>
          <w:szCs w:val="28"/>
          <w:highlight w:val="none"/>
        </w:rPr>
      </w:pPr>
      <w:r>
        <w:rPr>
          <w:rFonts w:ascii="仿宋_GB2312" w:eastAsia="仿宋_GB2312" w:hAnsi="仿宋" w:cs="仿宋" w:hint="eastAsia"/>
          <w:color w:val="auto"/>
          <w:sz w:val="28"/>
          <w:szCs w:val="28"/>
          <w:highlight w:val="none"/>
        </w:rPr>
        <w:t>法定代表人：</w:t>
      </w:r>
    </w:p>
    <w:p>
      <w:pPr>
        <w:spacing w:line="520" w:lineRule="exact"/>
        <w:ind w:firstLine="560" w:firstLineChars="200"/>
        <w:rPr>
          <w:rFonts w:ascii="仿宋_GB2312" w:eastAsia="仿宋_GB2312" w:hAnsi="仿宋" w:cs="仿宋" w:hint="eastAsia"/>
          <w:color w:val="auto"/>
          <w:sz w:val="28"/>
          <w:szCs w:val="28"/>
          <w:highlight w:val="none"/>
        </w:rPr>
      </w:pPr>
      <w:r>
        <w:rPr>
          <w:rFonts w:ascii="仿宋_GB2312" w:eastAsia="仿宋_GB2312" w:hAnsi="仿宋" w:cs="仿宋" w:hint="eastAsia"/>
          <w:color w:val="auto"/>
          <w:sz w:val="28"/>
          <w:szCs w:val="28"/>
          <w:highlight w:val="none"/>
        </w:rPr>
        <w:t>联系电话：</w:t>
      </w:r>
    </w:p>
    <w:p>
      <w:pPr>
        <w:spacing w:line="500" w:lineRule="exact"/>
        <w:rPr>
          <w:rFonts w:ascii="仿宋_GB2312" w:eastAsia="仿宋_GB2312" w:hAnsi="宋体" w:cs="宋体" w:hint="eastAsia"/>
          <w:color w:val="auto"/>
          <w:sz w:val="28"/>
          <w:szCs w:val="28"/>
          <w:highlight w:val="none"/>
        </w:rPr>
      </w:pP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乙方（供货人）：</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统一社会信用代码：</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地址：</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法定代表人：</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联系电话：</w:t>
      </w:r>
    </w:p>
    <w:p>
      <w:pPr>
        <w:spacing w:line="500" w:lineRule="exact"/>
        <w:ind w:firstLine="560" w:firstLineChars="200"/>
        <w:rPr>
          <w:rFonts w:ascii="仿宋_GB2312" w:eastAsia="仿宋_GB2312" w:hAnsi="宋体" w:cs="宋体" w:hint="eastAsia"/>
          <w:color w:val="auto"/>
          <w:sz w:val="28"/>
          <w:szCs w:val="28"/>
          <w:highlight w:val="none"/>
        </w:rPr>
      </w:pP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为保证甲方人工影响天气作业的正常开展，提高人工影响天气作业所用机动集成作业系统的产品质量和服务水平，</w:t>
      </w:r>
      <w:r>
        <w:rPr>
          <w:rFonts w:ascii="仿宋_GB2312" w:eastAsia="仿宋_GB2312" w:hAnsi="仿宋" w:cs="仿宋" w:hint="eastAsia"/>
          <w:color w:val="auto"/>
          <w:sz w:val="28"/>
          <w:szCs w:val="28"/>
          <w:highlight w:val="none"/>
        </w:rPr>
        <w:t>按照中国气象局有关机动集成作业系统采购要求，</w:t>
      </w:r>
      <w:r>
        <w:rPr>
          <w:rFonts w:ascii="仿宋_GB2312" w:eastAsia="仿宋_GB2312" w:hAnsi="宋体" w:cs="宋体" w:hint="eastAsia"/>
          <w:color w:val="auto"/>
          <w:sz w:val="28"/>
          <w:szCs w:val="28"/>
          <w:highlight w:val="none"/>
        </w:rPr>
        <w:t>甲乙双方签订本合同，供双方共同遵循。</w:t>
      </w:r>
    </w:p>
    <w:p>
      <w:pPr>
        <w:spacing w:line="500" w:lineRule="exact"/>
        <w:ind w:firstLine="560" w:firstLineChars="200"/>
        <w:rPr>
          <w:rFonts w:ascii="黑体" w:eastAsia="黑体" w:hAnsi="黑体" w:cs="宋体" w:hint="eastAsia"/>
          <w:bCs/>
          <w:color w:val="auto"/>
          <w:sz w:val="28"/>
          <w:szCs w:val="28"/>
          <w:highlight w:val="none"/>
        </w:rPr>
      </w:pPr>
      <w:r>
        <w:rPr>
          <w:rFonts w:ascii="黑体" w:eastAsia="黑体" w:hAnsi="黑体" w:cs="宋体" w:hint="eastAsia"/>
          <w:bCs/>
          <w:color w:val="auto"/>
          <w:sz w:val="28"/>
          <w:szCs w:val="28"/>
          <w:highlight w:val="none"/>
        </w:rPr>
        <w:t>第一条 中标项目</w:t>
      </w:r>
    </w:p>
    <w:p>
      <w:pPr>
        <w:spacing w:line="500" w:lineRule="exact"/>
        <w:ind w:firstLine="560" w:firstLineChars="200"/>
        <w:rPr>
          <w:rFonts w:ascii="仿宋_GB2312" w:eastAsia="仿宋_GB2312" w:hAnsi="宋体" w:cs="宋体" w:hint="eastAsia"/>
          <w:color w:val="auto"/>
          <w:sz w:val="28"/>
          <w:szCs w:val="28"/>
          <w:highlight w:val="none"/>
          <w:u w:val="single"/>
        </w:rPr>
      </w:pPr>
      <w:r>
        <w:rPr>
          <w:rFonts w:ascii="仿宋_GB2312" w:eastAsia="仿宋_GB2312" w:hAnsi="宋体" w:cs="宋体" w:hint="eastAsia"/>
          <w:color w:val="auto"/>
          <w:sz w:val="28"/>
          <w:szCs w:val="28"/>
          <w:highlight w:val="none"/>
        </w:rPr>
        <w:t>项目名称：</w:t>
      </w:r>
      <w:r>
        <w:rPr>
          <w:rFonts w:ascii="仿宋_GB2312" w:eastAsia="仿宋_GB2312" w:hAnsi="宋体" w:cs="宋体" w:hint="eastAsia"/>
          <w:color w:val="auto"/>
          <w:sz w:val="28"/>
          <w:szCs w:val="28"/>
          <w:highlight w:val="none"/>
          <w:u w:val="single"/>
        </w:rPr>
        <w:t xml:space="preserve">                       </w:t>
      </w:r>
    </w:p>
    <w:p>
      <w:pPr>
        <w:spacing w:line="500" w:lineRule="exact"/>
        <w:ind w:firstLine="560" w:firstLineChars="200"/>
        <w:rPr>
          <w:rFonts w:ascii="黑体" w:eastAsia="黑体" w:hAnsi="黑体" w:cs="宋体" w:hint="eastAsia"/>
          <w:bCs/>
          <w:color w:val="auto"/>
          <w:sz w:val="28"/>
          <w:szCs w:val="28"/>
          <w:highlight w:val="none"/>
        </w:rPr>
      </w:pPr>
      <w:r>
        <w:rPr>
          <w:rFonts w:ascii="仿宋_GB2312" w:eastAsia="仿宋_GB2312" w:hAnsi="宋体" w:cs="宋体" w:hint="eastAsia"/>
          <w:color w:val="auto"/>
          <w:sz w:val="28"/>
          <w:szCs w:val="28"/>
          <w:highlight w:val="none"/>
        </w:rPr>
        <w:t>项目编号和分包号：</w:t>
      </w:r>
      <w:r>
        <w:rPr>
          <w:rFonts w:ascii="仿宋_GB2312" w:eastAsia="仿宋_GB2312" w:hAnsi="宋体" w:cs="宋体" w:hint="eastAsia"/>
          <w:color w:val="auto"/>
          <w:sz w:val="28"/>
          <w:szCs w:val="28"/>
          <w:highlight w:val="none"/>
          <w:u w:val="single"/>
        </w:rPr>
        <w:t xml:space="preserve">               </w:t>
      </w:r>
      <w:r>
        <w:rPr>
          <w:rFonts w:ascii="黑体" w:eastAsia="黑体" w:hAnsi="黑体" w:cs="宋体" w:hint="eastAsia"/>
          <w:bCs/>
          <w:color w:val="auto"/>
          <w:sz w:val="28"/>
          <w:szCs w:val="28"/>
          <w:highlight w:val="none"/>
        </w:rPr>
        <w:t xml:space="preserve">         </w:t>
      </w:r>
    </w:p>
    <w:p>
      <w:pPr>
        <w:spacing w:line="500" w:lineRule="exact"/>
        <w:ind w:firstLine="560" w:firstLineChars="200"/>
        <w:rPr>
          <w:rFonts w:ascii="仿宋_GB2312" w:eastAsia="仿宋_GB2312" w:hAnsi="宋体" w:cs="宋体" w:hint="eastAsia"/>
          <w:b/>
          <w:bCs/>
          <w:color w:val="auto"/>
          <w:sz w:val="28"/>
          <w:szCs w:val="28"/>
          <w:highlight w:val="none"/>
        </w:rPr>
      </w:pPr>
      <w:bookmarkStart w:id="144" w:name="_Toc497546881"/>
      <w:bookmarkStart w:id="145" w:name="_Toc492955422"/>
      <w:bookmarkStart w:id="146" w:name="_Toc385992369"/>
      <w:bookmarkStart w:id="147" w:name="_Toc497551783"/>
      <w:bookmarkStart w:id="148" w:name="_Toc117666661"/>
      <w:bookmarkStart w:id="149" w:name="_Toc497712096"/>
      <w:bookmarkStart w:id="150" w:name="_Toc497711548"/>
      <w:bookmarkStart w:id="151" w:name="_Toc389620209"/>
      <w:r>
        <w:rPr>
          <w:rFonts w:ascii="黑体" w:eastAsia="黑体" w:hAnsi="黑体" w:cs="宋体" w:hint="eastAsia"/>
          <w:bCs/>
          <w:color w:val="auto"/>
          <w:sz w:val="28"/>
          <w:szCs w:val="28"/>
          <w:highlight w:val="none"/>
        </w:rPr>
        <w:t xml:space="preserve">第二条 </w:t>
      </w:r>
      <w:r>
        <w:rPr>
          <w:rFonts w:ascii="仿宋_GB2312" w:eastAsia="仿宋_GB2312" w:hAnsi="宋体" w:cs="宋体" w:hint="eastAsia"/>
          <w:bCs/>
          <w:color w:val="auto"/>
          <w:sz w:val="28"/>
          <w:szCs w:val="28"/>
          <w:highlight w:val="none"/>
        </w:rPr>
        <w:t>甲方为机动集成作业系统的采购单位，乙方为</w:t>
      </w:r>
      <w:r>
        <w:rPr>
          <w:rFonts w:ascii="仿宋_GB2312" w:eastAsia="仿宋_GB2312" w:hAnsi="宋体" w:cs="宋体" w:hint="eastAsia"/>
          <w:bCs/>
          <w:color w:val="auto"/>
          <w:sz w:val="28"/>
          <w:szCs w:val="28"/>
          <w:highlight w:val="none"/>
          <w:lang w:val="en-US" w:eastAsia="zh-CN"/>
        </w:rPr>
        <w:t>集成</w:t>
      </w:r>
      <w:r>
        <w:rPr>
          <w:rFonts w:ascii="仿宋_GB2312" w:eastAsia="仿宋_GB2312" w:hAnsi="宋体" w:cs="宋体" w:hint="eastAsia"/>
          <w:bCs/>
          <w:color w:val="auto"/>
          <w:sz w:val="28"/>
          <w:szCs w:val="28"/>
          <w:highlight w:val="none"/>
        </w:rPr>
        <w:t>供货单位。</w:t>
      </w:r>
    </w:p>
    <w:p>
      <w:pPr>
        <w:spacing w:line="500" w:lineRule="exact"/>
        <w:ind w:firstLine="560" w:firstLineChars="200"/>
        <w:rPr>
          <w:rFonts w:ascii="黑体" w:eastAsia="黑体" w:hAnsi="黑体" w:cs="宋体" w:hint="eastAsia"/>
          <w:bCs/>
          <w:color w:val="auto"/>
          <w:sz w:val="28"/>
          <w:szCs w:val="28"/>
          <w:highlight w:val="none"/>
        </w:rPr>
      </w:pPr>
      <w:r>
        <w:rPr>
          <w:rFonts w:ascii="黑体" w:eastAsia="黑体" w:hAnsi="黑体" w:cs="宋体" w:hint="eastAsia"/>
          <w:bCs/>
          <w:color w:val="auto"/>
          <w:sz w:val="28"/>
          <w:szCs w:val="28"/>
          <w:highlight w:val="none"/>
        </w:rPr>
        <w:t>第三条 甲方向乙方的订货内容。</w:t>
      </w:r>
    </w:p>
    <w:tbl>
      <w:tblPr>
        <w:tblStyle w:val="TableNormal"/>
        <w:tblW w:w="9692" w:type="dxa"/>
        <w:jc w:val="center"/>
        <w:tblLayout w:type="fixed"/>
        <w:tblCellMar>
          <w:top w:w="0" w:type="dxa"/>
          <w:left w:w="108" w:type="dxa"/>
          <w:bottom w:w="0" w:type="dxa"/>
          <w:right w:w="108" w:type="dxa"/>
        </w:tblCellMar>
      </w:tblPr>
      <w:tblGrid>
        <w:gridCol w:w="520"/>
        <w:gridCol w:w="3117"/>
        <w:gridCol w:w="1133"/>
        <w:gridCol w:w="1067"/>
        <w:gridCol w:w="1583"/>
        <w:gridCol w:w="1669"/>
        <w:gridCol w:w="603"/>
      </w:tblGrid>
      <w:tr>
        <w:tblPrEx>
          <w:tblW w:w="9692" w:type="dxa"/>
          <w:jc w:val="center"/>
          <w:tblLayout w:type="fixed"/>
          <w:tblCellMar>
            <w:top w:w="0" w:type="dxa"/>
            <w:left w:w="108" w:type="dxa"/>
            <w:bottom w:w="0" w:type="dxa"/>
            <w:right w:w="108" w:type="dxa"/>
          </w:tblCellMar>
        </w:tblPrEx>
        <w:trPr>
          <w:trHeight w:val="973"/>
          <w:jc w:val="center"/>
        </w:trPr>
        <w:tc>
          <w:tcPr>
            <w:tcW w:w="520" w:type="dxa"/>
            <w:tcBorders>
              <w:top w:val="single" w:sz="8" w:space="0" w:color="auto"/>
              <w:left w:val="single" w:sz="8" w:space="0" w:color="auto"/>
              <w:bottom w:val="single" w:sz="4" w:space="0" w:color="auto"/>
              <w:right w:val="single" w:sz="4" w:space="0" w:color="auto"/>
            </w:tcBorders>
            <w:noWrap w:val="0"/>
            <w:vAlign w:val="center"/>
          </w:tcPr>
          <w:p>
            <w:pPr>
              <w:spacing w:line="400" w:lineRule="exact"/>
              <w:jc w:val="center"/>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序号</w:t>
            </w:r>
          </w:p>
        </w:tc>
        <w:tc>
          <w:tcPr>
            <w:tcW w:w="3117" w:type="dxa"/>
            <w:tcBorders>
              <w:top w:val="single" w:sz="8" w:space="0" w:color="auto"/>
              <w:left w:val="nil"/>
              <w:bottom w:val="single" w:sz="4" w:space="0" w:color="auto"/>
              <w:right w:val="single" w:sz="4" w:space="0" w:color="auto"/>
            </w:tcBorders>
            <w:noWrap w:val="0"/>
            <w:vAlign w:val="center"/>
          </w:tcPr>
          <w:p>
            <w:pPr>
              <w:spacing w:line="400" w:lineRule="exact"/>
              <w:jc w:val="center"/>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装备名称</w:t>
            </w:r>
          </w:p>
          <w:p>
            <w:pPr>
              <w:spacing w:line="400" w:lineRule="exact"/>
              <w:jc w:val="center"/>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（品种、规格、型号）</w:t>
            </w:r>
          </w:p>
        </w:tc>
        <w:tc>
          <w:tcPr>
            <w:tcW w:w="1133" w:type="dxa"/>
            <w:tcBorders>
              <w:top w:val="single" w:sz="8" w:space="0" w:color="auto"/>
              <w:left w:val="nil"/>
              <w:bottom w:val="single" w:sz="4" w:space="0" w:color="auto"/>
              <w:right w:val="single" w:sz="4" w:space="0" w:color="auto"/>
            </w:tcBorders>
            <w:noWrap/>
            <w:vAlign w:val="center"/>
          </w:tcPr>
          <w:p>
            <w:pPr>
              <w:spacing w:line="400" w:lineRule="exact"/>
              <w:jc w:val="center"/>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单位</w:t>
            </w:r>
          </w:p>
        </w:tc>
        <w:tc>
          <w:tcPr>
            <w:tcW w:w="1067" w:type="dxa"/>
            <w:tcBorders>
              <w:top w:val="single" w:sz="8" w:space="0" w:color="auto"/>
              <w:left w:val="nil"/>
              <w:bottom w:val="single" w:sz="4" w:space="0" w:color="auto"/>
              <w:right w:val="single" w:sz="4" w:space="0" w:color="auto"/>
            </w:tcBorders>
            <w:noWrap w:val="0"/>
            <w:vAlign w:val="center"/>
          </w:tcPr>
          <w:p>
            <w:pPr>
              <w:spacing w:line="400" w:lineRule="exact"/>
              <w:jc w:val="center"/>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数量</w:t>
            </w:r>
          </w:p>
        </w:tc>
        <w:tc>
          <w:tcPr>
            <w:tcW w:w="1583" w:type="dxa"/>
            <w:tcBorders>
              <w:top w:val="single" w:sz="8" w:space="0" w:color="auto"/>
              <w:left w:val="nil"/>
              <w:bottom w:val="single" w:sz="4" w:space="0" w:color="auto"/>
              <w:right w:val="single" w:sz="4" w:space="0" w:color="auto"/>
            </w:tcBorders>
            <w:noWrap w:val="0"/>
            <w:vAlign w:val="center"/>
          </w:tcPr>
          <w:p>
            <w:pPr>
              <w:spacing w:line="400" w:lineRule="exact"/>
              <w:jc w:val="center"/>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单价（元）</w:t>
            </w:r>
          </w:p>
        </w:tc>
        <w:tc>
          <w:tcPr>
            <w:tcW w:w="1669" w:type="dxa"/>
            <w:tcBorders>
              <w:top w:val="single" w:sz="8" w:space="0" w:color="auto"/>
              <w:left w:val="nil"/>
              <w:bottom w:val="single" w:sz="4" w:space="0" w:color="auto"/>
              <w:right w:val="single" w:sz="8" w:space="0" w:color="auto"/>
            </w:tcBorders>
            <w:noWrap w:val="0"/>
            <w:vAlign w:val="center"/>
          </w:tcPr>
          <w:p>
            <w:pPr>
              <w:spacing w:line="400" w:lineRule="exact"/>
              <w:jc w:val="center"/>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总价（元）</w:t>
            </w:r>
          </w:p>
        </w:tc>
        <w:tc>
          <w:tcPr>
            <w:tcW w:w="603" w:type="dxa"/>
            <w:tcBorders>
              <w:top w:val="single" w:sz="8" w:space="0" w:color="auto"/>
              <w:left w:val="nil"/>
              <w:bottom w:val="single" w:sz="4" w:space="0" w:color="auto"/>
              <w:right w:val="single" w:sz="8" w:space="0" w:color="auto"/>
            </w:tcBorders>
            <w:noWrap w:val="0"/>
            <w:vAlign w:val="center"/>
          </w:tcPr>
          <w:p>
            <w:pPr>
              <w:spacing w:line="400" w:lineRule="exact"/>
              <w:jc w:val="center"/>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备注</w:t>
            </w:r>
          </w:p>
        </w:tc>
      </w:tr>
      <w:tr>
        <w:tblPrEx>
          <w:tblW w:w="9692" w:type="dxa"/>
          <w:jc w:val="center"/>
          <w:tblLayout w:type="fixed"/>
          <w:tblCellMar>
            <w:top w:w="0" w:type="dxa"/>
            <w:left w:w="108" w:type="dxa"/>
            <w:bottom w:w="0" w:type="dxa"/>
            <w:right w:w="108" w:type="dxa"/>
          </w:tblCellMar>
        </w:tblPrEx>
        <w:trPr>
          <w:trHeight w:val="567"/>
          <w:jc w:val="center"/>
        </w:trPr>
        <w:tc>
          <w:tcPr>
            <w:tcW w:w="520" w:type="dxa"/>
            <w:tcBorders>
              <w:top w:val="single" w:sz="4" w:space="0" w:color="auto"/>
              <w:left w:val="single" w:sz="4" w:space="0" w:color="auto"/>
              <w:bottom w:val="single" w:sz="4" w:space="0" w:color="auto"/>
              <w:right w:val="single" w:sz="4" w:space="0" w:color="auto"/>
            </w:tcBorders>
            <w:noWrap/>
            <w:vAlign w:val="center"/>
          </w:tcPr>
          <w:p>
            <w:pPr>
              <w:spacing w:line="400" w:lineRule="exact"/>
              <w:jc w:val="center"/>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1</w:t>
            </w:r>
          </w:p>
        </w:tc>
        <w:tc>
          <w:tcPr>
            <w:tcW w:w="3117" w:type="dxa"/>
            <w:tcBorders>
              <w:top w:val="single" w:sz="4" w:space="0" w:color="auto"/>
              <w:left w:val="nil"/>
              <w:bottom w:val="single" w:sz="4" w:space="0" w:color="auto"/>
              <w:right w:val="single" w:sz="4" w:space="0" w:color="auto"/>
            </w:tcBorders>
            <w:noWrap/>
            <w:vAlign w:val="center"/>
          </w:tcPr>
          <w:p>
            <w:pPr>
              <w:spacing w:line="400" w:lineRule="exact"/>
              <w:jc w:val="center"/>
              <w:rPr>
                <w:rFonts w:ascii="仿宋_GB2312" w:eastAsia="仿宋_GB2312" w:hAnsi="宋体" w:cs="宋体" w:hint="eastAsia"/>
                <w:color w:val="auto"/>
                <w:sz w:val="28"/>
                <w:szCs w:val="28"/>
                <w:highlight w:val="none"/>
              </w:rPr>
            </w:pPr>
          </w:p>
        </w:tc>
        <w:tc>
          <w:tcPr>
            <w:tcW w:w="1133" w:type="dxa"/>
            <w:tcBorders>
              <w:top w:val="single" w:sz="4" w:space="0" w:color="auto"/>
              <w:left w:val="single" w:sz="4" w:space="0" w:color="auto"/>
              <w:bottom w:val="single" w:sz="4" w:space="0" w:color="auto"/>
              <w:right w:val="single" w:sz="4" w:space="0" w:color="auto"/>
            </w:tcBorders>
            <w:noWrap/>
            <w:vAlign w:val="center"/>
          </w:tcPr>
          <w:p>
            <w:pPr>
              <w:spacing w:line="400" w:lineRule="exact"/>
              <w:jc w:val="center"/>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套</w:t>
            </w:r>
          </w:p>
        </w:tc>
        <w:tc>
          <w:tcPr>
            <w:tcW w:w="1067" w:type="dxa"/>
            <w:tcBorders>
              <w:top w:val="single" w:sz="4" w:space="0" w:color="auto"/>
              <w:left w:val="nil"/>
              <w:bottom w:val="single" w:sz="4" w:space="0" w:color="auto"/>
              <w:right w:val="single" w:sz="4" w:space="0" w:color="auto"/>
            </w:tcBorders>
            <w:noWrap/>
            <w:vAlign w:val="center"/>
          </w:tcPr>
          <w:p>
            <w:pPr>
              <w:spacing w:line="400" w:lineRule="exact"/>
              <w:jc w:val="center"/>
              <w:rPr>
                <w:rFonts w:ascii="仿宋_GB2312" w:eastAsia="仿宋_GB2312" w:hAnsi="宋体" w:cs="宋体" w:hint="eastAsia"/>
                <w:color w:val="auto"/>
                <w:sz w:val="28"/>
                <w:szCs w:val="28"/>
                <w:highlight w:val="none"/>
              </w:rPr>
            </w:pPr>
          </w:p>
        </w:tc>
        <w:tc>
          <w:tcPr>
            <w:tcW w:w="1583" w:type="dxa"/>
            <w:tcBorders>
              <w:top w:val="single" w:sz="4" w:space="0" w:color="auto"/>
              <w:left w:val="nil"/>
              <w:bottom w:val="single" w:sz="4" w:space="0" w:color="auto"/>
              <w:right w:val="single" w:sz="4" w:space="0" w:color="auto"/>
            </w:tcBorders>
            <w:noWrap/>
            <w:vAlign w:val="center"/>
          </w:tcPr>
          <w:p>
            <w:pPr>
              <w:spacing w:line="400" w:lineRule="exact"/>
              <w:jc w:val="center"/>
              <w:rPr>
                <w:rFonts w:ascii="仿宋_GB2312" w:eastAsia="仿宋_GB2312" w:hAnsi="宋体" w:cs="宋体" w:hint="eastAsia"/>
                <w:color w:val="auto"/>
                <w:sz w:val="28"/>
                <w:szCs w:val="28"/>
                <w:highlight w:val="none"/>
              </w:rPr>
            </w:pPr>
          </w:p>
        </w:tc>
        <w:tc>
          <w:tcPr>
            <w:tcW w:w="1669" w:type="dxa"/>
            <w:tcBorders>
              <w:top w:val="single" w:sz="4" w:space="0" w:color="auto"/>
              <w:left w:val="nil"/>
              <w:bottom w:val="single" w:sz="4" w:space="0" w:color="auto"/>
              <w:right w:val="single" w:sz="8" w:space="0" w:color="auto"/>
            </w:tcBorders>
            <w:noWrap w:val="0"/>
            <w:vAlign w:val="center"/>
          </w:tcPr>
          <w:p>
            <w:pPr>
              <w:spacing w:line="400" w:lineRule="exact"/>
              <w:jc w:val="center"/>
              <w:rPr>
                <w:rFonts w:ascii="仿宋_GB2312" w:eastAsia="仿宋_GB2312" w:hAnsi="宋体" w:cs="宋体" w:hint="eastAsia"/>
                <w:color w:val="auto"/>
                <w:sz w:val="28"/>
                <w:szCs w:val="28"/>
                <w:highlight w:val="none"/>
              </w:rPr>
            </w:pPr>
          </w:p>
        </w:tc>
        <w:tc>
          <w:tcPr>
            <w:tcW w:w="603" w:type="dxa"/>
            <w:vMerge w:val="restart"/>
            <w:tcBorders>
              <w:top w:val="single" w:sz="4" w:space="0" w:color="auto"/>
              <w:left w:val="nil"/>
              <w:right w:val="single" w:sz="4" w:space="0" w:color="auto"/>
            </w:tcBorders>
            <w:noWrap w:val="0"/>
            <w:vAlign w:val="center"/>
          </w:tcPr>
          <w:p>
            <w:pPr>
              <w:spacing w:line="560" w:lineRule="exact"/>
              <w:jc w:val="left"/>
              <w:rPr>
                <w:rFonts w:ascii="仿宋_GB2312" w:eastAsia="仿宋_GB2312" w:hAnsi="宋体" w:cs="宋体" w:hint="default"/>
                <w:color w:val="auto"/>
                <w:sz w:val="18"/>
                <w:szCs w:val="18"/>
                <w:highlight w:val="none"/>
              </w:rPr>
            </w:pPr>
            <w:r>
              <w:rPr>
                <w:rFonts w:ascii="仿宋_GB2312" w:eastAsia="仿宋_GB2312" w:hAnsi="宋体" w:cs="宋体" w:hint="eastAsia"/>
                <w:color w:val="auto"/>
                <w:sz w:val="18"/>
                <w:szCs w:val="18"/>
                <w:highlight w:val="none"/>
                <w:lang w:val="en-US" w:eastAsia="zh-CN"/>
              </w:rPr>
              <w:t>运维和安全责任</w:t>
            </w:r>
          </w:p>
        </w:tc>
      </w:tr>
      <w:tr>
        <w:tblPrEx>
          <w:tblW w:w="9692" w:type="dxa"/>
          <w:jc w:val="center"/>
          <w:tblLayout w:type="fixed"/>
          <w:tblCellMar>
            <w:top w:w="0" w:type="dxa"/>
            <w:left w:w="108" w:type="dxa"/>
            <w:bottom w:w="0" w:type="dxa"/>
            <w:right w:w="108" w:type="dxa"/>
          </w:tblCellMar>
        </w:tblPrEx>
        <w:trPr>
          <w:trHeight w:val="20"/>
          <w:jc w:val="center"/>
        </w:trPr>
        <w:tc>
          <w:tcPr>
            <w:tcW w:w="3637" w:type="dxa"/>
            <w:gridSpan w:val="2"/>
            <w:tcBorders>
              <w:top w:val="single" w:sz="4" w:space="0" w:color="auto"/>
              <w:left w:val="single" w:sz="4" w:space="0" w:color="auto"/>
              <w:bottom w:val="single" w:sz="4" w:space="0" w:color="auto"/>
              <w:right w:val="single" w:sz="4" w:space="0" w:color="auto"/>
            </w:tcBorders>
            <w:noWrap/>
            <w:vAlign w:val="center"/>
          </w:tcPr>
          <w:p>
            <w:pPr>
              <w:spacing w:line="400" w:lineRule="exact"/>
              <w:jc w:val="center"/>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合计（人民币）</w:t>
            </w:r>
          </w:p>
        </w:tc>
        <w:tc>
          <w:tcPr>
            <w:tcW w:w="5452" w:type="dxa"/>
            <w:gridSpan w:val="4"/>
            <w:tcBorders>
              <w:top w:val="single" w:sz="4" w:space="0" w:color="auto"/>
              <w:left w:val="single" w:sz="4" w:space="0" w:color="auto"/>
              <w:bottom w:val="single" w:sz="4" w:space="0" w:color="auto"/>
              <w:right w:val="single" w:sz="8" w:space="0" w:color="000000"/>
            </w:tcBorders>
            <w:noWrap/>
            <w:vAlign w:val="center"/>
          </w:tcPr>
          <w:p>
            <w:pPr>
              <w:spacing w:line="400" w:lineRule="exact"/>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小写：元</w:t>
            </w:r>
          </w:p>
          <w:p>
            <w:pPr>
              <w:spacing w:line="400" w:lineRule="exact"/>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大写：</w:t>
            </w:r>
          </w:p>
          <w:p>
            <w:pPr>
              <w:spacing w:line="400" w:lineRule="exact"/>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（增值税税率13%，税额元）</w:t>
            </w:r>
          </w:p>
        </w:tc>
        <w:tc>
          <w:tcPr>
            <w:tcW w:w="603" w:type="dxa"/>
            <w:vMerge/>
            <w:tcBorders>
              <w:left w:val="nil"/>
              <w:bottom w:val="single" w:sz="4" w:space="0" w:color="auto"/>
              <w:right w:val="single" w:sz="4" w:space="0" w:color="auto"/>
            </w:tcBorders>
            <w:noWrap w:val="0"/>
            <w:vAlign w:val="center"/>
          </w:tcPr>
          <w:p>
            <w:pPr>
              <w:spacing w:line="560" w:lineRule="exact"/>
              <w:jc w:val="center"/>
              <w:rPr>
                <w:rFonts w:ascii="仿宋_GB2312" w:eastAsia="仿宋_GB2312" w:hAnsi="宋体" w:cs="宋体" w:hint="eastAsia"/>
                <w:color w:val="auto"/>
                <w:sz w:val="28"/>
                <w:szCs w:val="28"/>
                <w:highlight w:val="none"/>
              </w:rPr>
            </w:pPr>
          </w:p>
        </w:tc>
      </w:tr>
    </w:tbl>
    <w:p>
      <w:pPr>
        <w:spacing w:line="500" w:lineRule="exact"/>
        <w:ind w:firstLine="560" w:firstLineChars="200"/>
        <w:rPr>
          <w:rFonts w:ascii="黑体" w:eastAsia="黑体" w:hAnsi="黑体" w:cs="宋体" w:hint="eastAsia"/>
          <w:bCs/>
          <w:color w:val="auto"/>
          <w:sz w:val="28"/>
          <w:szCs w:val="28"/>
          <w:highlight w:val="none"/>
        </w:rPr>
      </w:pPr>
      <w:r>
        <w:rPr>
          <w:rFonts w:ascii="黑体" w:eastAsia="黑体" w:hAnsi="黑体" w:cs="宋体" w:hint="eastAsia"/>
          <w:bCs/>
          <w:color w:val="auto"/>
          <w:sz w:val="28"/>
          <w:szCs w:val="28"/>
          <w:highlight w:val="none"/>
        </w:rPr>
        <w:t>第四条 供货要求</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乙方供货前经出厂检验，并核发合格证后方可出厂。乙方做好机动集成作业系统运输工作，按甲、乙双方约定的时间将订购的机动集成作业系统运输至甲方指定地点。</w:t>
      </w:r>
    </w:p>
    <w:p>
      <w:pPr>
        <w:spacing w:line="500" w:lineRule="exact"/>
        <w:ind w:firstLine="560" w:firstLineChars="200"/>
        <w:rPr>
          <w:rFonts w:ascii="仿宋_GB2312" w:eastAsia="仿宋_GB2312" w:hAnsi="宋体" w:cs="宋体" w:hint="eastAsia"/>
          <w:color w:val="auto"/>
          <w:sz w:val="28"/>
          <w:szCs w:val="28"/>
          <w:highlight w:val="none"/>
          <w:u w:val="single"/>
        </w:rPr>
      </w:pPr>
      <w:r>
        <w:rPr>
          <w:rFonts w:ascii="仿宋_GB2312" w:eastAsia="仿宋_GB2312" w:hAnsi="宋体" w:cs="宋体" w:hint="eastAsia"/>
          <w:color w:val="auto"/>
          <w:sz w:val="28"/>
          <w:szCs w:val="28"/>
          <w:highlight w:val="none"/>
        </w:rPr>
        <w:t>交货日期：</w:t>
      </w:r>
      <w:r>
        <w:rPr>
          <w:rFonts w:ascii="仿宋_GB2312" w:eastAsia="仿宋_GB2312" w:hAnsi="宋体" w:cs="宋体" w:hint="eastAsia"/>
          <w:color w:val="auto"/>
          <w:sz w:val="28"/>
          <w:szCs w:val="28"/>
          <w:highlight w:val="none"/>
          <w:u w:val="single"/>
        </w:rPr>
        <w:t xml:space="preserve">                                   </w:t>
      </w:r>
    </w:p>
    <w:p>
      <w:pPr>
        <w:spacing w:line="500" w:lineRule="exact"/>
        <w:ind w:firstLine="560" w:firstLineChars="200"/>
        <w:rPr>
          <w:rFonts w:ascii="仿宋_GB2312" w:eastAsia="仿宋_GB2312" w:hAnsi="宋体" w:cs="宋体" w:hint="eastAsia"/>
          <w:color w:val="auto"/>
          <w:sz w:val="28"/>
          <w:szCs w:val="28"/>
          <w:highlight w:val="none"/>
          <w:u w:val="single"/>
        </w:rPr>
      </w:pPr>
      <w:r>
        <w:rPr>
          <w:rFonts w:ascii="仿宋_GB2312" w:eastAsia="仿宋_GB2312" w:hAnsi="宋体" w:cs="宋体" w:hint="eastAsia"/>
          <w:color w:val="auto"/>
          <w:sz w:val="28"/>
          <w:szCs w:val="28"/>
          <w:highlight w:val="none"/>
        </w:rPr>
        <w:t>交货（安装、调试、服务）地点：</w:t>
      </w:r>
      <w:r>
        <w:rPr>
          <w:rFonts w:ascii="仿宋_GB2312" w:eastAsia="仿宋_GB2312" w:hAnsi="宋体" w:cs="宋体" w:hint="eastAsia"/>
          <w:color w:val="auto"/>
          <w:sz w:val="28"/>
          <w:szCs w:val="28"/>
          <w:highlight w:val="none"/>
          <w:u w:val="single"/>
        </w:rPr>
        <w:t xml:space="preserve">               </w:t>
      </w:r>
    </w:p>
    <w:p>
      <w:pPr>
        <w:spacing w:line="500" w:lineRule="exact"/>
        <w:ind w:firstLine="560" w:firstLineChars="200"/>
        <w:rPr>
          <w:rFonts w:ascii="仿宋_GB2312" w:eastAsia="仿宋_GB2312" w:hAnsi="宋体" w:cs="宋体" w:hint="eastAsia"/>
          <w:color w:val="auto"/>
          <w:sz w:val="28"/>
          <w:szCs w:val="28"/>
          <w:highlight w:val="none"/>
          <w:u w:val="single"/>
        </w:rPr>
      </w:pPr>
      <w:r>
        <w:rPr>
          <w:rFonts w:ascii="仿宋_GB2312" w:eastAsia="仿宋_GB2312" w:hAnsi="宋体" w:cs="宋体" w:hint="eastAsia"/>
          <w:color w:val="auto"/>
          <w:sz w:val="28"/>
          <w:szCs w:val="28"/>
          <w:highlight w:val="none"/>
        </w:rPr>
        <w:t>运输方式：</w:t>
      </w:r>
      <w:r>
        <w:rPr>
          <w:rFonts w:ascii="仿宋_GB2312" w:eastAsia="仿宋_GB2312" w:hAnsi="宋体" w:cs="宋体" w:hint="eastAsia"/>
          <w:color w:val="auto"/>
          <w:sz w:val="28"/>
          <w:szCs w:val="28"/>
          <w:highlight w:val="none"/>
          <w:u w:val="single"/>
        </w:rPr>
        <w:t xml:space="preserve">                                   </w:t>
      </w:r>
    </w:p>
    <w:p>
      <w:pPr>
        <w:spacing w:line="500" w:lineRule="exact"/>
        <w:ind w:firstLine="560" w:firstLineChars="200"/>
        <w:rPr>
          <w:rFonts w:ascii="黑体" w:eastAsia="黑体" w:hAnsi="黑体" w:cs="宋体" w:hint="eastAsia"/>
          <w:bCs/>
          <w:color w:val="auto"/>
          <w:sz w:val="28"/>
          <w:szCs w:val="28"/>
          <w:highlight w:val="none"/>
        </w:rPr>
      </w:pPr>
      <w:r>
        <w:rPr>
          <w:rFonts w:ascii="黑体" w:eastAsia="黑体" w:hAnsi="黑体" w:cs="宋体" w:hint="eastAsia"/>
          <w:bCs/>
          <w:color w:val="auto"/>
          <w:sz w:val="28"/>
          <w:szCs w:val="28"/>
          <w:highlight w:val="none"/>
        </w:rPr>
        <w:t>第五条 机动集成作业系统的交接</w:t>
      </w:r>
    </w:p>
    <w:p>
      <w:pPr>
        <w:spacing w:line="500" w:lineRule="exact"/>
        <w:ind w:firstLine="560" w:firstLineChars="200"/>
        <w:rPr>
          <w:rFonts w:ascii="仿宋_GB2312" w:eastAsia="仿宋_GB2312" w:hAnsi="宋体" w:cs="宋体" w:hint="default"/>
          <w:color w:val="auto"/>
          <w:sz w:val="28"/>
          <w:szCs w:val="28"/>
          <w:highlight w:val="none"/>
        </w:rPr>
      </w:pPr>
      <w:r>
        <w:rPr>
          <w:rFonts w:ascii="仿宋_GB2312" w:eastAsia="仿宋_GB2312" w:hAnsi="宋体" w:cs="宋体" w:hint="eastAsia"/>
          <w:color w:val="auto"/>
          <w:sz w:val="28"/>
          <w:szCs w:val="28"/>
          <w:highlight w:val="none"/>
        </w:rPr>
        <w:t>机动集成作业系统运送至甲方指定地点，由</w:t>
      </w:r>
      <w:r>
        <w:rPr>
          <w:rFonts w:ascii="仿宋_GB2312" w:eastAsia="仿宋_GB2312" w:hAnsi="宋体" w:cs="宋体" w:hint="eastAsia"/>
          <w:color w:val="auto"/>
          <w:sz w:val="28"/>
          <w:szCs w:val="28"/>
          <w:highlight w:val="none"/>
          <w:lang w:val="en-US" w:eastAsia="zh-CN"/>
        </w:rPr>
        <w:t>乙</w:t>
      </w:r>
      <w:r>
        <w:rPr>
          <w:rFonts w:ascii="仿宋_GB2312" w:eastAsia="仿宋_GB2312" w:hAnsi="宋体" w:cs="宋体" w:hint="eastAsia"/>
          <w:color w:val="auto"/>
          <w:sz w:val="28"/>
          <w:szCs w:val="28"/>
          <w:highlight w:val="none"/>
        </w:rPr>
        <w:t>方</w:t>
      </w:r>
      <w:r>
        <w:rPr>
          <w:rFonts w:ascii="仿宋_GB2312" w:eastAsia="仿宋_GB2312" w:hAnsi="宋体" w:cs="宋体" w:hint="eastAsia"/>
          <w:color w:val="auto"/>
          <w:sz w:val="28"/>
          <w:szCs w:val="28"/>
          <w:highlight w:val="none"/>
          <w:lang w:val="en-US" w:eastAsia="zh-CN"/>
        </w:rPr>
        <w:t>负责</w:t>
      </w:r>
      <w:r>
        <w:rPr>
          <w:rFonts w:ascii="仿宋_GB2312" w:eastAsia="仿宋_GB2312" w:hAnsi="宋体" w:cs="宋体" w:hint="eastAsia"/>
          <w:color w:val="auto"/>
          <w:sz w:val="28"/>
          <w:szCs w:val="28"/>
          <w:highlight w:val="none"/>
        </w:rPr>
        <w:t>卸货，甲、乙双方负责人员核对所订机动集成作业系统</w:t>
      </w:r>
      <w:r>
        <w:rPr>
          <w:rFonts w:ascii="仿宋_GB2312" w:eastAsia="仿宋_GB2312" w:hAnsi="宋体" w:cs="宋体" w:hint="eastAsia"/>
          <w:color w:val="auto"/>
          <w:sz w:val="28"/>
          <w:szCs w:val="28"/>
          <w:highlight w:val="none"/>
          <w:lang w:val="en-US" w:eastAsia="zh-CN"/>
        </w:rPr>
        <w:t>设备</w:t>
      </w:r>
      <w:r>
        <w:rPr>
          <w:rFonts w:ascii="仿宋_GB2312" w:eastAsia="仿宋_GB2312" w:hAnsi="宋体" w:cs="宋体" w:hint="eastAsia"/>
          <w:color w:val="auto"/>
          <w:sz w:val="28"/>
          <w:szCs w:val="28"/>
          <w:highlight w:val="none"/>
        </w:rPr>
        <w:t>数量、规格、型号以及检查完好性。乙方提供机动集成作业系统订货合同清单（发货票）、合格证等相关合同附件材料。确认无误后，甲方向乙方出具收条。</w:t>
      </w:r>
      <w:r>
        <w:rPr>
          <w:rFonts w:ascii="仿宋_GB2312" w:eastAsia="仿宋_GB2312" w:hAnsi="宋体" w:cs="宋体" w:hint="eastAsia"/>
          <w:color w:val="auto"/>
          <w:sz w:val="28"/>
          <w:szCs w:val="28"/>
          <w:highlight w:val="none"/>
          <w:lang w:val="en-US" w:eastAsia="zh-CN"/>
        </w:rPr>
        <w:t>整套系统完成整体测试，达到人工影响天气业务运行标准。</w:t>
      </w:r>
    </w:p>
    <w:p>
      <w:pPr>
        <w:spacing w:line="500" w:lineRule="exact"/>
        <w:ind w:firstLine="560" w:firstLineChars="200"/>
        <w:rPr>
          <w:rFonts w:ascii="黑体" w:eastAsia="黑体" w:hAnsi="黑体" w:cs="宋体" w:hint="eastAsia"/>
          <w:bCs/>
          <w:color w:val="auto"/>
          <w:sz w:val="28"/>
          <w:szCs w:val="28"/>
          <w:highlight w:val="none"/>
        </w:rPr>
      </w:pPr>
      <w:r>
        <w:rPr>
          <w:rFonts w:ascii="黑体" w:eastAsia="黑体" w:hAnsi="黑体" w:cs="宋体" w:hint="eastAsia"/>
          <w:bCs/>
          <w:color w:val="auto"/>
          <w:sz w:val="28"/>
          <w:szCs w:val="28"/>
          <w:highlight w:val="none"/>
        </w:rPr>
        <w:t>第六条 付款要求</w:t>
      </w:r>
    </w:p>
    <w:p>
      <w:pPr>
        <w:pStyle w:val="BodyText"/>
        <w:spacing w:after="0" w:line="400" w:lineRule="exact"/>
        <w:ind w:firstLine="560" w:firstLineChars="200"/>
        <w:rPr>
          <w:rFonts w:ascii="仿宋_GB2312" w:eastAsia="仿宋_GB2312" w:hAnsi="仿宋_GB2312" w:cs="仿宋_GB2312" w:hint="eastAsia"/>
          <w:color w:val="auto"/>
          <w:sz w:val="28"/>
          <w:szCs w:val="28"/>
          <w:highlight w:val="none"/>
        </w:rPr>
      </w:pPr>
      <w:r>
        <w:rPr>
          <w:rFonts w:ascii="仿宋_GB2312" w:eastAsia="仿宋_GB2312" w:hAnsi="仿宋_GB2312" w:cs="仿宋_GB2312" w:hint="eastAsia"/>
          <w:color w:val="auto"/>
          <w:sz w:val="28"/>
          <w:szCs w:val="28"/>
          <w:highlight w:val="none"/>
        </w:rPr>
        <w:t>1.</w:t>
      </w:r>
      <w:r>
        <w:rPr>
          <w:rFonts w:ascii="仿宋_GB2312" w:eastAsia="仿宋_GB2312" w:hAnsi="仿宋_GB2312" w:cs="仿宋_GB2312" w:hint="eastAsia"/>
          <w:color w:val="auto"/>
          <w:sz w:val="28"/>
          <w:szCs w:val="28"/>
          <w:highlight w:val="none"/>
          <w:lang w:val="en-US"/>
        </w:rPr>
        <w:t>合同签订</w:t>
      </w:r>
      <w:r>
        <w:rPr>
          <w:rFonts w:ascii="仿宋_GB2312" w:eastAsia="仿宋_GB2312" w:hAnsi="仿宋_GB2312" w:cs="仿宋_GB2312" w:hint="eastAsia"/>
          <w:color w:val="auto"/>
          <w:sz w:val="28"/>
          <w:szCs w:val="28"/>
          <w:highlight w:val="none"/>
        </w:rPr>
        <w:t>后，乙方开具</w:t>
      </w:r>
      <w:r>
        <w:rPr>
          <w:rFonts w:ascii="仿宋_GB2312" w:eastAsia="仿宋_GB2312" w:hAnsi="仿宋_GB2312" w:cs="仿宋_GB2312" w:hint="eastAsia"/>
          <w:color w:val="auto"/>
          <w:sz w:val="28"/>
          <w:szCs w:val="28"/>
          <w:highlight w:val="none"/>
          <w:lang w:val="en-US" w:eastAsia="zh-CN"/>
        </w:rPr>
        <w:t>合同金额10%的履约保函</w:t>
      </w:r>
      <w:r>
        <w:rPr>
          <w:rFonts w:ascii="仿宋_GB2312" w:eastAsia="仿宋_GB2312" w:hAnsi="仿宋_GB2312" w:cs="仿宋_GB2312" w:hint="eastAsia"/>
          <w:color w:val="auto"/>
          <w:sz w:val="28"/>
          <w:szCs w:val="28"/>
          <w:highlight w:val="none"/>
          <w:lang w:eastAsia="zh-CN"/>
        </w:rPr>
        <w:t>、</w:t>
      </w:r>
      <w:r>
        <w:rPr>
          <w:rFonts w:ascii="仿宋_GB2312" w:eastAsia="仿宋_GB2312" w:hAnsi="仿宋_GB2312" w:cs="仿宋_GB2312" w:hint="eastAsia"/>
          <w:color w:val="auto"/>
          <w:sz w:val="28"/>
          <w:szCs w:val="28"/>
          <w:highlight w:val="none"/>
        </w:rPr>
        <w:t>正式发票，甲方收到乙方的</w:t>
      </w:r>
      <w:r>
        <w:rPr>
          <w:rFonts w:ascii="仿宋_GB2312" w:eastAsia="仿宋_GB2312" w:hAnsi="仿宋_GB2312" w:cs="仿宋_GB2312" w:hint="eastAsia"/>
          <w:color w:val="auto"/>
          <w:sz w:val="28"/>
          <w:szCs w:val="28"/>
          <w:highlight w:val="none"/>
          <w:lang w:val="en-US" w:eastAsia="zh-CN"/>
        </w:rPr>
        <w:t>履约保函和</w:t>
      </w:r>
      <w:r>
        <w:rPr>
          <w:rFonts w:ascii="仿宋_GB2312" w:eastAsia="仿宋_GB2312" w:hAnsi="仿宋_GB2312" w:cs="仿宋_GB2312" w:hint="eastAsia"/>
          <w:color w:val="auto"/>
          <w:sz w:val="28"/>
          <w:szCs w:val="28"/>
          <w:highlight w:val="none"/>
        </w:rPr>
        <w:t>正式发票之日起【</w:t>
      </w:r>
      <w:r>
        <w:rPr>
          <w:rFonts w:ascii="仿宋_GB2312" w:eastAsia="仿宋_GB2312" w:hAnsi="仿宋_GB2312" w:cs="仿宋_GB2312" w:hint="eastAsia"/>
          <w:color w:val="auto"/>
          <w:sz w:val="28"/>
          <w:szCs w:val="28"/>
          <w:highlight w:val="none"/>
          <w:lang w:val="en-US"/>
        </w:rPr>
        <w:t>1</w:t>
      </w:r>
      <w:r>
        <w:rPr>
          <w:rFonts w:ascii="仿宋_GB2312" w:eastAsia="仿宋_GB2312" w:hAnsi="仿宋_GB2312" w:cs="仿宋_GB2312" w:hint="eastAsia"/>
          <w:color w:val="auto"/>
          <w:sz w:val="28"/>
          <w:szCs w:val="28"/>
          <w:highlight w:val="none"/>
          <w:lang w:val="en-US" w:eastAsia="zh-CN"/>
        </w:rPr>
        <w:t>5</w:t>
      </w:r>
      <w:r>
        <w:rPr>
          <w:rFonts w:ascii="仿宋_GB2312" w:eastAsia="仿宋_GB2312" w:hAnsi="仿宋_GB2312" w:cs="仿宋_GB2312" w:hint="eastAsia"/>
          <w:color w:val="auto"/>
          <w:sz w:val="28"/>
          <w:szCs w:val="28"/>
          <w:highlight w:val="none"/>
        </w:rPr>
        <w:t>】个工作日内，向乙方支付合同金额的</w:t>
      </w:r>
      <w:r>
        <w:rPr>
          <w:rFonts w:ascii="仿宋_GB2312" w:eastAsia="仿宋_GB2312" w:hAnsi="仿宋_GB2312" w:cs="仿宋_GB2312" w:hint="eastAsia"/>
          <w:color w:val="auto"/>
          <w:sz w:val="28"/>
          <w:szCs w:val="28"/>
          <w:highlight w:val="none"/>
          <w:lang w:val="en-US"/>
        </w:rPr>
        <w:t>5</w:t>
      </w:r>
      <w:r>
        <w:rPr>
          <w:rFonts w:ascii="仿宋_GB2312" w:eastAsia="仿宋_GB2312" w:hAnsi="仿宋_GB2312" w:cs="仿宋_GB2312" w:hint="eastAsia"/>
          <w:color w:val="auto"/>
          <w:sz w:val="28"/>
          <w:szCs w:val="28"/>
          <w:highlight w:val="none"/>
        </w:rPr>
        <w:t>0%款项：即</w:t>
      </w:r>
      <w:r>
        <w:rPr>
          <w:rFonts w:ascii="仿宋_GB2312" w:eastAsia="仿宋_GB2312" w:hAnsi="仿宋_GB2312" w:cs="仿宋_GB2312" w:hint="eastAsia"/>
          <w:b/>
          <w:bCs/>
          <w:color w:val="auto"/>
          <w:sz w:val="28"/>
          <w:szCs w:val="28"/>
          <w:highlight w:val="none"/>
          <w:u w:val="single"/>
        </w:rPr>
        <w:t xml:space="preserve">                               </w:t>
      </w:r>
      <w:r>
        <w:rPr>
          <w:rFonts w:ascii="仿宋_GB2312" w:eastAsia="仿宋_GB2312" w:hAnsi="仿宋_GB2312" w:cs="仿宋_GB2312" w:hint="eastAsia"/>
          <w:color w:val="auto"/>
          <w:sz w:val="28"/>
          <w:szCs w:val="28"/>
          <w:highlight w:val="none"/>
        </w:rPr>
        <w:t>。</w:t>
      </w:r>
    </w:p>
    <w:p>
      <w:pPr>
        <w:pStyle w:val="BodyText"/>
        <w:spacing w:after="0" w:line="400" w:lineRule="exact"/>
        <w:ind w:firstLine="560" w:firstLineChars="200"/>
        <w:rPr>
          <w:rFonts w:ascii="仿宋_GB2312" w:eastAsia="仿宋_GB2312" w:hAnsi="仿宋_GB2312" w:cs="仿宋_GB2312" w:hint="eastAsia"/>
          <w:color w:val="auto"/>
          <w:sz w:val="28"/>
          <w:szCs w:val="28"/>
          <w:highlight w:val="none"/>
        </w:rPr>
      </w:pPr>
      <w:r>
        <w:rPr>
          <w:rFonts w:ascii="仿宋_GB2312" w:eastAsia="仿宋_GB2312" w:hAnsi="仿宋_GB2312" w:cs="仿宋_GB2312" w:hint="eastAsia"/>
          <w:color w:val="auto"/>
          <w:sz w:val="28"/>
          <w:szCs w:val="28"/>
          <w:highlight w:val="none"/>
        </w:rPr>
        <w:t>2.项目</w:t>
      </w:r>
      <w:r>
        <w:rPr>
          <w:rFonts w:ascii="仿宋_GB2312" w:eastAsia="仿宋_GB2312" w:hAnsi="仿宋_GB2312" w:cs="仿宋_GB2312" w:hint="eastAsia"/>
          <w:color w:val="auto"/>
          <w:sz w:val="28"/>
          <w:szCs w:val="28"/>
          <w:highlight w:val="none"/>
          <w:lang w:val="en-US"/>
        </w:rPr>
        <w:t>进度完成50%，甲方组织中期检查。中期检查</w:t>
      </w:r>
      <w:r>
        <w:rPr>
          <w:rFonts w:ascii="仿宋_GB2312" w:eastAsia="仿宋_GB2312" w:hAnsi="仿宋_GB2312" w:cs="仿宋_GB2312" w:hint="eastAsia"/>
          <w:color w:val="auto"/>
          <w:sz w:val="28"/>
          <w:szCs w:val="28"/>
          <w:highlight w:val="none"/>
        </w:rPr>
        <w:t>结束，收到乙方的正式发票之日起【</w:t>
      </w:r>
      <w:r>
        <w:rPr>
          <w:rFonts w:ascii="仿宋_GB2312" w:eastAsia="仿宋_GB2312" w:hAnsi="仿宋_GB2312" w:cs="仿宋_GB2312" w:hint="eastAsia"/>
          <w:color w:val="auto"/>
          <w:sz w:val="28"/>
          <w:szCs w:val="28"/>
          <w:highlight w:val="none"/>
          <w:lang w:val="en-US"/>
        </w:rPr>
        <w:t>1</w:t>
      </w:r>
      <w:r>
        <w:rPr>
          <w:rFonts w:ascii="仿宋_GB2312" w:eastAsia="仿宋_GB2312" w:hAnsi="仿宋_GB2312" w:cs="仿宋_GB2312" w:hint="eastAsia"/>
          <w:color w:val="auto"/>
          <w:sz w:val="28"/>
          <w:szCs w:val="28"/>
          <w:highlight w:val="none"/>
          <w:lang w:val="en-US" w:eastAsia="zh-CN"/>
        </w:rPr>
        <w:t>5</w:t>
      </w:r>
      <w:r>
        <w:rPr>
          <w:rFonts w:ascii="仿宋_GB2312" w:eastAsia="仿宋_GB2312" w:hAnsi="仿宋_GB2312" w:cs="仿宋_GB2312" w:hint="eastAsia"/>
          <w:color w:val="auto"/>
          <w:sz w:val="28"/>
          <w:szCs w:val="28"/>
          <w:highlight w:val="none"/>
        </w:rPr>
        <w:t>】个工作日内，向乙方支付合同金额的</w:t>
      </w:r>
      <w:r>
        <w:rPr>
          <w:rFonts w:ascii="仿宋_GB2312" w:eastAsia="仿宋_GB2312" w:hAnsi="仿宋_GB2312" w:cs="仿宋_GB2312" w:hint="eastAsia"/>
          <w:color w:val="auto"/>
          <w:sz w:val="28"/>
          <w:szCs w:val="28"/>
          <w:highlight w:val="none"/>
          <w:lang w:val="en-US"/>
        </w:rPr>
        <w:t>3</w:t>
      </w:r>
      <w:r>
        <w:rPr>
          <w:rFonts w:ascii="仿宋_GB2312" w:eastAsia="仿宋_GB2312" w:hAnsi="仿宋_GB2312" w:cs="仿宋_GB2312" w:hint="eastAsia"/>
          <w:color w:val="auto"/>
          <w:sz w:val="28"/>
          <w:szCs w:val="28"/>
          <w:highlight w:val="none"/>
        </w:rPr>
        <w:t>0%：即</w:t>
      </w:r>
      <w:r>
        <w:rPr>
          <w:rFonts w:ascii="仿宋_GB2312" w:eastAsia="仿宋_GB2312" w:hAnsi="仿宋_GB2312" w:cs="仿宋_GB2312" w:hint="eastAsia"/>
          <w:b/>
          <w:bCs/>
          <w:color w:val="auto"/>
          <w:sz w:val="28"/>
          <w:szCs w:val="28"/>
          <w:highlight w:val="none"/>
          <w:u w:val="single"/>
        </w:rPr>
        <w:t xml:space="preserve">                  </w:t>
      </w:r>
      <w:r>
        <w:rPr>
          <w:rFonts w:ascii="仿宋_GB2312" w:eastAsia="仿宋_GB2312" w:hAnsi="仿宋_GB2312" w:cs="仿宋_GB2312" w:hint="eastAsia"/>
          <w:color w:val="auto"/>
          <w:sz w:val="28"/>
          <w:szCs w:val="28"/>
          <w:highlight w:val="none"/>
        </w:rPr>
        <w:t>。</w:t>
      </w:r>
    </w:p>
    <w:p>
      <w:pPr>
        <w:pStyle w:val="BodyText"/>
        <w:spacing w:after="0" w:line="400" w:lineRule="exact"/>
        <w:ind w:firstLine="560" w:firstLineChars="200"/>
        <w:rPr>
          <w:rFonts w:ascii="仿宋_GB2312" w:eastAsia="仿宋_GB2312" w:hAnsi="仿宋_GB2312" w:cs="仿宋_GB2312" w:hint="eastAsia"/>
          <w:color w:val="auto"/>
          <w:sz w:val="28"/>
          <w:szCs w:val="28"/>
          <w:highlight w:val="none"/>
          <w:lang w:val="en-US"/>
        </w:rPr>
      </w:pPr>
      <w:r>
        <w:rPr>
          <w:rFonts w:ascii="仿宋_GB2312" w:eastAsia="仿宋_GB2312" w:hAnsi="仿宋_GB2312" w:cs="仿宋_GB2312" w:hint="eastAsia"/>
          <w:color w:val="auto"/>
          <w:sz w:val="28"/>
          <w:szCs w:val="28"/>
          <w:highlight w:val="none"/>
          <w:lang w:val="en-US"/>
        </w:rPr>
        <w:t>3</w:t>
      </w:r>
      <w:r>
        <w:rPr>
          <w:rFonts w:ascii="仿宋_GB2312" w:eastAsia="仿宋_GB2312" w:hAnsi="仿宋_GB2312" w:cs="仿宋_GB2312" w:hint="eastAsia"/>
          <w:color w:val="auto"/>
          <w:sz w:val="28"/>
          <w:szCs w:val="28"/>
          <w:highlight w:val="none"/>
        </w:rPr>
        <w:t>.</w:t>
      </w:r>
      <w:r>
        <w:rPr>
          <w:rFonts w:ascii="仿宋_GB2312" w:eastAsia="仿宋_GB2312" w:hAnsi="仿宋_GB2312" w:cs="仿宋_GB2312" w:hint="eastAsia"/>
          <w:color w:val="auto"/>
          <w:sz w:val="28"/>
          <w:szCs w:val="28"/>
          <w:highlight w:val="none"/>
          <w:lang w:val="en-US" w:eastAsia="zh-CN"/>
        </w:rPr>
        <w:t>完成系统集成和业务测试后</w:t>
      </w:r>
      <w:r>
        <w:rPr>
          <w:rFonts w:ascii="仿宋_GB2312" w:eastAsia="仿宋_GB2312" w:hAnsi="仿宋_GB2312" w:cs="仿宋_GB2312" w:hint="eastAsia"/>
          <w:color w:val="auto"/>
          <w:sz w:val="28"/>
          <w:szCs w:val="28"/>
          <w:highlight w:val="none"/>
        </w:rPr>
        <w:t>，</w:t>
      </w:r>
      <w:r>
        <w:rPr>
          <w:rFonts w:ascii="仿宋_GB2312" w:eastAsia="仿宋_GB2312" w:hAnsi="仿宋_GB2312" w:cs="仿宋_GB2312" w:hint="eastAsia"/>
          <w:color w:val="auto"/>
          <w:sz w:val="28"/>
          <w:szCs w:val="28"/>
          <w:highlight w:val="none"/>
          <w:lang w:val="en-US" w:eastAsia="zh-CN"/>
        </w:rPr>
        <w:t>甲方确认并</w:t>
      </w:r>
      <w:r>
        <w:rPr>
          <w:rFonts w:ascii="仿宋_GB2312" w:eastAsia="仿宋_GB2312" w:hAnsi="仿宋_GB2312" w:cs="仿宋_GB2312" w:hint="eastAsia"/>
          <w:color w:val="auto"/>
          <w:sz w:val="28"/>
          <w:szCs w:val="28"/>
          <w:highlight w:val="none"/>
        </w:rPr>
        <w:t>收到乙方的正式发票之日起【</w:t>
      </w:r>
      <w:r>
        <w:rPr>
          <w:rFonts w:ascii="仿宋_GB2312" w:eastAsia="仿宋_GB2312" w:hAnsi="仿宋_GB2312" w:cs="仿宋_GB2312" w:hint="eastAsia"/>
          <w:color w:val="auto"/>
          <w:sz w:val="28"/>
          <w:szCs w:val="28"/>
          <w:highlight w:val="none"/>
          <w:lang w:val="en-US"/>
        </w:rPr>
        <w:t>1</w:t>
      </w:r>
      <w:r>
        <w:rPr>
          <w:rFonts w:ascii="仿宋_GB2312" w:eastAsia="仿宋_GB2312" w:hAnsi="仿宋_GB2312" w:cs="仿宋_GB2312" w:hint="eastAsia"/>
          <w:color w:val="auto"/>
          <w:sz w:val="28"/>
          <w:szCs w:val="28"/>
          <w:highlight w:val="none"/>
          <w:lang w:val="en-US" w:eastAsia="zh-CN"/>
        </w:rPr>
        <w:t>5</w:t>
      </w:r>
      <w:r>
        <w:rPr>
          <w:rFonts w:ascii="仿宋_GB2312" w:eastAsia="仿宋_GB2312" w:hAnsi="仿宋_GB2312" w:cs="仿宋_GB2312" w:hint="eastAsia"/>
          <w:color w:val="auto"/>
          <w:sz w:val="28"/>
          <w:szCs w:val="28"/>
          <w:highlight w:val="none"/>
        </w:rPr>
        <w:t>】个工作日内，甲方向乙方支付合同金额剩余的</w:t>
      </w:r>
      <w:r>
        <w:rPr>
          <w:rFonts w:ascii="仿宋_GB2312" w:eastAsia="仿宋_GB2312" w:hAnsi="仿宋_GB2312" w:cs="仿宋_GB2312" w:hint="eastAsia"/>
          <w:color w:val="auto"/>
          <w:sz w:val="28"/>
          <w:szCs w:val="28"/>
          <w:highlight w:val="none"/>
          <w:lang w:val="en-US"/>
        </w:rPr>
        <w:t>20%：即</w:t>
      </w:r>
      <w:r>
        <w:rPr>
          <w:rFonts w:ascii="仿宋_GB2312" w:eastAsia="仿宋_GB2312" w:hAnsi="仿宋_GB2312" w:cs="仿宋_GB2312" w:hint="eastAsia"/>
          <w:color w:val="auto"/>
          <w:sz w:val="28"/>
          <w:szCs w:val="28"/>
          <w:highlight w:val="none"/>
          <w:u w:val="single"/>
          <w:lang w:val="en-US"/>
        </w:rPr>
        <w:t xml:space="preserve">                  </w:t>
      </w:r>
      <w:r>
        <w:rPr>
          <w:rFonts w:ascii="仿宋_GB2312" w:eastAsia="仿宋_GB2312" w:hAnsi="仿宋_GB2312" w:cs="仿宋_GB2312" w:hint="eastAsia"/>
          <w:color w:val="auto"/>
          <w:sz w:val="28"/>
          <w:szCs w:val="28"/>
          <w:highlight w:val="none"/>
          <w:lang w:val="en-US"/>
        </w:rPr>
        <w:t>。</w:t>
      </w:r>
    </w:p>
    <w:p>
      <w:pPr>
        <w:pStyle w:val="BodyText"/>
        <w:spacing w:after="0" w:line="400" w:lineRule="exact"/>
        <w:ind w:firstLine="560" w:firstLineChars="200"/>
        <w:rPr>
          <w:rFonts w:ascii="仿宋_GB2312" w:eastAsia="仿宋_GB2312" w:hAnsi="仿宋_GB2312" w:cs="仿宋_GB2312" w:hint="eastAsia"/>
          <w:color w:val="auto"/>
          <w:sz w:val="28"/>
          <w:szCs w:val="28"/>
          <w:highlight w:val="none"/>
          <w:lang w:val="en-US"/>
        </w:rPr>
      </w:pPr>
      <w:r>
        <w:rPr>
          <w:rFonts w:ascii="仿宋_GB2312" w:eastAsia="仿宋_GB2312" w:hAnsi="仿宋_GB2312" w:cs="仿宋_GB2312" w:hint="eastAsia"/>
          <w:color w:val="auto"/>
          <w:sz w:val="28"/>
          <w:szCs w:val="28"/>
          <w:highlight w:val="none"/>
          <w:lang w:val="en-US" w:eastAsia="zh-CN"/>
        </w:rPr>
        <w:t>4</w:t>
      </w:r>
      <w:r>
        <w:rPr>
          <w:rFonts w:ascii="仿宋_GB2312" w:eastAsia="仿宋_GB2312" w:hAnsi="仿宋_GB2312" w:cs="仿宋_GB2312" w:hint="eastAsia"/>
          <w:color w:val="auto"/>
          <w:sz w:val="28"/>
          <w:szCs w:val="28"/>
          <w:highlight w:val="none"/>
        </w:rPr>
        <w:t>.</w:t>
      </w:r>
      <w:r>
        <w:rPr>
          <w:rFonts w:ascii="仿宋_GB2312" w:eastAsia="仿宋_GB2312" w:hAnsi="仿宋_GB2312" w:cs="仿宋_GB2312" w:hint="eastAsia"/>
          <w:color w:val="auto"/>
          <w:sz w:val="28"/>
          <w:szCs w:val="28"/>
          <w:highlight w:val="none"/>
          <w:lang w:val="en-US"/>
        </w:rPr>
        <w:t>合同验收完成</w:t>
      </w:r>
      <w:r>
        <w:rPr>
          <w:rFonts w:ascii="仿宋_GB2312" w:eastAsia="仿宋_GB2312" w:hAnsi="仿宋_GB2312" w:cs="仿宋_GB2312" w:hint="eastAsia"/>
          <w:color w:val="auto"/>
          <w:sz w:val="28"/>
          <w:szCs w:val="28"/>
          <w:highlight w:val="none"/>
        </w:rPr>
        <w:t>，</w:t>
      </w:r>
      <w:r>
        <w:rPr>
          <w:rFonts w:ascii="仿宋_GB2312" w:eastAsia="仿宋_GB2312" w:hAnsi="仿宋_GB2312" w:cs="仿宋_GB2312" w:hint="eastAsia"/>
          <w:color w:val="auto"/>
          <w:sz w:val="28"/>
          <w:szCs w:val="28"/>
          <w:highlight w:val="none"/>
          <w:lang w:val="en-US"/>
        </w:rPr>
        <w:t>质保期满或经甲乙双方协商一致后，</w:t>
      </w:r>
      <w:r>
        <w:rPr>
          <w:rFonts w:ascii="仿宋_GB2312" w:eastAsia="仿宋_GB2312" w:hAnsi="仿宋_GB2312" w:cs="仿宋_GB2312" w:hint="eastAsia"/>
          <w:color w:val="auto"/>
          <w:sz w:val="28"/>
          <w:szCs w:val="28"/>
          <w:highlight w:val="none"/>
          <w:lang w:val="en-US" w:eastAsia="zh-CN"/>
        </w:rPr>
        <w:t>履约保函失效</w:t>
      </w:r>
      <w:r>
        <w:rPr>
          <w:rFonts w:ascii="仿宋_GB2312" w:eastAsia="仿宋_GB2312" w:hAnsi="仿宋_GB2312" w:cs="仿宋_GB2312" w:hint="eastAsia"/>
          <w:color w:val="auto"/>
          <w:sz w:val="28"/>
          <w:szCs w:val="28"/>
          <w:highlight w:val="none"/>
          <w:lang w:val="en-US"/>
        </w:rPr>
        <w:t>。</w:t>
      </w:r>
    </w:p>
    <w:p>
      <w:pPr>
        <w:spacing w:line="500" w:lineRule="exact"/>
        <w:ind w:firstLine="560" w:firstLineChars="200"/>
        <w:rPr>
          <w:rFonts w:ascii="黑体" w:eastAsia="黑体" w:hAnsi="黑体" w:cs="宋体" w:hint="eastAsia"/>
          <w:bCs/>
          <w:color w:val="auto"/>
          <w:sz w:val="28"/>
          <w:szCs w:val="28"/>
          <w:highlight w:val="none"/>
        </w:rPr>
      </w:pPr>
      <w:r>
        <w:rPr>
          <w:rFonts w:ascii="黑体" w:eastAsia="黑体" w:hAnsi="黑体" w:cs="宋体" w:hint="eastAsia"/>
          <w:bCs/>
          <w:color w:val="auto"/>
          <w:sz w:val="28"/>
          <w:szCs w:val="28"/>
          <w:highlight w:val="none"/>
        </w:rPr>
        <w:t>第七条 甲乙双方的权利和义务</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（一）甲方的权利和义务</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1、甲方的权利</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乙方所提供的机动集成作业系统未按合同约定的型号、数量及规格要求的，甲方有权要求乙方更换所提供的</w:t>
      </w:r>
      <w:r>
        <w:rPr>
          <w:rFonts w:ascii="仿宋_GB2312" w:eastAsia="仿宋_GB2312" w:hAnsi="宋体" w:cs="宋体" w:hint="eastAsia"/>
          <w:color w:val="auto"/>
          <w:sz w:val="28"/>
          <w:szCs w:val="28"/>
          <w:highlight w:val="none"/>
          <w:lang w:val="en-US" w:eastAsia="zh-CN"/>
        </w:rPr>
        <w:t>设备</w:t>
      </w:r>
      <w:r>
        <w:rPr>
          <w:rFonts w:ascii="仿宋_GB2312" w:eastAsia="仿宋_GB2312" w:hAnsi="宋体" w:cs="宋体" w:hint="eastAsia"/>
          <w:color w:val="auto"/>
          <w:sz w:val="28"/>
          <w:szCs w:val="28"/>
          <w:highlight w:val="none"/>
        </w:rPr>
        <w:t>，其中产生的费用由乙方自行承担。</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2、甲方的义务</w:t>
      </w:r>
    </w:p>
    <w:p>
      <w:pPr>
        <w:spacing w:line="500" w:lineRule="exact"/>
        <w:ind w:firstLine="420" w:firstLineChars="15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（1）乙方将甲方订购的机动集成作业系统运送至交接地点，甲方应组织人员及时核对所订机动集成作业系统设备数量、规格、型号以及检查完好性。</w:t>
      </w:r>
    </w:p>
    <w:p>
      <w:pPr>
        <w:spacing w:line="500" w:lineRule="exact"/>
        <w:ind w:firstLine="420" w:firstLineChars="15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（2）甲方负责协助乙方完成机动集成作业系统的</w:t>
      </w:r>
      <w:r>
        <w:rPr>
          <w:rFonts w:ascii="仿宋_GB2312" w:eastAsia="仿宋_GB2312" w:hAnsi="宋体" w:cs="宋体" w:hint="eastAsia"/>
          <w:color w:val="auto"/>
          <w:sz w:val="28"/>
          <w:szCs w:val="28"/>
          <w:highlight w:val="none"/>
          <w:lang w:val="en-US" w:eastAsia="zh-CN"/>
        </w:rPr>
        <w:t>安置</w:t>
      </w:r>
      <w:r>
        <w:rPr>
          <w:rFonts w:ascii="仿宋_GB2312" w:eastAsia="仿宋_GB2312" w:hAnsi="宋体" w:cs="宋体" w:hint="eastAsia"/>
          <w:color w:val="auto"/>
          <w:sz w:val="28"/>
          <w:szCs w:val="28"/>
          <w:highlight w:val="none"/>
        </w:rPr>
        <w:t>工作。</w:t>
      </w:r>
    </w:p>
    <w:p>
      <w:pPr>
        <w:spacing w:line="500" w:lineRule="exact"/>
        <w:ind w:firstLine="420" w:firstLineChars="150"/>
        <w:rPr>
          <w:rFonts w:ascii="仿宋_GB2312" w:eastAsia="仿宋_GB2312" w:hAnsi="宋体" w:cs="宋体" w:hint="eastAsia"/>
          <w:color w:val="auto"/>
          <w:sz w:val="28"/>
          <w:szCs w:val="28"/>
          <w:highlight w:val="none"/>
        </w:rPr>
      </w:pPr>
      <w:bookmarkStart w:id="152" w:name="_Hlk109951995"/>
      <w:r>
        <w:rPr>
          <w:rFonts w:ascii="仿宋_GB2312" w:eastAsia="仿宋_GB2312" w:hAnsi="宋体" w:cs="宋体" w:hint="eastAsia"/>
          <w:color w:val="auto"/>
          <w:sz w:val="28"/>
          <w:szCs w:val="28"/>
          <w:highlight w:val="none"/>
        </w:rPr>
        <w:t>（3）甲方有义务按照本合同约定，按时、足额支付货款。</w:t>
      </w:r>
      <w:bookmarkEnd w:id="152"/>
    </w:p>
    <w:p>
      <w:pPr>
        <w:spacing w:line="500" w:lineRule="exact"/>
        <w:ind w:firstLine="560" w:firstLineChars="200"/>
        <w:rPr>
          <w:rFonts w:ascii="仿宋_GB2312" w:eastAsia="仿宋_GB2312" w:hAnsi="宋体" w:cs="宋体" w:hint="eastAsia"/>
          <w:bCs/>
          <w:color w:val="auto"/>
          <w:sz w:val="28"/>
          <w:szCs w:val="28"/>
          <w:highlight w:val="none"/>
        </w:rPr>
      </w:pPr>
      <w:r>
        <w:rPr>
          <w:rFonts w:ascii="仿宋_GB2312" w:eastAsia="仿宋_GB2312" w:hAnsi="宋体" w:cs="宋体" w:hint="eastAsia"/>
          <w:bCs/>
          <w:color w:val="auto"/>
          <w:sz w:val="28"/>
          <w:szCs w:val="28"/>
          <w:highlight w:val="none"/>
        </w:rPr>
        <w:t>（二）乙方的权利和义务</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1、乙方的权利</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（1）乙方如遇路况不能保障车辆运输安全时，乙方有权要求甲方更换卸货地点或者重新规划运输路线。因此原因造成的供货逾期，不视为乙方违约。</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（2）乙方有权利按照本合同约定，按时、足额向甲方收取货款。</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2、乙方的义务</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（1）接受气象部门或检验单位的检查、监督，提高产品质量，按照订货合同的约定组织生产，做到诚实守信，确保机动集成作业系统的产品质量和服务质量。</w:t>
      </w:r>
    </w:p>
    <w:p>
      <w:pPr>
        <w:spacing w:line="560" w:lineRule="exact"/>
        <w:ind w:firstLine="560" w:firstLineChars="200"/>
        <w:rPr>
          <w:rFonts w:ascii="仿宋_GB2312" w:eastAsia="仿宋_GB2312" w:hAnsi="宋体" w:hint="eastAsia"/>
          <w:color w:val="auto"/>
          <w:sz w:val="28"/>
          <w:szCs w:val="28"/>
          <w:highlight w:val="none"/>
        </w:rPr>
      </w:pPr>
      <w:r>
        <w:rPr>
          <w:rFonts w:ascii="仿宋_GB2312" w:eastAsia="仿宋_GB2312" w:hAnsi="宋体" w:hint="eastAsia"/>
          <w:color w:val="auto"/>
          <w:sz w:val="28"/>
          <w:szCs w:val="28"/>
          <w:highlight w:val="none"/>
        </w:rPr>
        <w:t>（2）乙方须按合同约定，保质保量、按时将机动集成作业系统送抵甲方指定交接地点。</w:t>
      </w:r>
    </w:p>
    <w:p>
      <w:pPr>
        <w:spacing w:line="560" w:lineRule="exact"/>
        <w:ind w:firstLine="560" w:firstLineChars="200"/>
        <w:rPr>
          <w:rFonts w:ascii="仿宋_GB2312" w:eastAsia="仿宋_GB2312" w:hAnsi="宋体" w:hint="eastAsia"/>
          <w:color w:val="auto"/>
          <w:sz w:val="28"/>
          <w:szCs w:val="28"/>
          <w:highlight w:val="none"/>
        </w:rPr>
      </w:pPr>
      <w:r>
        <w:rPr>
          <w:rFonts w:ascii="仿宋_GB2312" w:eastAsia="仿宋_GB2312" w:hAnsi="宋体" w:hint="eastAsia"/>
          <w:color w:val="auto"/>
          <w:sz w:val="28"/>
          <w:szCs w:val="28"/>
          <w:highlight w:val="none"/>
        </w:rPr>
        <w:t>（3）乙方负责完成甲方订购机动集成作业系统的安装工作，并对</w:t>
      </w:r>
      <w:r>
        <w:rPr>
          <w:rFonts w:ascii="仿宋_GB2312" w:eastAsia="仿宋_GB2312" w:hAnsi="宋体" w:hint="eastAsia"/>
          <w:color w:val="auto"/>
          <w:sz w:val="28"/>
          <w:szCs w:val="28"/>
          <w:highlight w:val="none"/>
          <w:lang w:val="en-US" w:eastAsia="zh-CN"/>
        </w:rPr>
        <w:t>相关</w:t>
      </w:r>
      <w:r>
        <w:rPr>
          <w:rFonts w:ascii="仿宋_GB2312" w:eastAsia="仿宋_GB2312" w:hAnsi="宋体" w:hint="eastAsia"/>
          <w:color w:val="auto"/>
          <w:sz w:val="28"/>
          <w:szCs w:val="28"/>
          <w:highlight w:val="none"/>
        </w:rPr>
        <w:t>人员进行培训。</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（4）甲方在招标文件中的采购需求及各项技术标准、质量要求以及乙方在投标文件中的响应和承诺，乙方严格遵照履行，如有违反承担相应的违约责任。</w:t>
      </w:r>
    </w:p>
    <w:p>
      <w:pPr>
        <w:spacing w:line="500" w:lineRule="exact"/>
        <w:ind w:firstLine="560" w:firstLineChars="200"/>
        <w:rPr>
          <w:rFonts w:ascii="黑体" w:eastAsia="黑体" w:hAnsi="黑体" w:cs="宋体" w:hint="eastAsia"/>
          <w:bCs/>
          <w:color w:val="auto"/>
          <w:sz w:val="28"/>
          <w:szCs w:val="28"/>
          <w:highlight w:val="none"/>
        </w:rPr>
      </w:pPr>
      <w:r>
        <w:rPr>
          <w:rFonts w:ascii="黑体" w:eastAsia="黑体" w:hAnsi="黑体" w:cs="宋体" w:hint="eastAsia"/>
          <w:bCs/>
          <w:color w:val="auto"/>
          <w:sz w:val="28"/>
          <w:szCs w:val="28"/>
          <w:highlight w:val="none"/>
        </w:rPr>
        <w:t>第八条 技术服务和保修责任方式</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1、乙方对</w:t>
      </w:r>
      <w:r>
        <w:rPr>
          <w:rFonts w:ascii="仿宋_GB2312" w:eastAsia="仿宋_GB2312" w:hAnsi="宋体" w:hint="eastAsia"/>
          <w:color w:val="auto"/>
          <w:sz w:val="28"/>
          <w:szCs w:val="28"/>
          <w:highlight w:val="none"/>
        </w:rPr>
        <w:t>机动集成作业系统</w:t>
      </w:r>
      <w:r>
        <w:rPr>
          <w:rFonts w:ascii="仿宋_GB2312" w:eastAsia="仿宋_GB2312" w:hAnsi="宋体" w:cs="宋体" w:hint="eastAsia"/>
          <w:color w:val="auto"/>
          <w:sz w:val="28"/>
          <w:szCs w:val="28"/>
          <w:highlight w:val="none"/>
        </w:rPr>
        <w:t>质量保修期为验收证书签署之日起</w:t>
      </w:r>
      <w:r>
        <w:rPr>
          <w:rFonts w:ascii="仿宋_GB2312" w:eastAsia="仿宋_GB2312" w:hAnsi="宋体" w:cs="宋体" w:hint="eastAsia"/>
          <w:color w:val="auto"/>
          <w:sz w:val="28"/>
          <w:szCs w:val="28"/>
          <w:highlight w:val="none"/>
          <w:u w:val="single"/>
        </w:rPr>
        <w:t xml:space="preserve"> </w:t>
      </w:r>
      <w:r>
        <w:rPr>
          <w:rFonts w:ascii="仿宋_GB2312" w:eastAsia="仿宋_GB2312" w:hAnsi="宋体" w:cs="宋体" w:hint="eastAsia"/>
          <w:color w:val="auto"/>
          <w:sz w:val="28"/>
          <w:szCs w:val="28"/>
          <w:highlight w:val="none"/>
        </w:rPr>
        <w:t>个月。</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2、乙方在</w:t>
      </w:r>
      <w:r>
        <w:rPr>
          <w:rFonts w:ascii="仿宋_GB2312" w:eastAsia="仿宋_GB2312" w:hAnsi="宋体" w:hint="eastAsia"/>
          <w:color w:val="auto"/>
          <w:sz w:val="28"/>
          <w:szCs w:val="28"/>
          <w:highlight w:val="none"/>
        </w:rPr>
        <w:t>机动集成作业系统</w:t>
      </w:r>
      <w:r>
        <w:rPr>
          <w:rFonts w:ascii="仿宋_GB2312" w:eastAsia="仿宋_GB2312" w:hAnsi="宋体" w:cs="宋体" w:hint="eastAsia"/>
          <w:color w:val="auto"/>
          <w:sz w:val="28"/>
          <w:szCs w:val="28"/>
          <w:highlight w:val="none"/>
        </w:rPr>
        <w:t>的质量保修期内，免费为甲方提供</w:t>
      </w:r>
      <w:r>
        <w:rPr>
          <w:rFonts w:ascii="仿宋_GB2312" w:eastAsia="仿宋_GB2312" w:hAnsi="宋体" w:hint="eastAsia"/>
          <w:color w:val="auto"/>
          <w:sz w:val="28"/>
          <w:szCs w:val="28"/>
          <w:highlight w:val="none"/>
        </w:rPr>
        <w:t>人影作业装备</w:t>
      </w:r>
      <w:r>
        <w:rPr>
          <w:rFonts w:ascii="仿宋_GB2312" w:eastAsia="仿宋_GB2312" w:hAnsi="宋体" w:cs="宋体" w:hint="eastAsia"/>
          <w:color w:val="auto"/>
          <w:sz w:val="28"/>
          <w:szCs w:val="28"/>
          <w:highlight w:val="none"/>
        </w:rPr>
        <w:t>的技术指导和维修服务服务的时间是：每周</w:t>
      </w:r>
      <w:r>
        <w:rPr>
          <w:rFonts w:ascii="仿宋_GB2312" w:eastAsia="仿宋_GB2312" w:hAnsi="宋体" w:cs="宋体" w:hint="eastAsia"/>
          <w:color w:val="auto"/>
          <w:sz w:val="28"/>
          <w:szCs w:val="28"/>
          <w:highlight w:val="none"/>
          <w:u w:val="single"/>
        </w:rPr>
        <w:t xml:space="preserve"> 7 </w:t>
      </w:r>
      <w:r>
        <w:rPr>
          <w:rFonts w:ascii="仿宋_GB2312" w:eastAsia="仿宋_GB2312" w:hAnsi="宋体" w:cs="宋体" w:hint="eastAsia"/>
          <w:color w:val="auto"/>
          <w:sz w:val="28"/>
          <w:szCs w:val="28"/>
          <w:highlight w:val="none"/>
        </w:rPr>
        <w:t>天*</w:t>
      </w:r>
      <w:r>
        <w:rPr>
          <w:rFonts w:ascii="仿宋_GB2312" w:eastAsia="仿宋_GB2312" w:hAnsi="宋体" w:cs="宋体" w:hint="eastAsia"/>
          <w:color w:val="auto"/>
          <w:sz w:val="28"/>
          <w:szCs w:val="28"/>
          <w:highlight w:val="none"/>
          <w:u w:val="single"/>
        </w:rPr>
        <w:t xml:space="preserve"> 24 </w:t>
      </w:r>
      <w:r>
        <w:rPr>
          <w:rFonts w:ascii="仿宋_GB2312" w:eastAsia="仿宋_GB2312" w:hAnsi="宋体" w:cs="宋体" w:hint="eastAsia"/>
          <w:color w:val="auto"/>
          <w:sz w:val="28"/>
          <w:szCs w:val="28"/>
          <w:highlight w:val="none"/>
        </w:rPr>
        <w:t>小时（工作时间）。</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3、乙方保证在</w:t>
      </w:r>
      <w:r>
        <w:rPr>
          <w:rFonts w:ascii="仿宋_GB2312" w:eastAsia="仿宋_GB2312" w:hAnsi="宋体" w:hint="eastAsia"/>
          <w:color w:val="auto"/>
          <w:sz w:val="28"/>
          <w:szCs w:val="28"/>
          <w:highlight w:val="none"/>
        </w:rPr>
        <w:t>机动集成作业系统</w:t>
      </w:r>
      <w:r>
        <w:rPr>
          <w:rFonts w:ascii="仿宋_GB2312" w:eastAsia="仿宋_GB2312" w:hAnsi="宋体" w:cs="宋体" w:hint="eastAsia"/>
          <w:color w:val="auto"/>
          <w:sz w:val="28"/>
          <w:szCs w:val="28"/>
          <w:highlight w:val="none"/>
        </w:rPr>
        <w:t>出现故障和缺陷时，或接到甲方提出的技术服务要求后</w:t>
      </w:r>
      <w:r>
        <w:rPr>
          <w:rFonts w:ascii="仿宋_GB2312" w:eastAsia="仿宋_GB2312" w:hAnsi="宋体" w:cs="宋体" w:hint="eastAsia"/>
          <w:color w:val="auto"/>
          <w:sz w:val="28"/>
          <w:szCs w:val="28"/>
          <w:highlight w:val="none"/>
          <w:u w:val="single"/>
        </w:rPr>
        <w:t xml:space="preserve">  2  </w:t>
      </w:r>
      <w:r>
        <w:rPr>
          <w:rFonts w:ascii="仿宋_GB2312" w:eastAsia="仿宋_GB2312" w:hAnsi="宋体" w:cs="宋体" w:hint="eastAsia"/>
          <w:color w:val="auto"/>
          <w:sz w:val="28"/>
          <w:szCs w:val="28"/>
          <w:highlight w:val="none"/>
        </w:rPr>
        <w:t>小时内予以答复，如甲方有要求或必要时，乙方应在接到甲方通知后</w:t>
      </w:r>
      <w:r>
        <w:rPr>
          <w:rFonts w:ascii="仿宋_GB2312" w:eastAsia="仿宋_GB2312" w:hAnsi="宋体" w:cs="宋体" w:hint="eastAsia"/>
          <w:color w:val="auto"/>
          <w:sz w:val="28"/>
          <w:szCs w:val="28"/>
          <w:highlight w:val="none"/>
          <w:u w:val="single"/>
        </w:rPr>
        <w:t xml:space="preserve"> 24 </w:t>
      </w:r>
      <w:r>
        <w:rPr>
          <w:rFonts w:ascii="仿宋_GB2312" w:eastAsia="仿宋_GB2312" w:hAnsi="宋体" w:cs="宋体" w:hint="eastAsia"/>
          <w:color w:val="auto"/>
          <w:sz w:val="28"/>
          <w:szCs w:val="28"/>
          <w:highlight w:val="none"/>
        </w:rPr>
        <w:t>小时内派员至甲方免费维修和提供现场指导。</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4、如乙方在接到甲方维修通知后</w:t>
      </w:r>
      <w:r>
        <w:rPr>
          <w:rFonts w:ascii="仿宋_GB2312" w:eastAsia="仿宋_GB2312" w:hAnsi="宋体" w:cs="宋体" w:hint="eastAsia"/>
          <w:color w:val="auto"/>
          <w:sz w:val="28"/>
          <w:szCs w:val="28"/>
          <w:highlight w:val="none"/>
          <w:u w:val="single"/>
        </w:rPr>
        <w:t xml:space="preserve"> 48 </w:t>
      </w:r>
      <w:r>
        <w:rPr>
          <w:rFonts w:ascii="仿宋_GB2312" w:eastAsia="仿宋_GB2312" w:hAnsi="宋体" w:cs="宋体" w:hint="eastAsia"/>
          <w:color w:val="auto"/>
          <w:sz w:val="28"/>
          <w:szCs w:val="28"/>
          <w:highlight w:val="none"/>
        </w:rPr>
        <w:t>小时仍不能修复</w:t>
      </w:r>
      <w:r>
        <w:rPr>
          <w:rFonts w:ascii="仿宋_GB2312" w:eastAsia="仿宋_GB2312" w:hAnsi="宋体" w:hint="eastAsia"/>
          <w:color w:val="auto"/>
          <w:sz w:val="28"/>
          <w:szCs w:val="28"/>
          <w:highlight w:val="none"/>
        </w:rPr>
        <w:t>机动集成作业系统</w:t>
      </w:r>
      <w:r>
        <w:rPr>
          <w:rFonts w:ascii="仿宋_GB2312" w:eastAsia="仿宋_GB2312" w:hAnsi="宋体" w:hint="eastAsia"/>
          <w:color w:val="auto"/>
          <w:sz w:val="28"/>
          <w:szCs w:val="28"/>
          <w:highlight w:val="none"/>
          <w:lang w:val="en-US" w:eastAsia="zh-CN"/>
        </w:rPr>
        <w:t>相关设备</w:t>
      </w:r>
      <w:r>
        <w:rPr>
          <w:rFonts w:ascii="仿宋_GB2312" w:eastAsia="仿宋_GB2312" w:hAnsi="宋体" w:cs="宋体" w:hint="eastAsia"/>
          <w:color w:val="auto"/>
          <w:sz w:val="28"/>
          <w:szCs w:val="28"/>
          <w:highlight w:val="none"/>
        </w:rPr>
        <w:t>，乙方应提供同一型号的备用</w:t>
      </w:r>
      <w:r>
        <w:rPr>
          <w:rFonts w:ascii="仿宋_GB2312" w:eastAsia="仿宋_GB2312" w:hAnsi="宋体" w:hint="eastAsia"/>
          <w:color w:val="auto"/>
          <w:sz w:val="28"/>
          <w:szCs w:val="28"/>
          <w:highlight w:val="none"/>
          <w:lang w:val="en-US" w:eastAsia="zh-CN"/>
        </w:rPr>
        <w:t>设备</w:t>
      </w:r>
      <w:r>
        <w:rPr>
          <w:rFonts w:ascii="仿宋_GB2312" w:eastAsia="仿宋_GB2312" w:hAnsi="宋体" w:cs="宋体" w:hint="eastAsia"/>
          <w:color w:val="auto"/>
          <w:sz w:val="28"/>
          <w:szCs w:val="28"/>
          <w:highlight w:val="none"/>
        </w:rPr>
        <w:t>。</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5、如乙方在接到甲方提出的技术服务要求或维修通知后</w:t>
      </w:r>
      <w:r>
        <w:rPr>
          <w:rFonts w:ascii="仿宋_GB2312" w:eastAsia="仿宋_GB2312" w:hAnsi="宋体" w:cs="宋体" w:hint="eastAsia"/>
          <w:color w:val="auto"/>
          <w:sz w:val="28"/>
          <w:szCs w:val="28"/>
          <w:highlight w:val="none"/>
          <w:u w:val="single"/>
        </w:rPr>
        <w:t xml:space="preserve">  24  </w:t>
      </w:r>
      <w:r>
        <w:rPr>
          <w:rFonts w:ascii="仿宋_GB2312" w:eastAsia="仿宋_GB2312" w:hAnsi="宋体" w:cs="宋体" w:hint="eastAsia"/>
          <w:color w:val="auto"/>
          <w:sz w:val="28"/>
          <w:szCs w:val="28"/>
          <w:highlight w:val="none"/>
        </w:rPr>
        <w:t>小时内没有响应、拒绝或没有派员到达甲方提供技术服务、修理或退换货物，甲方有权委托第三人对合同货物进行维修或提供技术服务。</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6、在合同货物保修期届满后，如果因合同货物硬件或软件的固有缺陷和瑕疵出现紧急故障和事故，乙方应在接到甲方通知之后</w:t>
      </w:r>
      <w:r>
        <w:rPr>
          <w:rFonts w:ascii="仿宋_GB2312" w:eastAsia="仿宋_GB2312" w:hAnsi="宋体" w:cs="宋体" w:hint="eastAsia"/>
          <w:color w:val="auto"/>
          <w:sz w:val="28"/>
          <w:szCs w:val="28"/>
          <w:highlight w:val="none"/>
          <w:u w:val="single"/>
        </w:rPr>
        <w:t xml:space="preserve"> 48 </w:t>
      </w:r>
      <w:r>
        <w:rPr>
          <w:rFonts w:ascii="仿宋_GB2312" w:eastAsia="仿宋_GB2312" w:hAnsi="宋体" w:cs="宋体" w:hint="eastAsia"/>
          <w:color w:val="auto"/>
          <w:sz w:val="28"/>
          <w:szCs w:val="28"/>
          <w:highlight w:val="none"/>
        </w:rPr>
        <w:t>小时内到达现场。</w:t>
      </w:r>
    </w:p>
    <w:p>
      <w:pPr>
        <w:spacing w:line="500" w:lineRule="exact"/>
        <w:ind w:firstLine="560" w:firstLineChars="200"/>
        <w:rPr>
          <w:rFonts w:ascii="黑体" w:eastAsia="黑体" w:hAnsi="黑体" w:cs="宋体" w:hint="eastAsia"/>
          <w:bCs/>
          <w:color w:val="auto"/>
          <w:sz w:val="28"/>
          <w:szCs w:val="28"/>
          <w:highlight w:val="none"/>
        </w:rPr>
      </w:pPr>
      <w:r>
        <w:rPr>
          <w:rFonts w:ascii="黑体" w:eastAsia="黑体" w:hAnsi="黑体" w:cs="宋体" w:hint="eastAsia"/>
          <w:bCs/>
          <w:color w:val="auto"/>
          <w:sz w:val="28"/>
          <w:szCs w:val="28"/>
          <w:highlight w:val="none"/>
        </w:rPr>
        <w:t>第九条 违约责任</w:t>
      </w:r>
    </w:p>
    <w:p>
      <w:pPr>
        <w:spacing w:line="500" w:lineRule="exact"/>
        <w:ind w:firstLine="560" w:firstLineChars="200"/>
        <w:rPr>
          <w:rFonts w:ascii="仿宋_GB2312" w:eastAsia="仿宋_GB2312" w:hAnsi="仿宋" w:cs="仿宋" w:hint="eastAsia"/>
          <w:color w:val="auto"/>
          <w:sz w:val="28"/>
          <w:szCs w:val="28"/>
          <w:highlight w:val="none"/>
        </w:rPr>
      </w:pPr>
      <w:r>
        <w:rPr>
          <w:rFonts w:ascii="仿宋_GB2312" w:eastAsia="仿宋_GB2312" w:hAnsi="宋体" w:cs="宋体" w:hint="eastAsia"/>
          <w:color w:val="auto"/>
          <w:sz w:val="28"/>
          <w:szCs w:val="28"/>
          <w:highlight w:val="none"/>
        </w:rPr>
        <w:t>（一）合同签订后，甲方无故中途退订购的机动集成作业系统或者拒收订购的机动集成作业系统，造成的经济损失由甲方承担。</w:t>
      </w:r>
    </w:p>
    <w:p>
      <w:pPr>
        <w:spacing w:line="500" w:lineRule="exact"/>
        <w:ind w:firstLine="560" w:firstLineChars="200"/>
        <w:rPr>
          <w:rFonts w:ascii="仿宋_GB2312" w:eastAsia="仿宋_GB2312" w:hAnsi="仿宋" w:cs="仿宋" w:hint="eastAsia"/>
          <w:color w:val="auto"/>
          <w:sz w:val="28"/>
          <w:szCs w:val="28"/>
          <w:highlight w:val="none"/>
        </w:rPr>
      </w:pPr>
      <w:r>
        <w:rPr>
          <w:rFonts w:ascii="仿宋_GB2312" w:eastAsia="仿宋_GB2312" w:hAnsi="宋体" w:cs="宋体" w:hint="eastAsia"/>
          <w:color w:val="auto"/>
          <w:sz w:val="28"/>
          <w:szCs w:val="28"/>
          <w:highlight w:val="none"/>
        </w:rPr>
        <w:t xml:space="preserve">（二）延期交货或延期付款的违约责任：如乙方延期交货或甲方延期付款，每逾期一天，违约方应按延期交货所折合的金额或延期付款金额每天 </w:t>
      </w:r>
      <w:r>
        <w:rPr>
          <w:rFonts w:ascii="仿宋_GB2312" w:eastAsia="仿宋_GB2312" w:hAnsi="宋体" w:cs="宋体" w:hint="eastAsia"/>
          <w:color w:val="auto"/>
          <w:sz w:val="28"/>
          <w:szCs w:val="28"/>
          <w:highlight w:val="none"/>
          <w:u w:val="single"/>
        </w:rPr>
        <w:t xml:space="preserve"> 0.5 </w:t>
      </w:r>
      <w:r>
        <w:rPr>
          <w:rFonts w:ascii="仿宋_GB2312" w:eastAsia="仿宋_GB2312" w:hAnsi="宋体" w:cs="宋体" w:hint="eastAsia"/>
          <w:color w:val="auto"/>
          <w:sz w:val="28"/>
          <w:szCs w:val="28"/>
          <w:highlight w:val="none"/>
        </w:rPr>
        <w:t>‰ 的比例向对方支付违约金，但该违约金累计不超过合同总金额的</w:t>
      </w:r>
      <w:r>
        <w:rPr>
          <w:rFonts w:ascii="仿宋_GB2312" w:eastAsia="仿宋_GB2312" w:hAnsi="宋体" w:cs="宋体" w:hint="eastAsia"/>
          <w:color w:val="auto"/>
          <w:sz w:val="28"/>
          <w:szCs w:val="28"/>
          <w:highlight w:val="none"/>
          <w:u w:val="single"/>
        </w:rPr>
        <w:t xml:space="preserve"> 20 </w:t>
      </w:r>
      <w:r>
        <w:rPr>
          <w:rFonts w:ascii="仿宋_GB2312" w:eastAsia="仿宋_GB2312" w:hAnsi="宋体" w:cs="宋体" w:hint="eastAsia"/>
          <w:color w:val="auto"/>
          <w:sz w:val="28"/>
          <w:szCs w:val="28"/>
          <w:highlight w:val="none"/>
        </w:rPr>
        <w:t>%；上述逾期超过</w:t>
      </w:r>
      <w:r>
        <w:rPr>
          <w:rFonts w:ascii="仿宋_GB2312" w:eastAsia="仿宋_GB2312" w:hAnsi="宋体" w:cs="宋体" w:hint="eastAsia"/>
          <w:color w:val="auto"/>
          <w:sz w:val="28"/>
          <w:szCs w:val="28"/>
          <w:highlight w:val="none"/>
          <w:u w:val="single"/>
        </w:rPr>
        <w:t xml:space="preserve"> 30</w:t>
      </w:r>
      <w:r>
        <w:rPr>
          <w:rFonts w:ascii="仿宋_GB2312" w:eastAsia="仿宋_GB2312" w:hAnsi="宋体" w:cs="宋体" w:hint="eastAsia"/>
          <w:color w:val="auto"/>
          <w:sz w:val="28"/>
          <w:szCs w:val="28"/>
          <w:highlight w:val="none"/>
        </w:rPr>
        <w:t>天且机动集成作业系统未能全部交足的，守约方有权解除合同，并要求违约方赔偿由此造成的损失。</w:t>
      </w:r>
    </w:p>
    <w:p>
      <w:pPr>
        <w:spacing w:line="500" w:lineRule="exact"/>
        <w:ind w:firstLine="560" w:firstLineChars="200"/>
        <w:rPr>
          <w:rFonts w:ascii="仿宋_GB2312" w:eastAsia="仿宋_GB2312" w:hAnsi="仿宋" w:cs="仿宋" w:hint="eastAsia"/>
          <w:color w:val="auto"/>
          <w:sz w:val="28"/>
          <w:szCs w:val="28"/>
          <w:highlight w:val="none"/>
        </w:rPr>
      </w:pPr>
      <w:r>
        <w:rPr>
          <w:rFonts w:ascii="仿宋_GB2312" w:eastAsia="仿宋_GB2312" w:hAnsi="宋体" w:cs="宋体" w:hint="eastAsia"/>
          <w:color w:val="auto"/>
          <w:sz w:val="28"/>
          <w:szCs w:val="28"/>
          <w:highlight w:val="none"/>
        </w:rPr>
        <w:t>（三）乙方应该按合同约定的规格、型号、数量和质量要求完成机动集成作业系统的</w:t>
      </w:r>
      <w:r>
        <w:rPr>
          <w:rFonts w:ascii="仿宋_GB2312" w:eastAsia="仿宋_GB2312" w:hAnsi="宋体" w:cs="宋体" w:hint="eastAsia"/>
          <w:color w:val="auto"/>
          <w:sz w:val="28"/>
          <w:szCs w:val="28"/>
          <w:highlight w:val="none"/>
          <w:lang w:val="en-US" w:eastAsia="zh-CN"/>
        </w:rPr>
        <w:t>建设、测试</w:t>
      </w:r>
      <w:r>
        <w:rPr>
          <w:rFonts w:ascii="仿宋_GB2312" w:eastAsia="仿宋_GB2312" w:hAnsi="宋体" w:cs="宋体" w:hint="eastAsia"/>
          <w:color w:val="auto"/>
          <w:sz w:val="28"/>
          <w:szCs w:val="28"/>
          <w:highlight w:val="none"/>
        </w:rPr>
        <w:t>检验、运送等工作。因无故逾期时，</w:t>
      </w:r>
      <w:r>
        <w:rPr>
          <w:rFonts w:ascii="仿宋_GB2312" w:eastAsia="仿宋_GB2312" w:hAnsi="仿宋" w:cs="仿宋" w:hint="eastAsia"/>
          <w:color w:val="auto"/>
          <w:sz w:val="28"/>
          <w:szCs w:val="28"/>
          <w:highlight w:val="none"/>
        </w:rPr>
        <w:t>须按应付货款的20%向甲方支付违约金。</w:t>
      </w:r>
    </w:p>
    <w:p>
      <w:pPr>
        <w:spacing w:line="500" w:lineRule="exact"/>
        <w:ind w:firstLine="560" w:firstLineChars="200"/>
        <w:rPr>
          <w:rFonts w:ascii="黑体" w:eastAsia="黑体" w:hAnsi="黑体" w:cs="宋体" w:hint="eastAsia"/>
          <w:bCs/>
          <w:color w:val="auto"/>
          <w:sz w:val="28"/>
          <w:szCs w:val="28"/>
          <w:highlight w:val="none"/>
        </w:rPr>
      </w:pPr>
      <w:r>
        <w:rPr>
          <w:rFonts w:ascii="黑体" w:eastAsia="黑体" w:hAnsi="黑体" w:cs="宋体" w:hint="eastAsia"/>
          <w:bCs/>
          <w:color w:val="auto"/>
          <w:sz w:val="28"/>
          <w:szCs w:val="28"/>
          <w:highlight w:val="none"/>
        </w:rPr>
        <w:t>第十条 合同的变更或终止</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（一）经甲乙双方协商一致，可以变更或终止本合同。</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（二）因不可抗力</w:t>
      </w:r>
      <w:r>
        <w:rPr>
          <w:rFonts w:ascii="仿宋_GB2312" w:eastAsia="仿宋_GB2312" w:hAnsi="仿宋" w:cs="仿宋" w:hint="eastAsia"/>
          <w:color w:val="auto"/>
          <w:sz w:val="28"/>
          <w:szCs w:val="28"/>
          <w:highlight w:val="none"/>
        </w:rPr>
        <w:t>（如地震、台风、水灾、火灾、战争、制裁、政府禁令以及其他不能预见、不能避免并不能克服的客观情况等）</w:t>
      </w:r>
      <w:r>
        <w:rPr>
          <w:rFonts w:ascii="仿宋_GB2312" w:eastAsia="仿宋_GB2312" w:hAnsi="宋体" w:cs="宋体" w:hint="eastAsia"/>
          <w:color w:val="auto"/>
          <w:sz w:val="28"/>
          <w:szCs w:val="28"/>
          <w:highlight w:val="none"/>
        </w:rPr>
        <w:t>导致本合同不能履行或不能完全履行，发生不可抗力的一方应在不可抗力发生后五个工作日内将情况通知对方，并采取措施减少或消除不可抗力对履行合同的影响。合同双方应根据不可抗力对合同影响的程度，协调确定是否终止或继续履行合同。因不可抗力造成本合同逾期履行，不视为甲乙双方违约。</w:t>
      </w:r>
    </w:p>
    <w:p>
      <w:pPr>
        <w:spacing w:line="500" w:lineRule="exact"/>
        <w:ind w:firstLine="560" w:firstLineChars="200"/>
        <w:rPr>
          <w:rFonts w:ascii="仿宋_GB2312" w:eastAsia="仿宋_GB2312" w:hAnsi="宋体" w:cs="宋体" w:hint="eastAsia"/>
          <w:color w:val="auto"/>
          <w:sz w:val="28"/>
          <w:szCs w:val="28"/>
          <w:highlight w:val="none"/>
        </w:rPr>
      </w:pPr>
      <w:r>
        <w:rPr>
          <w:rFonts w:ascii="黑体" w:eastAsia="黑体" w:hAnsi="黑体" w:cs="宋体" w:hint="eastAsia"/>
          <w:bCs/>
          <w:color w:val="auto"/>
          <w:sz w:val="28"/>
          <w:szCs w:val="28"/>
          <w:highlight w:val="none"/>
        </w:rPr>
        <w:t>第十一条</w:t>
      </w:r>
      <w:r>
        <w:rPr>
          <w:rFonts w:ascii="仿宋_GB2312" w:eastAsia="仿宋_GB2312" w:hAnsi="宋体" w:cs="宋体" w:hint="eastAsia"/>
          <w:color w:val="auto"/>
          <w:sz w:val="28"/>
          <w:szCs w:val="28"/>
          <w:highlight w:val="none"/>
        </w:rPr>
        <w:t xml:space="preserve"> 本合同如有未尽事宜，甲乙双方本着平等互利、友好协商的原则解决。如需签订补充协议的，双方经协商后可签订补充协议，补充协议将作为本合同的组成部分，与本合同具有同等法律效力。</w:t>
      </w:r>
    </w:p>
    <w:p>
      <w:pPr>
        <w:spacing w:line="500" w:lineRule="exact"/>
        <w:ind w:firstLine="560" w:firstLineChars="200"/>
        <w:rPr>
          <w:rFonts w:ascii="仿宋_GB2312" w:eastAsia="仿宋_GB2312" w:hAnsi="宋体" w:cs="宋体" w:hint="eastAsia"/>
          <w:color w:val="auto"/>
          <w:sz w:val="28"/>
          <w:szCs w:val="28"/>
          <w:highlight w:val="none"/>
        </w:rPr>
      </w:pPr>
      <w:r>
        <w:rPr>
          <w:rFonts w:ascii="黑体" w:eastAsia="黑体" w:hAnsi="黑体" w:cs="宋体" w:hint="eastAsia"/>
          <w:bCs/>
          <w:color w:val="auto"/>
          <w:sz w:val="28"/>
          <w:szCs w:val="28"/>
          <w:highlight w:val="none"/>
        </w:rPr>
        <w:t xml:space="preserve">第十二条 </w:t>
      </w:r>
      <w:r>
        <w:rPr>
          <w:rFonts w:ascii="仿宋_GB2312" w:eastAsia="仿宋_GB2312" w:hAnsi="宋体" w:cs="宋体" w:hint="eastAsia"/>
          <w:color w:val="auto"/>
          <w:sz w:val="28"/>
          <w:szCs w:val="28"/>
          <w:highlight w:val="none"/>
        </w:rPr>
        <w:t>因履行本合同而发生的一切争议，双方应当友好协商解决，协商不成可在甲方所在地人民法院提起诉讼。</w:t>
      </w:r>
    </w:p>
    <w:p>
      <w:pPr>
        <w:spacing w:line="500" w:lineRule="exact"/>
        <w:ind w:firstLine="560" w:firstLineChars="200"/>
        <w:rPr>
          <w:rFonts w:ascii="仿宋_GB2312" w:eastAsia="仿宋_GB2312" w:hAnsi="宋体" w:cs="宋体" w:hint="eastAsia"/>
          <w:b/>
          <w:color w:val="auto"/>
          <w:sz w:val="28"/>
          <w:szCs w:val="28"/>
          <w:highlight w:val="none"/>
        </w:rPr>
      </w:pPr>
      <w:r>
        <w:rPr>
          <w:rFonts w:ascii="黑体" w:eastAsia="黑体" w:hAnsi="黑体" w:cs="宋体" w:hint="eastAsia"/>
          <w:bCs/>
          <w:color w:val="auto"/>
          <w:sz w:val="28"/>
          <w:szCs w:val="28"/>
          <w:highlight w:val="none"/>
        </w:rPr>
        <w:t xml:space="preserve">第十三条 </w:t>
      </w:r>
      <w:r>
        <w:rPr>
          <w:rFonts w:ascii="仿宋_GB2312" w:eastAsia="仿宋_GB2312" w:hAnsi="宋体" w:cs="宋体" w:hint="eastAsia"/>
          <w:color w:val="auto"/>
          <w:sz w:val="28"/>
          <w:szCs w:val="28"/>
          <w:highlight w:val="none"/>
        </w:rPr>
        <w:t>本合同经甲乙双方签字、盖章后生效，至乙方履行完毕约定义务，甲方结清所有货款后终止。</w:t>
      </w:r>
    </w:p>
    <w:p>
      <w:pPr>
        <w:spacing w:line="500" w:lineRule="exact"/>
        <w:ind w:firstLine="560" w:firstLineChars="200"/>
        <w:rPr>
          <w:rFonts w:ascii="仿宋_GB2312" w:eastAsia="仿宋_GB2312" w:hAnsi="宋体" w:cs="宋体" w:hint="eastAsia"/>
          <w:color w:val="auto"/>
          <w:sz w:val="28"/>
          <w:szCs w:val="28"/>
          <w:highlight w:val="none"/>
        </w:rPr>
      </w:pPr>
      <w:r>
        <w:rPr>
          <w:rFonts w:ascii="黑体" w:eastAsia="黑体" w:hAnsi="黑体" w:cs="宋体" w:hint="eastAsia"/>
          <w:bCs/>
          <w:color w:val="auto"/>
          <w:sz w:val="28"/>
          <w:szCs w:val="28"/>
          <w:highlight w:val="none"/>
        </w:rPr>
        <w:t>第十四条</w:t>
      </w:r>
      <w:r>
        <w:rPr>
          <w:rFonts w:ascii="仿宋_GB2312" w:eastAsia="仿宋_GB2312" w:hAnsi="宋体" w:cs="宋体" w:hint="eastAsia"/>
          <w:color w:val="auto"/>
          <w:sz w:val="28"/>
          <w:szCs w:val="28"/>
          <w:highlight w:val="none"/>
        </w:rPr>
        <w:t xml:space="preserve"> 本合同一式三份，甲方持二份，乙方持一份。</w:t>
      </w:r>
    </w:p>
    <w:p>
      <w:pPr>
        <w:spacing w:line="500" w:lineRule="exact"/>
        <w:ind w:firstLine="560" w:firstLineChars="200"/>
        <w:rPr>
          <w:rFonts w:ascii="仿宋_GB2312" w:eastAsia="仿宋_GB2312" w:hAnsi="宋体" w:cs="宋体" w:hint="eastAsia"/>
          <w:color w:val="auto"/>
          <w:sz w:val="28"/>
          <w:szCs w:val="28"/>
          <w:highlight w:val="none"/>
        </w:rPr>
      </w:pP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color w:val="auto"/>
          <w:sz w:val="28"/>
          <w:szCs w:val="28"/>
          <w:highlight w:val="none"/>
        </w:rPr>
        <w:t>（以下无正文）</w:t>
      </w:r>
    </w:p>
    <w:bookmarkEnd w:id="144"/>
    <w:bookmarkEnd w:id="145"/>
    <w:bookmarkEnd w:id="146"/>
    <w:bookmarkEnd w:id="147"/>
    <w:bookmarkEnd w:id="148"/>
    <w:bookmarkEnd w:id="149"/>
    <w:bookmarkEnd w:id="150"/>
    <w:bookmarkEnd w:id="151"/>
    <w:p>
      <w:pPr>
        <w:spacing w:line="500" w:lineRule="exact"/>
        <w:ind w:firstLine="560" w:firstLineChars="200"/>
        <w:rPr>
          <w:rFonts w:ascii="仿宋_GB2312" w:eastAsia="仿宋_GB2312" w:hAnsi="宋体" w:cs="宋体" w:hint="eastAsia"/>
          <w:color w:val="auto"/>
          <w:sz w:val="28"/>
          <w:szCs w:val="28"/>
          <w:highlight w:val="none"/>
        </w:rPr>
      </w:pP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甲方：</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法定代表人或委托代理人：</w:t>
      </w:r>
    </w:p>
    <w:p>
      <w:pPr>
        <w:spacing w:line="500" w:lineRule="exact"/>
        <w:ind w:firstLine="560" w:firstLineChars="200"/>
        <w:rPr>
          <w:color w:val="auto"/>
          <w:highlight w:val="none"/>
        </w:rPr>
      </w:pPr>
      <w:r>
        <w:rPr>
          <w:rFonts w:ascii="仿宋_GB2312" w:eastAsia="仿宋_GB2312" w:hAnsi="宋体" w:cs="宋体" w:hint="eastAsia"/>
          <w:color w:val="auto"/>
          <w:sz w:val="28"/>
          <w:szCs w:val="28"/>
          <w:highlight w:val="none"/>
        </w:rPr>
        <w:t>经办人（联系人）：</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经办人电话：</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合同签订时间：     年    月   日</w:t>
      </w:r>
    </w:p>
    <w:p>
      <w:pPr>
        <w:rPr>
          <w:rFonts w:ascii="仿宋_GB2312" w:eastAsia="仿宋_GB2312" w:hAnsi="宋体" w:cs="宋体" w:hint="eastAsia"/>
          <w:color w:val="auto"/>
          <w:sz w:val="28"/>
          <w:szCs w:val="28"/>
          <w:highlight w:val="none"/>
        </w:rPr>
      </w:pPr>
    </w:p>
    <w:p>
      <w:pPr>
        <w:pStyle w:val="BodyText"/>
        <w:rPr>
          <w:color w:val="auto"/>
          <w:highlight w:val="none"/>
        </w:rPr>
      </w:pP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乙方：</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法定代表人或委托代理人：</w:t>
      </w:r>
    </w:p>
    <w:p>
      <w:pPr>
        <w:spacing w:line="500" w:lineRule="exact"/>
        <w:ind w:firstLine="560" w:firstLineChars="200"/>
        <w:rPr>
          <w:color w:val="auto"/>
          <w:highlight w:val="none"/>
        </w:rPr>
      </w:pPr>
      <w:r>
        <w:rPr>
          <w:rFonts w:ascii="仿宋_GB2312" w:eastAsia="仿宋_GB2312" w:hAnsi="宋体" w:cs="宋体" w:hint="eastAsia"/>
          <w:color w:val="auto"/>
          <w:sz w:val="28"/>
          <w:szCs w:val="28"/>
          <w:highlight w:val="none"/>
        </w:rPr>
        <w:t>经办人（联系人）：</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经办人电话：</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账号：</w:t>
      </w:r>
    </w:p>
    <w:p>
      <w:pPr>
        <w:spacing w:line="500" w:lineRule="exact"/>
        <w:ind w:firstLine="560" w:firstLineChars="200"/>
        <w:rPr>
          <w:rFonts w:ascii="仿宋_GB2312" w:eastAsia="仿宋_GB2312" w:hAnsi="宋体" w:cs="宋体" w:hint="eastAsia"/>
          <w:color w:val="auto"/>
          <w:sz w:val="28"/>
          <w:szCs w:val="28"/>
          <w:highlight w:val="none"/>
        </w:rPr>
      </w:pPr>
      <w:r>
        <w:rPr>
          <w:rFonts w:ascii="仿宋_GB2312" w:eastAsia="仿宋_GB2312" w:hAnsi="宋体" w:cs="宋体" w:hint="eastAsia"/>
          <w:color w:val="auto"/>
          <w:sz w:val="28"/>
          <w:szCs w:val="28"/>
          <w:highlight w:val="none"/>
        </w:rPr>
        <w:t>开户行：</w:t>
      </w:r>
    </w:p>
    <w:p>
      <w:pPr>
        <w:spacing w:line="500" w:lineRule="exact"/>
        <w:ind w:firstLine="560" w:firstLineChars="200"/>
        <w:rPr>
          <w:b/>
          <w:bCs/>
          <w:sz w:val="44"/>
          <w:szCs w:val="44"/>
          <w:highlight w:val="none"/>
        </w:rPr>
      </w:pPr>
      <w:r>
        <w:rPr>
          <w:rFonts w:ascii="仿宋_GB2312" w:eastAsia="仿宋_GB2312" w:hAnsi="宋体" w:cs="宋体" w:hint="eastAsia"/>
          <w:color w:val="auto"/>
          <w:sz w:val="28"/>
          <w:szCs w:val="28"/>
          <w:highlight w:val="none"/>
        </w:rPr>
        <w:t>合同签订时间：     年    月   日</w:t>
      </w:r>
    </w:p>
    <w:p>
      <w:pPr>
        <w:rPr>
          <w:highlight w:val="none"/>
        </w:rPr>
      </w:pPr>
    </w:p>
    <w:p w:rsidR="00A77B3E"/>
    <w:p>
      <w:pPr>
        <w:numPr>
          <w:ilvl w:val="0"/>
          <w:numId w:val="18"/>
        </w:numPr>
        <w:spacing w:line="360" w:lineRule="auto"/>
        <w:ind w:firstLine="3066" w:firstLineChars="1460"/>
        <w:jc w:val="left"/>
        <w:rPr>
          <w:rFonts w:hint="eastAsia"/>
          <w:b/>
          <w:bCs/>
          <w:szCs w:val="21"/>
          <w:highlight w:val="none"/>
        </w:rPr>
      </w:pPr>
      <w:bookmarkEnd w:id="142"/>
    </w:p>
    <w:sectPr>
      <w:footerReference w:type="default" r:id="rId11"/>
      <w:headerReference w:type="first" r:id="rId12"/>
      <w:footerReference w:type="first" r:id="rId13"/>
      <w:pgSz w:w="11906" w:h="16838"/>
      <w:pgMar w:top="1418" w:right="1474" w:bottom="1418" w:left="1418" w:header="851" w:footer="992" w:gutter="0"/>
      <w:pgNumType w:start="1"/>
      <w:cols w:num="1" w:space="72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楷体_GB2312"/>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simsong">
    <w:altName w:val="微软雅黑"/>
    <w:panose1 w:val="00000000000000000000"/>
    <w:charset w:val="86"/>
    <w:family w:val="auto"/>
    <w:pitch w:val="default"/>
    <w:sig w:usb0="00000000" w:usb1="00000000" w:usb2="00000016" w:usb3="00000000" w:csb0="0004000D" w:csb1="00000000"/>
  </w:font>
  <w:font w:name="Cambria Math">
    <w:panose1 w:val="02040503050406030204"/>
    <w:charset w:val="00"/>
    <w:family w:val="roman"/>
    <w:pitch w:val="default"/>
    <w:sig w:usb0="E00006FF" w:usb1="420024FF" w:usb2="02000000" w:usb3="00000000" w:csb0="2000019F" w:csb1="00000000"/>
  </w:font>
  <w:font w:name="Helvetica">
    <w:altName w:val="Arial"/>
    <w:panose1 w:val="00000000000000000000"/>
    <w:charset w:val="00"/>
    <w:family w:val="auto"/>
    <w:pitch w:val="default"/>
    <w:sig w:usb0="00000000" w:usb1="00000000" w:usb2="00000000" w:usb3="00000000" w:csb0="00000001" w:csb1="00000000"/>
  </w:font>
  <w:font w:name="KSOF7FC4CF2A">
    <w:panose1 w:val="020B0604020202020204"/>
    <w:charset w:val="00"/>
    <w:family w:val="auto"/>
    <w:pitch w:val="default"/>
    <w:sig w:usb0="00000001" w:usb1="00000000" w:usb2="00000000" w:usb3="00000000" w:csb0="0000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w:t>
    </w:r>
    <w:r>
      <w:rPr>
        <w:b/>
        <w:bCs/>
        <w:sz w:val="24"/>
        <w:szCs w:val="24"/>
      </w:rPr>
      <w:fldChar w:fldCharType="end"/>
    </w:r>
  </w:p>
  <w:p>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rPr>
        <w:b/>
        <w:bCs/>
        <w:sz w:val="24"/>
        <w:szCs w:val="24"/>
      </w:rPr>
      <w:fldChar w:fldCharType="begin"/>
    </w:r>
    <w:r>
      <w:rPr>
        <w:b/>
        <w:bCs/>
      </w:rPr>
      <w:instrText>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w:t>
    </w:r>
    <w:r>
      <w:rPr>
        <w:b/>
        <w:bCs/>
        <w:sz w:val="24"/>
        <w:szCs w:val="24"/>
      </w:rPr>
      <w:fldChar w:fldCharType="end"/>
    </w:r>
  </w:p>
  <w:p>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w:t>
    </w:r>
    <w:r>
      <w:rPr>
        <w:b/>
        <w:bCs/>
        <w:sz w:val="24"/>
        <w:szCs w:val="24"/>
      </w:rPr>
      <w:fldChar w:fldCharType="end"/>
    </w:r>
  </w:p>
  <w:p>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rPr>
        <w:b/>
        <w:bCs/>
        <w:sz w:val="24"/>
        <w:szCs w:val="24"/>
      </w:rPr>
      <w:fldChar w:fldCharType="begin"/>
    </w:r>
    <w:r>
      <w:rPr>
        <w:b/>
        <w:bCs/>
      </w:rPr>
      <w:instrText>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w:t>
    </w:r>
    <w:r>
      <w:rPr>
        <w:b/>
        <w:bCs/>
        <w:sz w:val="24"/>
        <w:szCs w:val="24"/>
      </w:rPr>
      <w:fldChar w:fldCharType="end"/>
    </w:r>
  </w:p>
  <w:p>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rPr>
        <w:rFonts w:hint="eastAsia"/>
      </w:rPr>
      <w:t>《人影作业装备订货合同》</w:t>
    </w:r>
    <w:r>
      <w:t>（合同编号：</w:t>
    </w:r>
    <w:r>
      <w:rPr>
        <w:rFonts w:hint="eastAsia"/>
      </w:rPr>
      <w:t>0</w:t>
    </w:r>
    <w:r>
      <w:t>6-2023-）</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rPr>
        <w:rFonts w:hint="eastAsia"/>
      </w:rPr>
      <w:t>《人影作业装备订货合同》</w:t>
    </w:r>
    <w:r>
      <w:t>（合同编号：</w:t>
    </w:r>
    <w:r>
      <w:rPr>
        <w:rFonts w:hint="eastAsia"/>
      </w:rPr>
      <w:t>0</w:t>
    </w:r>
    <w:r>
      <w:t>6-2023-）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B3EAC51"/>
    <w:multiLevelType w:val="singleLevel"/>
    <w:tmpl w:val="AB3EAC51"/>
    <w:lvl w:ilvl="0">
      <w:start w:val="1"/>
      <w:numFmt w:val="lowerLetter"/>
      <w:suff w:val="space"/>
      <w:lvlText w:val="%1)"/>
      <w:lvlJc w:val="left"/>
    </w:lvl>
  </w:abstractNum>
  <w:abstractNum w:abstractNumId="1">
    <w:nsid w:val="AF7AB6C2"/>
    <w:multiLevelType w:val="singleLevel"/>
    <w:tmpl w:val="AF7AB6C2"/>
    <w:lvl w:ilvl="0">
      <w:start w:val="1"/>
      <w:numFmt w:val="lowerLetter"/>
      <w:suff w:val="space"/>
      <w:lvlText w:val="%1)"/>
      <w:lvlJc w:val="left"/>
    </w:lvl>
  </w:abstractNum>
  <w:abstractNum w:abstractNumId="2">
    <w:nsid w:val="B8BF5081"/>
    <w:multiLevelType w:val="singleLevel"/>
    <w:tmpl w:val="B8BF5081"/>
    <w:lvl w:ilvl="0">
      <w:start w:val="1"/>
      <w:numFmt w:val="lowerLetter"/>
      <w:lvlText w:val="%1)"/>
      <w:lvlJc w:val="left"/>
      <w:pPr>
        <w:tabs>
          <w:tab w:val="left" w:pos="312"/>
        </w:tabs>
      </w:pPr>
    </w:lvl>
  </w:abstractNum>
  <w:abstractNum w:abstractNumId="3">
    <w:nsid w:val="C067CA22"/>
    <w:multiLevelType w:val="singleLevel"/>
    <w:tmpl w:val="C067CA22"/>
    <w:lvl w:ilvl="0">
      <w:start w:val="9"/>
      <w:numFmt w:val="decimal"/>
      <w:suff w:val="nothing"/>
      <w:lvlText w:val="（%1）"/>
      <w:lvlJc w:val="left"/>
    </w:lvl>
  </w:abstractNum>
  <w:abstractNum w:abstractNumId="4">
    <w:nsid w:val="F7082189"/>
    <w:multiLevelType w:val="singleLevel"/>
    <w:tmpl w:val="F7082189"/>
    <w:lvl w:ilvl="0">
      <w:start w:val="1"/>
      <w:numFmt w:val="lowerLetter"/>
      <w:suff w:val="space"/>
      <w:lvlText w:val="%1)"/>
      <w:lvlJc w:val="left"/>
    </w:lvl>
  </w:abstractNum>
  <w:abstractNum w:abstractNumId="5">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10548B5E"/>
    <w:multiLevelType w:val="singleLevel"/>
    <w:tmpl w:val="10548B5E"/>
    <w:lvl w:ilvl="0">
      <w:start w:val="1"/>
      <w:numFmt w:val="lowerLetter"/>
      <w:suff w:val="space"/>
      <w:lvlText w:val="%1)"/>
      <w:lvlJc w:val="left"/>
    </w:lvl>
  </w:abstractNum>
  <w:abstractNum w:abstractNumId="9">
    <w:nsid w:val="18AB6AAD"/>
    <w:multiLevelType w:val="singleLevel"/>
    <w:tmpl w:val="18AB6AAD"/>
    <w:lvl w:ilvl="0">
      <w:start w:val="1"/>
      <w:numFmt w:val="lowerLetter"/>
      <w:suff w:val="nothing"/>
      <w:lvlText w:val="%1）"/>
      <w:lvlJc w:val="left"/>
    </w:lvl>
  </w:abstractNum>
  <w:abstractNum w:abstractNumId="10">
    <w:nsid w:val="19C5C09B"/>
    <w:multiLevelType w:val="singleLevel"/>
    <w:tmpl w:val="19C5C09B"/>
    <w:lvl w:ilvl="0">
      <w:start w:val="1"/>
      <w:numFmt w:val="lowerLetter"/>
      <w:suff w:val="space"/>
      <w:lvlText w:val="%1)"/>
      <w:lvlJc w:val="left"/>
    </w:lvl>
  </w:abstractNum>
  <w:abstractNum w:abstractNumId="11">
    <w:nsid w:val="2E4C779A"/>
    <w:multiLevelType w:val="singleLevel"/>
    <w:tmpl w:val="2E4C779A"/>
    <w:lvl w:ilvl="0">
      <w:start w:val="1"/>
      <w:numFmt w:val="lowerLetter"/>
      <w:lvlText w:val="%1)"/>
      <w:lvlJc w:val="left"/>
      <w:pPr>
        <w:tabs>
          <w:tab w:val="left" w:pos="312"/>
        </w:tabs>
      </w:pPr>
      <w:rPr>
        <w:rFonts w:hint="default"/>
        <w:highlight w:val="none"/>
      </w:rPr>
    </w:lvl>
  </w:abstractNum>
  <w:abstractNum w:abstractNumId="12">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3028ADAA"/>
    <w:multiLevelType w:val="singleLevel"/>
    <w:tmpl w:val="3028ADAA"/>
    <w:lvl w:ilvl="0">
      <w:start w:val="1"/>
      <w:numFmt w:val="lowerLetter"/>
      <w:lvlText w:val="%1)"/>
      <w:lvlJc w:val="left"/>
      <w:pPr>
        <w:tabs>
          <w:tab w:val="left" w:pos="312"/>
        </w:tabs>
      </w:pPr>
      <w:rPr>
        <w:rFonts w:hint="default"/>
        <w:highlight w:val="none"/>
      </w:rPr>
    </w:lvl>
  </w:abstractNum>
  <w:abstractNum w:abstractNumId="14">
    <w:nsid w:val="32A4AB08"/>
    <w:multiLevelType w:val="singleLevel"/>
    <w:tmpl w:val="32A4AB08"/>
    <w:lvl w:ilvl="0">
      <w:start w:val="1"/>
      <w:numFmt w:val="lowerLetter"/>
      <w:suff w:val="nothing"/>
      <w:lvlText w:val="%1）"/>
      <w:lvlJc w:val="left"/>
    </w:lvl>
  </w:abstractNum>
  <w:abstractNum w:abstractNumId="15">
    <w:nsid w:val="337B2FC8"/>
    <w:multiLevelType w:val="singleLevel"/>
    <w:tmpl w:val="337B2FC8"/>
    <w:lvl w:ilvl="0">
      <w:start w:val="1"/>
      <w:numFmt w:val="lowerLetter"/>
      <w:lvlText w:val="%1)"/>
      <w:lvlJc w:val="left"/>
      <w:pPr>
        <w:tabs>
          <w:tab w:val="left" w:pos="312"/>
        </w:tabs>
      </w:pPr>
    </w:lvl>
  </w:abstractNum>
  <w:abstractNum w:abstractNumId="16">
    <w:nsid w:val="53A08313"/>
    <w:multiLevelType w:val="singleLevel"/>
    <w:tmpl w:val="53A08313"/>
    <w:lvl w:ilvl="0">
      <w:start w:val="9"/>
      <w:numFmt w:val="chineseCounting"/>
      <w:suff w:val="space"/>
      <w:lvlText w:val="第%1章"/>
      <w:lvlJc w:val="left"/>
      <w:rPr>
        <w:rFonts w:hint="eastAsia"/>
      </w:rPr>
    </w:lvl>
  </w:abstractNum>
  <w:abstractNum w:abstractNumId="17">
    <w:nsid w:val="5D9F63FE"/>
    <w:multiLevelType w:val="multilevel"/>
    <w:tmpl w:val="5D9F63FE"/>
    <w:lvl w:ilvl="0">
      <w:start w:val="1"/>
      <w:numFmt w:val="decimal"/>
      <w:lvlText w:val="（%1）"/>
      <w:lvlJc w:val="left"/>
      <w:pPr>
        <w:ind w:left="1140" w:hanging="720"/>
      </w:pPr>
      <w:rPr>
        <w:rFonts w:cs="黑体"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18">
    <w:nsid w:val="7AA7511D"/>
    <w:multiLevelType w:val="singleLevel"/>
    <w:tmpl w:val="7AA7511D"/>
    <w:lvl w:ilvl="0">
      <w:start w:val="12"/>
      <w:numFmt w:val="decimal"/>
      <w:suff w:val="nothing"/>
      <w:lvlText w:val="（%1）"/>
      <w:lvlJc w:val="left"/>
    </w:lvl>
  </w:abstractNum>
  <w:num w:numId="1">
    <w:abstractNumId w:val="6"/>
  </w:num>
  <w:num w:numId="2">
    <w:abstractNumId w:val="5"/>
  </w:num>
  <w:num w:numId="3">
    <w:abstractNumId w:val="7"/>
  </w:num>
  <w:num w:numId="4">
    <w:abstractNumId w:val="8"/>
  </w:num>
  <w:num w:numId="5">
    <w:abstractNumId w:val="0"/>
  </w:num>
  <w:num w:numId="6">
    <w:abstractNumId w:val="1"/>
  </w:num>
  <w:num w:numId="7">
    <w:abstractNumId w:val="10"/>
  </w:num>
  <w:num w:numId="8">
    <w:abstractNumId w:val="4"/>
  </w:num>
  <w:num w:numId="9">
    <w:abstractNumId w:val="2"/>
  </w:num>
  <w:num w:numId="10">
    <w:abstractNumId w:val="11"/>
  </w:num>
  <w:num w:numId="11">
    <w:abstractNumId w:val="17"/>
  </w:num>
  <w:num w:numId="12">
    <w:abstractNumId w:val="13"/>
  </w:num>
  <w:num w:numId="13">
    <w:abstractNumId w:val="3"/>
  </w:num>
  <w:num w:numId="14">
    <w:abstractNumId w:val="18"/>
  </w:num>
  <w:num w:numId="15">
    <w:abstractNumId w:val="9"/>
  </w:num>
  <w:num w:numId="16">
    <w:abstractNumId w:val="14"/>
  </w:num>
  <w:num w:numId="17">
    <w:abstractNumId w:val="15"/>
  </w:num>
  <w:num w:numId="18">
    <w:abstractNumId w:val="16"/>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unhideWhenUsed/>
    <w:qFormat/>
    <w:pPr>
      <w:keepNext/>
      <w:keepLines/>
      <w:spacing w:before="40"/>
      <w:outlineLvl w:val="6"/>
    </w:pPr>
    <w:rPr>
      <w:rFonts w:ascii="Calibri" w:hAnsi="Calibri"/>
      <w:b/>
      <w:bCs/>
      <w:color w:val="585858"/>
      <w:szCs w:val="22"/>
    </w:rPr>
  </w:style>
  <w:style w:type="paragraph" w:styleId="Heading8">
    <w:name w:val="heading 8"/>
    <w:basedOn w:val="Normal"/>
    <w:next w:val="Normal"/>
    <w:unhideWhenUsed/>
    <w:qFormat/>
    <w:pPr>
      <w:keepNext/>
      <w:keepLines/>
      <w:outlineLvl w:val="7"/>
    </w:pPr>
    <w:rPr>
      <w:rFonts w:ascii="Calibri" w:hAnsi="Calibri"/>
      <w:color w:val="585858"/>
      <w:szCs w:val="22"/>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模板正文"/>
    <w:basedOn w:val="Normal"/>
    <w:qFormat/>
    <w:pPr>
      <w:snapToGrid w:val="0"/>
      <w:spacing w:line="300" w:lineRule="auto"/>
      <w:ind w:firstLine="520"/>
      <w:jc w:val="center"/>
    </w:pPr>
    <w:rPr>
      <w:rFonts w:ascii="Calibri" w:hAnsi="Calibri"/>
      <w:spacing w:val="10"/>
      <w:szCs w:val="24"/>
      <w:lang w:bidi="en-US"/>
    </w:rPr>
  </w:style>
  <w:style w:type="table" w:customStyle="1" w:styleId="TableNormal0">
    <w:name w:val="Table Normal_0"/>
    <w:unhideWhenUsed/>
    <w:qFormat/>
    <w:rPr>
      <w:rFonts w:ascii="Arial" w:eastAsia="等线" w:hAnsi="Arial" w:cs="Arial"/>
    </w:rPr>
    <w:tblPr>
      <w:tblCellMar>
        <w:top w:w="0" w:type="dxa"/>
        <w:left w:w="0" w:type="dxa"/>
        <w:bottom w:w="0" w:type="dxa"/>
        <w:right w:w="0" w:type="dxa"/>
      </w:tblCellMar>
    </w:tblPr>
  </w:style>
  <w:style w:type="paragraph" w:customStyle="1" w:styleId="p2">
    <w:name w:val="p2"/>
    <w:basedOn w:val="Normal"/>
    <w:qFormat/>
    <w:rPr>
      <w:rFonts w:ascii="simsong" w:eastAsia="simsong" w:hAnsi="simsong" w:cstheme="minorBidi"/>
      <w:color w:val="000000"/>
      <w:kern w:val="0"/>
      <w:szCs w:val="21"/>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footer" Target="footer5.xml" /><Relationship Id="rId12" Type="http://schemas.openxmlformats.org/officeDocument/2006/relationships/header" Target="header4.xml" /><Relationship Id="rId13" Type="http://schemas.openxmlformats.org/officeDocument/2006/relationships/footer" Target="footer6.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