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2025年云南X波段天气雷达建设项目（鹤庆、罗平、宁洱）设备采购项目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云南省鹤庆县气象局；云南省罗平县气象局；宁洱哈尼族彝族自治县气象局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2025年云南X波段天气雷达建设项目（鹤庆、罗平、宁洱）设备采购项目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云南鹤庆、云南罗平、云南宁洱</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2025年12月11日 00:00:00</w:t>
      </w:r>
      <w:bookmarkEnd w:id="26"/>
      <w:r>
        <w:rPr>
          <w:rFonts w:ascii="宋体" w:hint="eastAsia"/>
          <w:szCs w:val="21"/>
          <w:highlight w:val="none"/>
        </w:rPr>
        <w:t>至</w:t>
      </w:r>
      <w:bookmarkStart w:id="27" w:name="项目公告_signUpLastTime"/>
      <w:r>
        <w:rPr>
          <w:rFonts w:ascii="宋体" w:hint="eastAsia"/>
          <w:szCs w:val="21"/>
          <w:highlight w:val="none"/>
        </w:rPr>
        <w:t>2025年12月18日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云南省鹤庆县气象局；云南省罗平县气象局；宁洱哈尼族彝族自治县气象局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解莉燕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0871-64114397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云南省鹤庆县气象局；云南省罗平县气象局；宁洱哈尼族彝族自治县气象局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不允许（仅针对以下产品：1、X波段双线偏振多普勒天气雷达 气象专用技术装备使用许可证不允许代理商投标）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设有，核心产品为X波段双线偏振多普勒天气雷达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（1）标的：X波段双线偏振多普勒天气雷达；</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1,110.000000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1,110.000000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销售合同必须包括X波段双偏振天气雷达，每提供1份合同得1分，最多得5分。否则不得分。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针对本项目采购的X波段双偏振天气雷达，</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针对X波段双偏振天气雷达，每提供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2、除项目经理外至少6人具有2年及以上相关工作经验的，得2分；为本项目派出的技术人员至少6人具有1年及以上相关工作经验的，得1分；其他不得分。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针对X波段双线偏振天气雷达设备，测试报告应涵盖高温测试、低温测试、电磁环境测试、低气压环境适应性测试内容等内容，全部满足得3分，否则不得分。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spacing w:line="560" w:lineRule="exact"/>
        <w:ind w:firstLine="560" w:firstLineChars="200"/>
        <w:outlineLvl w:val="2"/>
        <w:rPr>
          <w:rFonts w:ascii="仿宋" w:eastAsia="仿宋" w:hAnsi="仿宋" w:cs="仿宋" w:hint="eastAsia"/>
          <w:bCs/>
          <w:sz w:val="28"/>
          <w:szCs w:val="28"/>
        </w:rPr>
      </w:pPr>
      <w:bookmarkStart w:id="61" w:name="_Toc1647384446"/>
      <w:bookmarkStart w:id="62" w:name="_Toc374091441"/>
      <w:bookmarkStart w:id="63" w:name="_Toc13355"/>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bookmarkEnd w:id="6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position:absolute;z-index:251658240" filled="f" stroked="f">
            <v:imagedata r:id="rId6" o:title=""/>
            <v:path o:extrusionok="f"/>
            <o:lock v:ext="edit" aspectratio="t"/>
          </v:shape>
        </w:pict>
      </w:r>
      <w:r>
        <w:rPr>
          <w:sz w:val="28"/>
          <w:szCs w:val="28"/>
        </w:rPr>
        <w:pict>
          <v:shape id="图片 43" o:spid="_x0000_i1027" type="#_x0000_t75" style="width:370.31pt;height:283.31pt" filled="f" stroked="f">
            <v:imagedata r:id="rId7" o:title=""/>
            <v:path o:extrusionok="f"/>
            <o:lock v:ext="edit" aspectratio="t"/>
          </v:shape>
        </w:pict>
      </w:r>
    </w:p>
    <w:p>
      <w:pPr>
        <w:snapToGrid w:val="0"/>
        <w:spacing w:line="360" w:lineRule="auto"/>
        <w:jc w:val="center"/>
        <w:rPr>
          <w:sz w:val="28"/>
          <w:szCs w:val="28"/>
        </w:rPr>
      </w:pPr>
      <w:r>
        <w:rPr>
          <w:sz w:val="28"/>
          <w:szCs w:val="28"/>
        </w:rPr>
        <w:pict>
          <v:shape id="图片 44" o:spid="_x0000_i1028" type="#_x0000_t75" style="width:286.99pt;height:283.71pt" filled="f" stroked="f">
            <v:imagedata r:id="rId8" o:title=""/>
            <v:path o:extrusionok="f"/>
            <o:lock v:ext="edit" aspectratio="t"/>
          </v:shape>
        </w:pict>
      </w:r>
    </w:p>
    <w:p>
      <w:pPr>
        <w:snapToGrid w:val="0"/>
        <w:spacing w:line="360" w:lineRule="auto"/>
        <w:rPr>
          <w:sz w:val="28"/>
          <w:szCs w:val="28"/>
        </w:rPr>
      </w:pPr>
      <w:r>
        <w:rPr>
          <w:sz w:val="28"/>
          <w:szCs w:val="28"/>
        </w:rPr>
        <w:pict>
          <v:shape id="图片 45" o:spid="_x0000_i1029" type="#_x0000_t75" style="width:415.09pt;height:263.71pt" filled="f" stroked="f">
            <v:imagedata r:id="rId9" o:title=""/>
            <v:path o:extrusionok="f"/>
            <o:lock v:ext="edit" aspectratio="t"/>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rPr>
          <w:rFonts w:ascii="仿宋" w:eastAsia="仿宋" w:hAnsi="仿宋" w:cs="仿宋" w:hint="eastAsia"/>
          <w:bCs/>
          <w:sz w:val="28"/>
          <w:szCs w:val="28"/>
        </w:rPr>
      </w:pPr>
      <w:bookmarkStart w:id="64" w:name="_Toc97932656"/>
    </w:p>
    <w:p>
      <w:pPr>
        <w:spacing w:line="560" w:lineRule="exact"/>
        <w:ind w:firstLine="560" w:firstLineChars="200"/>
        <w:outlineLvl w:val="2"/>
        <w:rPr>
          <w:rFonts w:ascii="仿宋_GB2312" w:hAnsi="仿宋_GB2312" w:cs="仿宋_GB2312"/>
          <w:bCs/>
          <w:sz w:val="28"/>
          <w:szCs w:val="28"/>
        </w:rPr>
      </w:pPr>
      <w:r>
        <w:rPr>
          <w:rFonts w:ascii="仿宋" w:eastAsia="仿宋" w:hAnsi="仿宋" w:cs="仿宋" w:hint="eastAsia"/>
          <w:bCs/>
          <w:sz w:val="28"/>
          <w:szCs w:val="28"/>
        </w:rPr>
        <w:t>1.2天线</w:t>
      </w:r>
      <w:bookmarkEnd w:id="64"/>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图片 46" o:spid="_x0000_i1030" type="#_x0000_t75" style="width:396.98pt;height:280.25pt" filled="f" stroked="f">
            <v:imagedata r:id="rId10"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position:absolute;z-index:251660288" filled="f" stroked="f">
            <v:imagedata r:id="rId11" o:title=""/>
            <v:path o:extrusionok="f"/>
            <o:lock v:ext="edit" aspectratio="t"/>
            <w10:wrap type="topAndBottom"/>
          </v:shape>
        </w:pict>
      </w:r>
      <w:r>
        <w:rPr>
          <w:sz w:val="28"/>
          <w:szCs w:val="28"/>
        </w:rPr>
        <w:pict>
          <v:shape id="图片 11" o:spid="_x0000_s1032" type="#_x0000_t75" style="width:30.15pt;height:11.4pt;margin-top:151.1pt;margin-left:35.55pt;mso-position-horizontal-relative:margin;position:absolute;z-index:251659264" filled="f" stroked="f">
            <v:imagedata r:id="rId6" o:title=""/>
            <v:path o:extrusionok="f"/>
            <o:lock v:ext="edit" aspectratio="t"/>
            <w10:wrap anchorx="margin"/>
          </v:shape>
        </w:pict>
      </w:r>
      <w:r>
        <w:rPr>
          <w:rFonts w:ascii="黑体" w:eastAsia="黑体" w:hAnsi="黑体" w:cs="黑体" w:hint="eastAsia"/>
          <w:sz w:val="28"/>
          <w:szCs w:val="28"/>
        </w:rPr>
        <w:t>图3 转台和天线连接结构示例</w:t>
      </w:r>
    </w:p>
    <w:p>
      <w:pPr>
        <w:spacing w:line="560" w:lineRule="exact"/>
        <w:ind w:firstLine="560" w:firstLineChars="200"/>
        <w:outlineLvl w:val="3"/>
        <w:rPr>
          <w:rFonts w:ascii="仿宋" w:eastAsia="仿宋" w:hAnsi="仿宋" w:cs="仿宋" w:hint="eastAsia"/>
          <w:sz w:val="28"/>
          <w:szCs w:val="28"/>
        </w:rPr>
      </w:pPr>
      <w:bookmarkStart w:id="65" w:name="_Toc159513680"/>
      <w:r>
        <w:rPr>
          <w:rFonts w:ascii="仿宋" w:eastAsia="仿宋" w:hAnsi="仿宋" w:cs="仿宋" w:hint="eastAsia"/>
          <w:sz w:val="28"/>
          <w:szCs w:val="28"/>
        </w:rPr>
        <w:t>1.2.3工艺、材质及标识标牌要求</w:t>
      </w:r>
      <w:bookmarkEnd w:id="65"/>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Look w:val="0000"/>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序列号中的</w:t>
      </w:r>
      <w:r>
        <w:rPr>
          <w:rFonts w:ascii="仿宋" w:eastAsia="仿宋" w:hAnsi="仿宋" w:cs="仿宋" w:hint="eastAsia"/>
          <w:sz w:val="28"/>
          <w:szCs w:val="28"/>
        </w:rPr>
        <w:t>“</w:t>
      </w:r>
      <w:r>
        <w:rPr>
          <w:rFonts w:ascii="仿宋" w:eastAsia="仿宋" w:hAnsi="仿宋" w:cs="仿宋" w:hint="eastAsia"/>
          <w:sz w:val="28"/>
          <w:szCs w:val="28"/>
        </w:rPr>
        <w:t>YYYY</w:t>
      </w:r>
      <w:r>
        <w:rPr>
          <w:rFonts w:ascii="仿宋" w:eastAsia="仿宋" w:hAnsi="仿宋" w:cs="仿宋" w:hint="eastAsia"/>
          <w:sz w:val="28"/>
          <w:szCs w:val="28"/>
        </w:rPr>
        <w:t>”</w:t>
      </w:r>
      <w:r>
        <w:rPr>
          <w:rFonts w:ascii="仿宋" w:eastAsia="仿宋" w:hAnsi="仿宋" w:cs="仿宋" w:hint="eastAsia"/>
          <w:sz w:val="28"/>
          <w:szCs w:val="28"/>
        </w:rPr>
        <w:t>代表出厂所述年，</w:t>
      </w:r>
      <w:r>
        <w:rPr>
          <w:rFonts w:ascii="仿宋" w:eastAsia="仿宋" w:hAnsi="仿宋" w:cs="仿宋" w:hint="eastAsia"/>
          <w:sz w:val="28"/>
          <w:szCs w:val="28"/>
        </w:rPr>
        <w:t>“</w:t>
      </w:r>
      <w:r>
        <w:rPr>
          <w:rFonts w:ascii="仿宋" w:eastAsia="仿宋" w:hAnsi="仿宋" w:cs="仿宋" w:hint="eastAsia"/>
          <w:sz w:val="28"/>
          <w:szCs w:val="28"/>
        </w:rPr>
        <w:t>MM</w:t>
      </w:r>
      <w:r>
        <w:rPr>
          <w:rFonts w:ascii="仿宋" w:eastAsia="仿宋" w:hAnsi="仿宋" w:cs="仿宋" w:hint="eastAsia"/>
          <w:sz w:val="28"/>
          <w:szCs w:val="28"/>
        </w:rPr>
        <w:t>”</w:t>
      </w:r>
      <w:r>
        <w:rPr>
          <w:rFonts w:ascii="仿宋" w:eastAsia="仿宋" w:hAnsi="仿宋" w:cs="仿宋" w:hint="eastAsia"/>
          <w:sz w:val="28"/>
          <w:szCs w:val="28"/>
        </w:rPr>
        <w:t>代表出厂所述月，</w:t>
      </w:r>
      <w:r>
        <w:rPr>
          <w:rFonts w:ascii="仿宋" w:eastAsia="仿宋" w:hAnsi="仿宋" w:cs="仿宋" w:hint="eastAsia"/>
          <w:sz w:val="28"/>
          <w:szCs w:val="28"/>
        </w:rPr>
        <w:t>“</w:t>
      </w:r>
      <w:r>
        <w:rPr>
          <w:rFonts w:ascii="仿宋" w:eastAsia="仿宋" w:hAnsi="仿宋" w:cs="仿宋" w:hint="eastAsia"/>
          <w:sz w:val="28"/>
          <w:szCs w:val="28"/>
        </w:rPr>
        <w:t>XXX代表出厂序号</w:t>
      </w:r>
      <w:r>
        <w:rPr>
          <w:rFonts w:ascii="仿宋" w:eastAsia="仿宋" w:hAnsi="仿宋" w:cs="仿宋" w:hint="eastAsia"/>
          <w:sz w:val="28"/>
          <w:szCs w:val="28"/>
        </w:rPr>
        <w:t>”</w:t>
      </w:r>
      <w:r>
        <w:rPr>
          <w:rFonts w:ascii="仿宋" w:eastAsia="仿宋" w:hAnsi="仿宋" w:cs="仿宋" w:hint="eastAsia"/>
          <w:sz w:val="28"/>
          <w:szCs w:val="28"/>
        </w:rPr>
        <w:t>。</w:t>
      </w:r>
    </w:p>
    <w:p>
      <w:pPr>
        <w:spacing w:line="560" w:lineRule="exact"/>
        <w:ind w:firstLine="560" w:firstLineChars="200"/>
        <w:outlineLvl w:val="3"/>
        <w:rPr>
          <w:rFonts w:ascii="仿宋" w:eastAsia="仿宋" w:hAnsi="仿宋" w:cs="仿宋" w:hint="eastAsia"/>
          <w:sz w:val="28"/>
          <w:szCs w:val="28"/>
        </w:rPr>
      </w:pPr>
      <w:bookmarkStart w:id="66" w:name="_Toc159513681"/>
      <w:r>
        <w:rPr>
          <w:rFonts w:ascii="仿宋" w:eastAsia="仿宋" w:hAnsi="仿宋" w:cs="仿宋" w:hint="eastAsia"/>
          <w:sz w:val="28"/>
          <w:szCs w:val="28"/>
          <w:highlight w:val="yellow"/>
        </w:rPr>
        <w:t>1.2.4接口说明</w:t>
      </w:r>
      <w:bookmarkEnd w:id="66"/>
      <w:r>
        <w:rPr>
          <w:rFonts w:ascii="仿宋" w:eastAsia="仿宋" w:hAnsi="仿宋" w:cs="仿宋" w:hint="eastAsia"/>
          <w:sz w:val="28"/>
          <w:szCs w:val="28"/>
          <w:highlight w:val="yellow"/>
        </w:rPr>
        <w:t>#</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bookmarkStart w:id="67" w:name="_Toc1460331067"/>
      <w:r>
        <w:rPr>
          <w:rFonts w:ascii="仿宋_GB2312" w:eastAsia="仿宋_GB2312" w:hAnsi="仿宋_GB2312" w:cs="仿宋_GB2312" w:hint="eastAsia"/>
          <w:bCs/>
          <w:sz w:val="28"/>
          <w:szCs w:val="28"/>
        </w:rPr>
        <w:t>1.3馈线</w:t>
      </w:r>
      <w:bookmarkEnd w:id="6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position:absolute;z-index:251661312" filled="f" stroked="f">
            <v:imagedata r:id="rId6" o:title=""/>
            <v:path o:extrusionok="f"/>
            <o:lock v:ext="edit" aspectratio="t"/>
          </v:shape>
        </w:pict>
      </w:r>
      <w:r>
        <w:rPr>
          <w:rFonts w:ascii="仿宋_GB2312"/>
          <w:sz w:val="28"/>
          <w:szCs w:val="28"/>
        </w:rPr>
        <w:pict>
          <v:shape id="图片 47" o:spid="_x0000_i1034" type="#_x0000_t75" alt="D:\WeChat Files\fenrisking\FileStorage\File\2024-01\馈线尺寸图_00.png" style="width:415.23pt;height:293.31pt" filled="f" stroked="f">
            <v:imagedata r:id="rId12" o:title="馈线尺寸图_00"/>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Look w:val="0000"/>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bookmarkStart w:id="68" w:name="_Toc159513686"/>
      <w:r>
        <w:rPr>
          <w:rFonts w:ascii="仿宋" w:eastAsia="仿宋" w:hAnsi="仿宋" w:cs="仿宋" w:hint="eastAsia"/>
          <w:sz w:val="28"/>
          <w:szCs w:val="28"/>
          <w:highlight w:val="yellow"/>
        </w:rPr>
        <w:t>1.3.4接口说明</w:t>
      </w:r>
      <w:bookmarkEnd w:id="68"/>
      <w:r>
        <w:rPr>
          <w:rFonts w:ascii="仿宋" w:eastAsia="仿宋" w:hAnsi="仿宋" w:cs="仿宋" w:hint="eastAsia"/>
          <w:sz w:val="28"/>
          <w:szCs w:val="28"/>
          <w:highlight w:val="yellow"/>
        </w:rPr>
        <w:t>#</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1dB），连接接收机（XS03），用于功率监视</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1dB），连接接收机（XS04），用于功率监视</w:t>
            </w:r>
          </w:p>
        </w:tc>
      </w:tr>
    </w:tbl>
    <w:p>
      <w:pPr>
        <w:spacing w:line="560" w:lineRule="exact"/>
        <w:ind w:firstLine="560" w:firstLineChars="200"/>
        <w:outlineLvl w:val="2"/>
        <w:rPr>
          <w:rFonts w:ascii="仿宋" w:eastAsia="仿宋" w:hAnsi="仿宋" w:cs="仿宋" w:hint="eastAsia"/>
          <w:bCs/>
          <w:sz w:val="28"/>
          <w:szCs w:val="28"/>
        </w:rPr>
      </w:pPr>
      <w:bookmarkStart w:id="69" w:name="_Toc190723481"/>
      <w:bookmarkStart w:id="70" w:name="_Toc24935"/>
      <w:bookmarkEnd w:id="62"/>
      <w:bookmarkEnd w:id="63"/>
      <w:r>
        <w:rPr>
          <w:rFonts w:ascii="仿宋" w:eastAsia="仿宋" w:hAnsi="仿宋" w:cs="仿宋" w:hint="eastAsia"/>
          <w:bCs/>
          <w:sz w:val="28"/>
          <w:szCs w:val="28"/>
        </w:rPr>
        <w:t>1.4伺服转台</w:t>
      </w:r>
      <w:bookmarkEnd w:id="69"/>
    </w:p>
    <w:p>
      <w:pPr>
        <w:spacing w:line="560" w:lineRule="exact"/>
        <w:ind w:firstLine="560" w:firstLineChars="200"/>
        <w:outlineLvl w:val="3"/>
        <w:rPr>
          <w:rFonts w:ascii="仿宋" w:eastAsia="仿宋" w:hAnsi="仿宋" w:cs="仿宋" w:hint="eastAsia"/>
          <w:sz w:val="28"/>
          <w:szCs w:val="28"/>
        </w:rPr>
      </w:pPr>
      <w:bookmarkStart w:id="71" w:name="_Hlk523992212"/>
      <w:bookmarkStart w:id="72" w:name="_Hlk522863903"/>
      <w:r>
        <w:rPr>
          <w:rFonts w:ascii="仿宋" w:eastAsia="仿宋" w:hAnsi="仿宋" w:cs="仿宋" w:hint="eastAsia"/>
          <w:sz w:val="28"/>
          <w:szCs w:val="28"/>
        </w:rPr>
        <w:t>1.4.1组成与功能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w:t>
      </w:r>
      <w:r>
        <w:rPr>
          <w:rFonts w:ascii="仿宋" w:eastAsia="仿宋" w:hAnsi="仿宋" w:cs="仿宋" w:hint="eastAsia"/>
          <w:sz w:val="28"/>
          <w:szCs w:val="28"/>
        </w:rPr>
        <w:t>°</w:t>
      </w:r>
      <w:r>
        <w:rPr>
          <w:rFonts w:ascii="仿宋" w:eastAsia="仿宋" w:hAnsi="仿宋" w:cs="仿宋" w:hint="eastAsia"/>
          <w:sz w:val="28"/>
          <w:szCs w:val="28"/>
        </w:rPr>
        <w:t>无限制、俯仰-2</w:t>
      </w:r>
      <w:r>
        <w:rPr>
          <w:rFonts w:ascii="仿宋" w:eastAsia="仿宋" w:hAnsi="仿宋" w:cs="仿宋" w:hint="eastAsia"/>
          <w:sz w:val="28"/>
          <w:szCs w:val="28"/>
        </w:rPr>
        <w:t>°—</w:t>
      </w:r>
      <w:r>
        <w:rPr>
          <w:rFonts w:ascii="仿宋" w:eastAsia="仿宋" w:hAnsi="仿宋" w:cs="仿宋" w:hint="eastAsia"/>
          <w:sz w:val="28"/>
          <w:szCs w:val="28"/>
        </w:rPr>
        <w:t>+180</w:t>
      </w:r>
      <w:r>
        <w:rPr>
          <w:rFonts w:ascii="仿宋" w:eastAsia="仿宋" w:hAnsi="仿宋" w:cs="仿宋" w:hint="eastAsia"/>
          <w:sz w:val="28"/>
          <w:szCs w:val="28"/>
        </w:rPr>
        <w:t>°</w:t>
      </w:r>
      <w:r>
        <w:rPr>
          <w:rFonts w:ascii="仿宋" w:eastAsia="仿宋" w:hAnsi="仿宋" w:cs="仿宋" w:hint="eastAsia"/>
          <w:sz w:val="28"/>
          <w:szCs w:val="28"/>
        </w:rPr>
        <w:t>扫描（固态体制），俯仰-2</w:t>
      </w:r>
      <w:r>
        <w:rPr>
          <w:rFonts w:ascii="仿宋" w:eastAsia="仿宋" w:hAnsi="仿宋" w:cs="仿宋" w:hint="eastAsia"/>
          <w:sz w:val="28"/>
          <w:szCs w:val="28"/>
        </w:rPr>
        <w:t>°—</w:t>
      </w:r>
      <w:r>
        <w:rPr>
          <w:rFonts w:ascii="仿宋" w:eastAsia="仿宋" w:hAnsi="仿宋" w:cs="仿宋" w:hint="eastAsia"/>
          <w:sz w:val="28"/>
          <w:szCs w:val="28"/>
        </w:rPr>
        <w:t>+90</w:t>
      </w:r>
      <w:r>
        <w:rPr>
          <w:rFonts w:ascii="仿宋" w:eastAsia="仿宋" w:hAnsi="仿宋" w:cs="仿宋" w:hint="eastAsia"/>
          <w:sz w:val="28"/>
          <w:szCs w:val="28"/>
        </w:rPr>
        <w:t>°</w:t>
      </w:r>
      <w:r>
        <w:rPr>
          <w:rFonts w:ascii="仿宋" w:eastAsia="仿宋" w:hAnsi="仿宋" w:cs="仿宋" w:hint="eastAsia"/>
          <w:sz w:val="28"/>
          <w:szCs w:val="28"/>
        </w:rPr>
        <w:t>扫描（速调管体制），具有相应的电气和机械限位功能；雷达伺服转台应支持平面位置扫描、距离高度扫描、体积扫描、扇形扫描、定点扫描等多种扫描方式，各种扫描方式均由软件控制完成。</w:t>
      </w:r>
      <w:bookmarkEnd w:id="7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图片 48" o:spid="_x0000_i1035" type="#_x0000_t75" style="width:262.15pt;height:297.9pt" filled="f" stroked="f">
            <v:imagedata r:id="rId13"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Look w:val="0000"/>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spacing w:line="560" w:lineRule="exact"/>
        <w:ind w:firstLine="560" w:firstLineChars="200"/>
        <w:outlineLvl w:val="2"/>
        <w:rPr>
          <w:rFonts w:ascii="仿宋" w:eastAsia="仿宋" w:hAnsi="仿宋" w:cs="仿宋" w:hint="eastAsia"/>
          <w:bCs/>
          <w:sz w:val="28"/>
          <w:szCs w:val="28"/>
        </w:rPr>
      </w:pPr>
      <w:bookmarkStart w:id="73" w:name="_Toc773431488"/>
      <w:bookmarkEnd w:id="70"/>
      <w:bookmarkEnd w:id="72"/>
      <w:r>
        <w:rPr>
          <w:rFonts w:ascii="仿宋" w:eastAsia="仿宋" w:hAnsi="仿宋" w:cs="仿宋" w:hint="eastAsia"/>
          <w:bCs/>
          <w:sz w:val="28"/>
          <w:szCs w:val="28"/>
        </w:rPr>
        <w:t>1.5发射机</w:t>
      </w:r>
      <w:bookmarkEnd w:id="73"/>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position:absolute;z-index:251662336" filled="f" stroked="f">
            <v:imagedata r:id="rId6" o:title=""/>
            <v:path o:extrusionok="f"/>
            <o:lock v:ext="edit" aspectratio="t"/>
          </v:shape>
        </w:pict>
      </w:r>
      <w:r>
        <w:rPr>
          <w:sz w:val="28"/>
          <w:szCs w:val="28"/>
        </w:rPr>
        <w:pict>
          <v:shape id="图片 49" o:spid="_x0000_i1037" type="#_x0000_t75" style="width:306.36pt;height:255.25pt" filled="f" stroked="f">
            <v:imagedata r:id="rId14"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图片 50" o:spid="_x0000_i1038" type="#_x0000_t75" style="width:241.76pt;height:258.35pt" o:preferrelative="t" filled="f" stroked="f">
            <v:imagedata r:id="rId15"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spacing w:line="560" w:lineRule="exact"/>
        <w:ind w:firstLine="560" w:firstLineChars="200"/>
        <w:outlineLvl w:val="3"/>
        <w:rPr>
          <w:rFonts w:ascii="仿宋" w:eastAsia="仿宋" w:hAnsi="仿宋" w:cs="仿宋" w:hint="eastAsia"/>
          <w:sz w:val="28"/>
          <w:szCs w:val="28"/>
        </w:rPr>
      </w:pPr>
      <w:bookmarkStart w:id="74" w:name="_Toc159513695"/>
      <w:r>
        <w:rPr>
          <w:rFonts w:ascii="仿宋" w:eastAsia="仿宋" w:hAnsi="仿宋" w:cs="仿宋" w:hint="eastAsia"/>
          <w:sz w:val="28"/>
          <w:szCs w:val="28"/>
        </w:rPr>
        <w:t>1.5.3工艺、材质及标识标牌要求</w:t>
      </w:r>
      <w:bookmarkEnd w:id="74"/>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Look w:val="0000"/>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Look w:val="0000"/>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bookmarkStart w:id="75" w:name="_Toc159513696"/>
      <w:r>
        <w:rPr>
          <w:rFonts w:ascii="仿宋" w:eastAsia="仿宋" w:hAnsi="仿宋" w:cs="仿宋" w:hint="eastAsia"/>
          <w:kern w:val="2"/>
          <w:szCs w:val="28"/>
          <w:highlight w:val="yellow"/>
        </w:rPr>
        <w:t>1.5.4接口说明</w:t>
      </w:r>
      <w:bookmarkEnd w:id="75"/>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Look w:val="0000"/>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spacing w:line="560" w:lineRule="exact"/>
        <w:ind w:firstLine="560" w:firstLineChars="200"/>
        <w:outlineLvl w:val="2"/>
        <w:rPr>
          <w:rFonts w:ascii="仿宋" w:eastAsia="仿宋" w:hAnsi="仿宋" w:cs="仿宋" w:hint="eastAsia"/>
          <w:bCs/>
          <w:sz w:val="28"/>
          <w:szCs w:val="28"/>
        </w:rPr>
      </w:pPr>
      <w:bookmarkStart w:id="76" w:name="_Toc947362128"/>
      <w:bookmarkStart w:id="77" w:name="_Hlk522864094"/>
      <w:r>
        <w:rPr>
          <w:rFonts w:ascii="仿宋" w:eastAsia="仿宋" w:hAnsi="仿宋" w:cs="仿宋" w:hint="eastAsia"/>
          <w:bCs/>
          <w:sz w:val="28"/>
          <w:szCs w:val="28"/>
        </w:rPr>
        <w:t>1.6接收机</w:t>
      </w:r>
      <w:bookmarkEnd w:id="76"/>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bookmarkEnd w:id="7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position:absolute;z-index:251663360" filled="f" stroked="f">
            <v:imagedata r:id="rId6" o:title=""/>
            <v:path o:extrusionok="f"/>
            <o:lock v:ext="edit" aspectratio="t"/>
          </v:shape>
        </w:pict>
      </w:r>
      <w:r>
        <w:rPr>
          <w:sz w:val="28"/>
          <w:szCs w:val="28"/>
        </w:rPr>
        <w:pict>
          <v:shape id="图片 51" o:spid="_x0000_i1040" type="#_x0000_t75" style="width:415.55pt;height:313.64pt" filled="f" stroked="f">
            <v:imagedata r:id="rId16"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 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w:t>
            </w:r>
            <w:r>
              <w:rPr>
                <w:rFonts w:ascii="仿宋_GB2312" w:hAnsi="仿宋_GB2312" w:cs="仿宋_GB2312" w:hint="eastAsia"/>
                <w:szCs w:val="28"/>
              </w:rPr>
              <w:t>×</w:t>
            </w:r>
            <w:r>
              <w:rPr>
                <w:rFonts w:ascii="仿宋_GB2312" w:hAnsi="仿宋_GB2312" w:cs="仿宋_GB2312" w:hint="eastAsia"/>
                <w:szCs w:val="28"/>
              </w:rPr>
              <w:t>480mm</w:t>
            </w:r>
            <w:r>
              <w:rPr>
                <w:rFonts w:ascii="仿宋_GB2312" w:hAnsi="仿宋_GB2312" w:cs="仿宋_GB2312" w:hint="eastAsia"/>
                <w:szCs w:val="28"/>
              </w:rPr>
              <w:t>×</w:t>
            </w:r>
            <w:r>
              <w:rPr>
                <w:rFonts w:ascii="仿宋_GB2312" w:hAnsi="仿宋_GB2312" w:cs="仿宋_GB2312" w:hint="eastAsia"/>
                <w:szCs w:val="28"/>
              </w:rPr>
              <w:t>270mm</w:t>
            </w:r>
          </w:p>
        </w:tc>
      </w:tr>
      <w:tr>
        <w:tblPrEx>
          <w:tblW w:w="8599" w:type="dxa"/>
          <w:jc w:val="center"/>
          <w:tblCellMar>
            <w:top w:w="0" w:type="dxa"/>
            <w:left w:w="108" w:type="dxa"/>
            <w:bottom w:w="0" w:type="dxa"/>
            <w:right w:w="108" w:type="dxa"/>
          </w:tblCellMar>
          <w:tblLook w:val="0000"/>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spacing w:line="560" w:lineRule="exact"/>
        <w:ind w:firstLine="560" w:firstLineChars="200"/>
        <w:outlineLvl w:val="2"/>
        <w:rPr>
          <w:rFonts w:ascii="仿宋" w:eastAsia="仿宋" w:hAnsi="仿宋" w:cs="仿宋" w:hint="eastAsia"/>
          <w:bCs/>
          <w:sz w:val="28"/>
          <w:szCs w:val="28"/>
        </w:rPr>
      </w:pPr>
      <w:bookmarkStart w:id="78" w:name="_Toc1615741414"/>
      <w:r>
        <w:rPr>
          <w:rFonts w:ascii="仿宋" w:eastAsia="仿宋" w:hAnsi="仿宋" w:cs="仿宋" w:hint="eastAsia"/>
          <w:bCs/>
          <w:sz w:val="28"/>
          <w:szCs w:val="28"/>
        </w:rPr>
        <w:t>1.7综合机柜</w:t>
      </w:r>
      <w:bookmarkEnd w:id="78"/>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图片 52" o:spid="_x0000_i1041" type="#_x0000_t75" alt="综合机柜_00" style="width:414.65pt;height:140.94pt" o:preferrelative="t" filled="f" stroked="f">
            <v:imagedata r:id="rId17" o:title="综合机柜_00" croptop="17550f" cropbottom="15269f"/>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色：RAL9003、RAL8022</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图片 53" o:spid="_x0000_i1042" type="#_x0000_t75" alt="1657625101653" style="width:255.44pt;height:283.31pt" filled="f" stroked="f">
            <v:imagedata r:id="rId18" o:title="1657625101653"/>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Look w:val="0000"/>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spacing w:line="560" w:lineRule="exact"/>
        <w:ind w:firstLine="552"/>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spacing w:line="560" w:lineRule="exact"/>
        <w:ind w:firstLine="552"/>
        <w:outlineLvl w:val="3"/>
        <w:rPr>
          <w:rFonts w:ascii="仿宋" w:eastAsia="仿宋" w:hAnsi="仿宋" w:cs="仿宋" w:hint="eastAsia"/>
          <w:kern w:val="2"/>
          <w:szCs w:val="28"/>
          <w:highlight w:val="yellow"/>
        </w:rPr>
      </w:pPr>
      <w:bookmarkStart w:id="79" w:name="_Toc1852755144"/>
      <w:r>
        <w:rPr>
          <w:rFonts w:ascii="仿宋" w:eastAsia="仿宋" w:hAnsi="仿宋" w:cs="仿宋" w:hint="eastAsia"/>
          <w:kern w:val="2"/>
          <w:szCs w:val="28"/>
          <w:highlight w:val="yellow"/>
        </w:rPr>
        <w:t>1.8雷达线缆清单</w:t>
      </w:r>
      <w:bookmarkEnd w:id="79"/>
      <w:r>
        <w:rPr>
          <w:rFonts w:ascii="仿宋" w:eastAsia="仿宋" w:hAnsi="仿宋" w:cs="仿宋" w:hint="eastAsia"/>
          <w:kern w:val="2"/>
          <w:szCs w:val="28"/>
          <w:highlight w:val="yellow"/>
        </w:rPr>
        <w:t>#</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Look w:val="0000"/>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spacing w:line="560" w:lineRule="exact"/>
        <w:ind w:firstLine="560" w:firstLineChars="200"/>
        <w:outlineLvl w:val="2"/>
        <w:rPr>
          <w:rFonts w:ascii="仿宋" w:eastAsia="仿宋" w:hAnsi="仿宋" w:cs="仿宋" w:hint="eastAsia"/>
          <w:bCs/>
          <w:sz w:val="28"/>
          <w:szCs w:val="28"/>
        </w:rPr>
      </w:pPr>
      <w:bookmarkStart w:id="80" w:name="_Toc28016954"/>
      <w:r>
        <w:rPr>
          <w:rFonts w:ascii="仿宋" w:eastAsia="仿宋" w:hAnsi="仿宋" w:cs="仿宋" w:hint="eastAsia"/>
          <w:bCs/>
          <w:sz w:val="28"/>
          <w:szCs w:val="28"/>
        </w:rPr>
        <w:t>1.9信号处理器</w:t>
      </w:r>
      <w:bookmarkEnd w:id="80"/>
    </w:p>
    <w:p>
      <w:pPr>
        <w:spacing w:line="560" w:lineRule="exact"/>
        <w:ind w:firstLine="560" w:firstLineChars="200"/>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spacing w:line="560" w:lineRule="exact"/>
        <w:ind w:firstLine="560" w:firstLineChars="200"/>
        <w:outlineLvl w:val="4"/>
        <w:rPr>
          <w:rFonts w:ascii="仿宋" w:eastAsia="仿宋" w:hAnsi="仿宋" w:cs="仿宋" w:hint="eastAsia"/>
          <w:color w:val="000000"/>
          <w:sz w:val="28"/>
          <w:szCs w:val="28"/>
        </w:rPr>
      </w:pPr>
      <w:bookmarkStart w:id="81" w:name="_Toc1115866217"/>
      <w:r>
        <w:rPr>
          <w:rFonts w:ascii="仿宋" w:eastAsia="仿宋" w:hAnsi="仿宋" w:cs="仿宋" w:hint="eastAsia"/>
          <w:color w:val="000000"/>
          <w:sz w:val="28"/>
          <w:szCs w:val="28"/>
        </w:rPr>
        <w:t>1.9.1.1组成与功能</w:t>
      </w:r>
      <w:bookmarkEnd w:id="81"/>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Object 54" o:spid="_x0000_i1043" type="#_x0000_t75" style="width:396.49pt;height:248.1pt" o:oleicon="f" o:ole="" o:preferrelative="t" filled="f" stroked="f">
            <v:imagedata r:id="rId19" o:title=""/>
            <v:path o:extrusionok="f"/>
            <o:lock v:ext="edit" aspectratio="t"/>
          </v:shape>
          <o:OLEObject Type="Embed" ProgID="Visio.Drawing.15" ShapeID="Object 54" DrawAspect="Content" ObjectID="_1234567890"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spacing w:line="560" w:lineRule="exact"/>
        <w:ind w:firstLine="560" w:firstLineChars="200"/>
        <w:outlineLvl w:val="4"/>
        <w:rPr>
          <w:rFonts w:ascii="仿宋" w:eastAsia="仿宋" w:hAnsi="仿宋" w:cs="仿宋" w:hint="eastAsia"/>
          <w:color w:val="000000"/>
          <w:sz w:val="28"/>
          <w:szCs w:val="28"/>
        </w:rPr>
      </w:pPr>
      <w:bookmarkStart w:id="82" w:name="_Toc951752943"/>
      <w:r>
        <w:rPr>
          <w:rFonts w:ascii="仿宋" w:eastAsia="仿宋" w:hAnsi="仿宋" w:cs="仿宋" w:hint="eastAsia"/>
          <w:color w:val="000000"/>
          <w:sz w:val="28"/>
          <w:szCs w:val="28"/>
          <w:highlight w:val="yellow"/>
        </w:rPr>
        <w:t>1.9.1.2结构要求</w:t>
      </w:r>
      <w:bookmarkEnd w:id="82"/>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55" o:spid="_x0000_i1044" type="#_x0000_t75" style="width:340.41pt;height:282.09pt" filled="f" stroked="f">
            <v:imagedata r:id="rId21" o:title="" cropright="9627f"/>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56" o:spid="_x0000_i1045" type="#_x0000_t75" alt="XA信号处理器盒体图纸-接口图_00" style="width:397.11pt;height:119.68pt" filled="f" stroked="f">
            <v:imagedata r:id="rId22"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spacing w:line="560" w:lineRule="exact"/>
        <w:ind w:firstLine="560" w:firstLineChars="200"/>
        <w:outlineLvl w:val="4"/>
        <w:rPr>
          <w:rFonts w:ascii="仿宋" w:eastAsia="仿宋" w:hAnsi="仿宋" w:cs="仿宋" w:hint="eastAsia"/>
          <w:color w:val="000000"/>
          <w:sz w:val="28"/>
          <w:szCs w:val="28"/>
        </w:rPr>
      </w:pPr>
      <w:bookmarkStart w:id="83" w:name="_Toc1739777513"/>
      <w:r>
        <w:rPr>
          <w:rFonts w:ascii="仿宋" w:eastAsia="仿宋" w:hAnsi="仿宋" w:cs="仿宋" w:hint="eastAsia"/>
          <w:color w:val="000000"/>
          <w:sz w:val="28"/>
          <w:szCs w:val="28"/>
          <w:highlight w:val="yellow"/>
        </w:rPr>
        <w:t>1.9.1.3接口说明</w:t>
      </w:r>
      <w:bookmarkEnd w:id="83"/>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70MHz，0</w:t>
            </w:r>
            <w:r>
              <w:rPr>
                <w:rFonts w:ascii="仿宋_GB2312" w:hAnsi="等线" w:hint="eastAsia"/>
                <w:color w:val="000000"/>
                <w:szCs w:val="28"/>
              </w:rPr>
              <w:t>±</w:t>
            </w:r>
            <w:r>
              <w:rPr>
                <w:rFonts w:ascii="仿宋_GB2312" w:hAnsi="等线" w:hint="eastAsia"/>
                <w:color w:val="000000"/>
                <w:szCs w:val="28"/>
              </w:rPr>
              <w:t>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w:t>
            </w:r>
            <w:r>
              <w:rPr>
                <w:rFonts w:ascii="仿宋_GB2312" w:hAnsi="等线" w:hint="eastAsia"/>
                <w:color w:val="000000"/>
                <w:szCs w:val="28"/>
              </w:rPr>
              <w:t>±</w:t>
            </w:r>
            <w:r>
              <w:rPr>
                <w:rFonts w:ascii="仿宋_GB2312" w:hAnsi="等线" w:hint="eastAsia"/>
                <w:color w:val="000000"/>
                <w:szCs w:val="28"/>
              </w:rPr>
              <w:t>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Look w:val="0000"/>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w:t>
      </w:r>
      <w:r>
        <w:rPr>
          <w:rFonts w:ascii="仿宋" w:eastAsia="仿宋" w:hAnsi="仿宋" w:cs="仿宋" w:hint="eastAsia"/>
          <w:sz w:val="28"/>
          <w:szCs w:val="28"/>
        </w:rPr>
        <w:t>≥</w:t>
      </w:r>
      <w:r>
        <w:rPr>
          <w:rFonts w:ascii="仿宋" w:eastAsia="仿宋" w:hAnsi="仿宋" w:cs="仿宋" w:hint="eastAsia"/>
          <w:sz w:val="28"/>
          <w:szCs w:val="28"/>
        </w:rPr>
        <w:t>100和＜100的主副瓣比；</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adjustRightInd w:val="0"/>
        <w:snapToGrid w:val="0"/>
        <w:spacing w:line="560" w:lineRule="exact"/>
        <w:ind w:firstLine="420" w:firstLineChars="200"/>
        <w:rPr>
          <w:rFonts w:ascii="仿宋" w:eastAsia="仿宋" w:hAnsi="仿宋" w:cs="仿宋" w:hint="eastAsia"/>
          <w:b/>
          <w:bCs/>
        </w:rPr>
      </w:pPr>
      <w:bookmarkStart w:id="84" w:name="_Toc522018069"/>
      <w:bookmarkStart w:id="85" w:name="_Toc522018392"/>
      <w:r>
        <w:rPr>
          <w:rFonts w:ascii="仿宋" w:eastAsia="仿宋" w:hAnsi="仿宋" w:cs="仿宋" w:hint="eastAsia"/>
          <w:b/>
          <w:bCs/>
          <w:highlight w:val="yellow"/>
        </w:rPr>
        <w:t>1.9.2.1雷达系统监测</w:t>
      </w:r>
      <w:r>
        <w:rPr>
          <w:rFonts w:ascii="仿宋" w:eastAsia="仿宋" w:hAnsi="仿宋" w:cs="仿宋" w:hint="eastAsia"/>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76"/>
        <w:gridCol w:w="3691"/>
        <w:gridCol w:w="3516"/>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w:t>
            </w:r>
            <w:r>
              <w:rPr>
                <w:rFonts w:ascii="仿宋_GB2312" w:hAnsi="仿宋" w:hint="eastAsia"/>
                <w:kern w:val="0"/>
                <w:sz w:val="28"/>
                <w:szCs w:val="28"/>
              </w:rPr>
              <w:t>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1.9.2.2远程控制功能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adjustRightInd w:val="0"/>
        <w:snapToGrid w:val="0"/>
        <w:spacing w:line="560" w:lineRule="exact"/>
        <w:ind w:firstLine="420" w:firstLineChars="200"/>
        <w:rPr>
          <w:rFonts w:ascii="仿宋" w:eastAsia="仿宋" w:hAnsi="仿宋" w:cs="仿宋" w:hint="eastAsia"/>
          <w:b/>
          <w:bCs/>
        </w:rPr>
      </w:pPr>
      <w:bookmarkEnd w:id="84"/>
      <w:bookmarkEnd w:id="85"/>
      <w:r>
        <w:rPr>
          <w:rFonts w:ascii="仿宋" w:eastAsia="仿宋" w:hAnsi="仿宋" w:cs="仿宋" w:hint="eastAsia"/>
          <w:b/>
          <w:bCs/>
        </w:rPr>
        <w:t>1.9.2.3关键参数在线分析</w:t>
      </w:r>
    </w:p>
    <w:p>
      <w:pPr>
        <w:spacing w:line="560" w:lineRule="exact"/>
        <w:ind w:firstLine="560" w:firstLineChars="200"/>
        <w:rPr>
          <w:rFonts w:ascii="仿宋" w:eastAsia="仿宋" w:hAnsi="仿宋" w:cs="仿宋" w:hint="eastAsia"/>
          <w:sz w:val="28"/>
          <w:szCs w:val="28"/>
        </w:rPr>
      </w:pPr>
      <w:bookmarkStart w:id="86" w:name="_Hlk522871009"/>
      <w:r>
        <w:rPr>
          <w:rFonts w:ascii="仿宋" w:eastAsia="仿宋" w:hAnsi="仿宋" w:cs="仿宋" w:hint="eastAsia"/>
          <w:sz w:val="28"/>
          <w:szCs w:val="28"/>
        </w:rPr>
        <w:t>雷达应具有关键参数在线分析功能，应满足如下要求：</w:t>
      </w:r>
    </w:p>
    <w:p>
      <w:pPr>
        <w:spacing w:line="560" w:lineRule="exact"/>
        <w:ind w:firstLine="560" w:firstLineChars="200"/>
        <w:rPr>
          <w:rFonts w:ascii="仿宋" w:eastAsia="仿宋" w:hAnsi="仿宋" w:cs="仿宋" w:hint="eastAsia"/>
          <w:sz w:val="28"/>
          <w:szCs w:val="28"/>
        </w:rPr>
      </w:pPr>
      <w:bookmarkStart w:id="87" w:name="_Toc524551142"/>
      <w:bookmarkEnd w:id="86"/>
      <w:r>
        <w:rPr>
          <w:rFonts w:ascii="仿宋" w:eastAsia="仿宋" w:hAnsi="仿宋" w:cs="仿宋" w:hint="eastAsia"/>
          <w:sz w:val="28"/>
          <w:szCs w:val="28"/>
        </w:rPr>
        <w:t>1）具备关键参数记录功能。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1.9.2.4基数据质控及显示</w:t>
      </w:r>
      <w:bookmarkEnd w:id="87"/>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）等基本量进行质控，质控包括滤波、杂波校正因子（CCOR）门限、电磁干扰抑制、风电干扰抑制、速度退模糊、距离退折叠、异常回波标记等，</w:t>
      </w:r>
      <w:bookmarkStart w:id="88" w:name="_Hlk19004266"/>
      <w:r>
        <w:rPr>
          <w:rFonts w:ascii="仿宋" w:eastAsia="仿宋" w:hAnsi="仿宋" w:cs="仿宋" w:hint="eastAsia"/>
          <w:sz w:val="28"/>
          <w:szCs w:val="28"/>
        </w:rPr>
        <w:t>质控前后的基数据都具备存储功能。</w:t>
      </w:r>
      <w:bookmarkEnd w:id="88"/>
      <w:r>
        <w:rPr>
          <w:rFonts w:ascii="仿宋" w:eastAsia="仿宋" w:hAnsi="仿宋" w:cs="仿宋" w:hint="eastAsia"/>
          <w:sz w:val="28"/>
          <w:szCs w:val="28"/>
        </w:rPr>
        <w:t xml:space="preserve">在雷达终端上需具备以下功能：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数据处理功能：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3）鼠标悬浮显示；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4）数据分层控制显示；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1.9.2.5授时功能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spacing w:line="560" w:lineRule="exact"/>
        <w:ind w:firstLine="560" w:firstLineChars="200"/>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spacing w:line="560" w:lineRule="exact"/>
        <w:ind w:firstLine="560" w:firstLineChars="200"/>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75km</w:t>
            </w:r>
          </w:p>
        </w:tc>
      </w:tr>
      <w:tr>
        <w:tblPrEx>
          <w:tblW w:w="9072" w:type="dxa"/>
          <w:jc w:val="center"/>
          <w:tblLayout w:type="fixed"/>
          <w:tblCellMar>
            <w:top w:w="0" w:type="dxa"/>
            <w:left w:w="108" w:type="dxa"/>
            <w:bottom w:w="0" w:type="dxa"/>
            <w:right w:w="108" w:type="dxa"/>
          </w:tblCellMar>
          <w:tblLook w:val="000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Look w:val="000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/km～+10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Look w:val="0000"/>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Look w:val="0000"/>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Look w:val="0000"/>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Look w:val="0000"/>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10%或三相AC380V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10%，50Hz</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90%（+30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w:t>
            </w:r>
            <w:r>
              <w:rPr>
                <w:rFonts w:ascii="仿宋_GB2312" w:eastAsia="仿宋_GB2312" w:hAnsi="仿宋_GB2312" w:cs="仿宋_GB2312" w:hint="eastAsia"/>
                <w:sz w:val="28"/>
                <w:szCs w:val="28"/>
              </w:rPr>
              <w:t>Ω</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bookmarkStart w:id="89" w:name="_Toc374091453"/>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Look w:val="0000"/>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Look w:val="0000"/>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Look w:val="0000"/>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1.0dB</w:t>
            </w:r>
          </w:p>
        </w:tc>
      </w:tr>
      <w:bookmarkEnd w:id="89"/>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Look w:val="000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（含天线罩）</w:t>
            </w:r>
          </w:p>
        </w:tc>
      </w:tr>
      <w:tr>
        <w:tblPrEx>
          <w:tblW w:w="8718" w:type="dxa"/>
          <w:jc w:val="center"/>
          <w:tblLayout w:type="fixed"/>
          <w:tblCellMar>
            <w:top w:w="0" w:type="dxa"/>
            <w:left w:w="108" w:type="dxa"/>
            <w:bottom w:w="0" w:type="dxa"/>
            <w:right w:w="108" w:type="dxa"/>
          </w:tblCellMar>
          <w:tblLook w:val="0000"/>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（不含天线罩）</w:t>
            </w:r>
          </w:p>
        </w:tc>
      </w:tr>
      <w:tr>
        <w:tblPrEx>
          <w:tblW w:w="8718" w:type="dxa"/>
          <w:jc w:val="center"/>
          <w:tblLayout w:type="fixed"/>
          <w:tblCellMar>
            <w:top w:w="0" w:type="dxa"/>
            <w:left w:w="108" w:type="dxa"/>
            <w:bottom w:w="0" w:type="dxa"/>
            <w:right w:w="108" w:type="dxa"/>
          </w:tblCellMar>
          <w:tblLook w:val="000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Look w:val="0000"/>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Look w:val="000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bookmarkStart w:id="90" w:name="_Toc374091454"/>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30</w:t>
            </w:r>
            <w:r>
              <w:rPr>
                <w:rFonts w:ascii="仿宋_GB2312" w:hint="eastAsia"/>
                <w:sz w:val="28"/>
                <w:szCs w:val="28"/>
              </w:rPr>
              <w:t>″</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Look w:val="0000"/>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Look w:val="000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Look w:val="000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1.5:1</w:t>
            </w:r>
          </w:p>
        </w:tc>
      </w:tr>
      <w:bookmarkEnd w:id="90"/>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w:t>
            </w:r>
            <w:r>
              <w:rPr>
                <w:rFonts w:ascii="仿宋_GB2312" w:hint="eastAsia"/>
                <w:sz w:val="28"/>
                <w:szCs w:val="28"/>
              </w:rPr>
              <w:t>°</w:t>
            </w:r>
            <w:r>
              <w:rPr>
                <w:rFonts w:ascii="仿宋_GB2312" w:hint="eastAsia"/>
                <w:sz w:val="28"/>
                <w:szCs w:val="28"/>
              </w:rPr>
              <w:t>连续扫描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w:t>
            </w:r>
            <w:r>
              <w:rPr>
                <w:rFonts w:ascii="仿宋_GB2312" w:hint="eastAsia"/>
                <w:sz w:val="28"/>
                <w:szCs w:val="28"/>
              </w:rPr>
              <w:t>°</w:t>
            </w:r>
            <w:r>
              <w:rPr>
                <w:rFonts w:ascii="仿宋_GB2312" w:hint="eastAsia"/>
                <w:sz w:val="28"/>
                <w:szCs w:val="28"/>
              </w:rPr>
              <w:t>往返扫描</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Look w:val="0000"/>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w:t>
            </w:r>
            <w:r>
              <w:rPr>
                <w:rFonts w:ascii="仿宋_GB2312" w:hint="eastAsia"/>
                <w:sz w:val="28"/>
                <w:szCs w:val="28"/>
              </w:rPr>
              <w:t>0.05</w:t>
            </w:r>
            <w:r>
              <w:rPr>
                <w:rFonts w:ascii="仿宋_GB2312" w:hint="eastAsia"/>
                <w:sz w:val="28"/>
                <w:szCs w:val="28"/>
              </w:rPr>
              <w:t>μ</w:t>
            </w:r>
            <w:r>
              <w:rPr>
                <w:rFonts w:ascii="仿宋_GB2312" w:hint="eastAsia"/>
                <w:sz w:val="28"/>
                <w:szCs w:val="28"/>
              </w:rPr>
              <w:t>s，1.0</w:t>
            </w:r>
            <w:r>
              <w:rPr>
                <w:rFonts w:ascii="仿宋_GB2312" w:hint="eastAsia"/>
                <w:sz w:val="28"/>
                <w:szCs w:val="28"/>
              </w:rPr>
              <w:t>±</w:t>
            </w:r>
            <w:r>
              <w:rPr>
                <w:rFonts w:ascii="仿宋_GB2312" w:hint="eastAsia"/>
                <w:sz w:val="28"/>
                <w:szCs w:val="28"/>
              </w:rPr>
              <w:t>0.10</w:t>
            </w:r>
            <w:r>
              <w:rPr>
                <w:rFonts w:ascii="仿宋_GB2312" w:hint="eastAsia"/>
                <w:sz w:val="28"/>
                <w:szCs w:val="28"/>
              </w:rPr>
              <w:t>μ</w:t>
            </w:r>
            <w:r>
              <w:rPr>
                <w:rFonts w:ascii="仿宋_GB2312" w:hint="eastAsia"/>
                <w:sz w:val="28"/>
                <w:szCs w:val="28"/>
              </w:rPr>
              <w:t>s，0.5～200</w:t>
            </w:r>
            <w:r>
              <w:rPr>
                <w:rFonts w:ascii="仿宋_GB2312" w:hint="eastAsia"/>
                <w:sz w:val="28"/>
                <w:szCs w:val="28"/>
              </w:rPr>
              <w:t>μ</w:t>
            </w:r>
            <w:r>
              <w:rPr>
                <w:rFonts w:ascii="仿宋_GB2312" w:hint="eastAsia"/>
                <w:sz w:val="28"/>
                <w:szCs w:val="28"/>
              </w:rPr>
              <w:t>s（可选）</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Look w:val="000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w:t>
            </w:r>
            <w:r>
              <w:rPr>
                <w:rFonts w:ascii="仿宋_GB2312" w:hint="eastAsia"/>
                <w:sz w:val="28"/>
                <w:szCs w:val="28"/>
              </w:rPr>
              <w:t>℃</w:t>
            </w:r>
            <w:r>
              <w:rPr>
                <w:rFonts w:ascii="仿宋_GB2312" w:hint="eastAsia"/>
                <w:sz w:val="28"/>
                <w:szCs w:val="28"/>
              </w:rPr>
              <w:t>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X="1"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w:t>
            </w:r>
            <w:r>
              <w:rPr>
                <w:rFonts w:ascii="仿宋_GB2312" w:hint="eastAsia"/>
                <w:sz w:val="28"/>
                <w:szCs w:val="28"/>
              </w:rPr>
              <w:t>±</w:t>
            </w:r>
            <w:r>
              <w:rPr>
                <w:rFonts w:ascii="仿宋_GB2312" w:hint="eastAsia"/>
                <w:sz w:val="28"/>
                <w:szCs w:val="28"/>
              </w:rPr>
              <w:t>1dBm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w:t>
            </w:r>
            <w:r>
              <w:rPr>
                <w:rFonts w:ascii="仿宋_GB2312" w:hint="eastAsia"/>
                <w:sz w:val="28"/>
                <w:szCs w:val="28"/>
              </w:rPr>
              <w:t>±</w:t>
            </w:r>
            <w:r>
              <w:rPr>
                <w:rFonts w:ascii="仿宋_GB2312" w:hint="eastAsia"/>
                <w:sz w:val="28"/>
                <w:szCs w:val="28"/>
              </w:rPr>
              <w:t>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w:t>
            </w:r>
            <w:r>
              <w:rPr>
                <w:rFonts w:ascii="仿宋_GB2312" w:hint="eastAsia"/>
                <w:sz w:val="28"/>
                <w:szCs w:val="28"/>
              </w:rPr>
              <w:t>≤</w:t>
            </w:r>
            <w:r>
              <w:rPr>
                <w:rFonts w:ascii="仿宋_GB2312" w:hint="eastAsia"/>
                <w:sz w:val="28"/>
                <w:szCs w:val="28"/>
              </w:rPr>
              <w:t>+15dBm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50dB（脉压比</w:t>
            </w:r>
            <w:r>
              <w:rPr>
                <w:rFonts w:ascii="仿宋_GB2312" w:hint="eastAsia"/>
                <w:sz w:val="28"/>
                <w:szCs w:val="28"/>
              </w:rPr>
              <w:t>≥</w:t>
            </w:r>
            <w:r>
              <w:rPr>
                <w:rFonts w:ascii="仿宋_GB2312" w:hint="eastAsia"/>
                <w:sz w:val="28"/>
                <w:szCs w:val="28"/>
              </w:rPr>
              <w:t>100）</w:t>
            </w:r>
          </w:p>
          <w:p>
            <w:pPr>
              <w:spacing w:line="360" w:lineRule="exact"/>
              <w:rPr>
                <w:rFonts w:ascii="仿宋_GB2312"/>
                <w:sz w:val="28"/>
                <w:szCs w:val="28"/>
              </w:rPr>
            </w:pPr>
            <w:r>
              <w:rPr>
                <w:rFonts w:ascii="仿宋_GB2312" w:hint="eastAsia"/>
                <w:sz w:val="28"/>
                <w:szCs w:val="28"/>
              </w:rPr>
              <w:t>≥</w:t>
            </w: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w:t>
            </w:r>
            <w:r>
              <w:rPr>
                <w:rFonts w:ascii="仿宋_GB2312" w:hint="eastAsia"/>
                <w:sz w:val="28"/>
                <w:szCs w:val="28"/>
              </w:rPr>
              <w:t>μ</w:t>
            </w:r>
            <w:r>
              <w:rPr>
                <w:rFonts w:ascii="仿宋_GB2312" w:hint="eastAsia"/>
                <w:sz w:val="28"/>
                <w:szCs w:val="28"/>
              </w:rPr>
              <w:t>s</w:t>
            </w:r>
            <w:r>
              <w:rPr>
                <w:rFonts w:ascii="宋体" w:eastAsia="宋体" w:hAnsi="宋体" w:hint="eastAsia"/>
                <w:sz w:val="28"/>
                <w:szCs w:val="28"/>
              </w:rPr>
              <w:t>～</w:t>
            </w:r>
            <w:r>
              <w:rPr>
                <w:rFonts w:ascii="仿宋_GB2312" w:hint="eastAsia"/>
                <w:sz w:val="28"/>
                <w:szCs w:val="28"/>
              </w:rPr>
              <w:t>200</w:t>
            </w:r>
            <w:r>
              <w:rPr>
                <w:rFonts w:ascii="仿宋_GB2312" w:hint="eastAsia"/>
                <w:sz w:val="28"/>
                <w:szCs w:val="28"/>
              </w:rPr>
              <w:t>μ</w:t>
            </w:r>
            <w:r>
              <w:rPr>
                <w:rFonts w:ascii="仿宋_GB2312" w:hint="eastAsia"/>
                <w:sz w:val="28"/>
                <w:szCs w:val="28"/>
              </w:rPr>
              <w:t>s</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bookmarkStart w:id="91" w:name="_Hlk529347860"/>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Look w:val="0000"/>
      </w:tblPr>
      <w:tblGrid>
        <w:gridCol w:w="878"/>
        <w:gridCol w:w="1896"/>
        <w:gridCol w:w="5731"/>
      </w:tblGrid>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bookmarkEnd w:id="91"/>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w:t>
            </w:r>
            <w:r>
              <w:rPr>
                <w:rFonts w:ascii="仿宋_GB2312" w:hAnsi="仿宋" w:cs="宋体" w:hint="eastAsia"/>
                <w:kern w:val="0"/>
                <w:sz w:val="28"/>
                <w:szCs w:val="28"/>
              </w:rPr>
              <w:t>≤</w:t>
            </w:r>
            <w:r>
              <w:rPr>
                <w:rFonts w:ascii="仿宋_GB2312" w:hAnsi="仿宋" w:cs="宋体" w:hint="eastAsia"/>
                <w:kern w:val="0"/>
                <w:sz w:val="28"/>
                <w:szCs w:val="28"/>
              </w:rPr>
              <w:t>3.0dB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w:t>
            </w:r>
            <w:r>
              <w:rPr>
                <w:rFonts w:ascii="仿宋_GB2312" w:hint="eastAsia"/>
                <w:sz w:val="28"/>
                <w:szCs w:val="28"/>
              </w:rPr>
              <w:t>≤</w:t>
            </w:r>
            <w:r>
              <w:rPr>
                <w:rFonts w:ascii="仿宋_GB2312" w:hint="eastAsia"/>
                <w:sz w:val="28"/>
                <w:szCs w:val="28"/>
              </w:rPr>
              <w:t>0.6dB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w:t>
            </w:r>
            <w:r>
              <w:rPr>
                <w:rFonts w:ascii="仿宋_GB2312" w:hint="eastAsia"/>
                <w:sz w:val="28"/>
                <w:szCs w:val="28"/>
              </w:rPr>
              <w:t>≥</w:t>
            </w:r>
            <w:r>
              <w:rPr>
                <w:rFonts w:ascii="仿宋_GB2312" w:hint="eastAsia"/>
                <w:sz w:val="28"/>
                <w:szCs w:val="28"/>
              </w:rPr>
              <w:t>90%，且降水回波误判率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400" w:lineRule="exact"/>
              <w:jc w:val="center"/>
              <w:rPr>
                <w:rFonts w:ascii="仿宋_GB2312" w:hAnsi="等线"/>
                <w:b/>
                <w:sz w:val="28"/>
                <w:szCs w:val="28"/>
              </w:rPr>
            </w:pPr>
            <w:bookmarkStart w:id="92" w:name="_Toc374091462"/>
            <w:bookmarkStart w:id="93" w:name="_Toc28194"/>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spacing w:line="560" w:lineRule="exact"/>
        <w:ind w:firstLine="560" w:firstLineChars="200"/>
        <w:outlineLvl w:val="3"/>
        <w:rPr>
          <w:rFonts w:ascii="仿宋" w:eastAsia="仿宋" w:hAnsi="仿宋" w:cs="仿宋" w:hint="eastAsia"/>
          <w:sz w:val="28"/>
          <w:szCs w:val="28"/>
        </w:rPr>
      </w:pPr>
      <w:bookmarkStart w:id="94" w:name="_Toc374091465"/>
      <w:bookmarkStart w:id="95" w:name="_Toc24693"/>
      <w:bookmarkEnd w:id="92"/>
      <w:bookmarkEnd w:id="93"/>
      <w:r>
        <w:rPr>
          <w:rFonts w:ascii="仿宋" w:eastAsia="仿宋" w:hAnsi="仿宋" w:cs="仿宋" w:hint="eastAsia"/>
          <w:sz w:val="28"/>
          <w:szCs w:val="28"/>
          <w:highlight w:val="yellow"/>
        </w:rPr>
        <w:t>产品终端要求</w:t>
      </w:r>
      <w:bookmarkEnd w:id="94"/>
      <w:bookmarkEnd w:id="95"/>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2）应支持国产信创系统。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四、质保服务要求</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4.1培训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在采购方指定地点，中标方对相关技术人员进行不低于2人*5天（５天相当于40课时，具体以采购需求-其他技术及商务需求为准）</w:t>
      </w:r>
      <w:r>
        <w:rPr>
          <w:rFonts w:ascii="仿宋" w:eastAsia="仿宋" w:hAnsi="仿宋" w:cs="仿宋" w:hint="eastAsia"/>
          <w:sz w:val="28"/>
          <w:szCs w:val="28"/>
        </w:rPr>
        <w:t>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1）熟悉雷达系统工作原理；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7）具备雷达回波识别能力。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8）掌握仪器仪表使用方法。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spacing w:line="560" w:lineRule="exact"/>
        <w:ind w:firstLine="560" w:firstLineChars="200"/>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spacing w:line="560" w:lineRule="exact"/>
        <w:ind w:firstLine="560" w:firstLineChars="200"/>
        <w:rPr>
          <w:rFonts w:ascii="仿宋" w:eastAsia="仿宋" w:hAnsi="仿宋" w:cs="仿宋" w:hint="eastAsia"/>
          <w:sz w:val="28"/>
          <w:szCs w:val="28"/>
        </w:rPr>
      </w:pPr>
      <w:bookmarkStart w:id="96" w:name="_Hlk168594784"/>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spacing w:line="560" w:lineRule="exact"/>
        <w:ind w:firstLine="560" w:firstLineChars="200"/>
        <w:rPr>
          <w:rFonts w:ascii="仿宋" w:eastAsia="仿宋" w:hAnsi="仿宋" w:cs="仿宋" w:hint="eastAsia"/>
          <w:sz w:val="28"/>
          <w:szCs w:val="20"/>
        </w:rPr>
      </w:pPr>
      <w:bookmarkEnd w:id="96"/>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6"/>
        <w:gridCol w:w="1148"/>
        <w:gridCol w:w="715"/>
        <w:gridCol w:w="994"/>
        <w:gridCol w:w="1133"/>
        <w:gridCol w:w="3713"/>
        <w:gridCol w:w="4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97" w:name="货物一览表_index"/>
            <w:r>
              <w:rPr>
                <w:rFonts w:asciiTheme="minorEastAsia" w:eastAsiaTheme="minorEastAsia" w:hAnsiTheme="minorEastAsia" w:cstheme="minorEastAsia" w:hint="eastAsia"/>
                <w:kern w:val="0"/>
                <w:szCs w:val="21"/>
              </w:rPr>
              <w:t>序号</w:t>
            </w:r>
            <w:bookmarkEnd w:id="97"/>
          </w:p>
        </w:tc>
        <w:tc>
          <w:tcPr>
            <w:tcW w:w="1135" w:type="dxa"/>
          </w:tcPr>
          <w:p>
            <w:pPr>
              <w:autoSpaceDE w:val="0"/>
              <w:jc w:val="center"/>
              <w:rPr>
                <w:rFonts w:asciiTheme="minorEastAsia" w:hAnsiTheme="minorEastAsia" w:cstheme="minorEastAsia"/>
                <w:kern w:val="0"/>
                <w:szCs w:val="21"/>
              </w:rPr>
            </w:pPr>
            <w:bookmarkStart w:id="98" w:name="货物一览表_goodsName"/>
            <w:r>
              <w:rPr>
                <w:rFonts w:asciiTheme="minorEastAsia" w:eastAsiaTheme="minorEastAsia" w:hAnsiTheme="minorEastAsia" w:cstheme="minorEastAsia" w:hint="eastAsia"/>
                <w:kern w:val="0"/>
                <w:szCs w:val="21"/>
              </w:rPr>
              <w:t>设备名称</w:t>
            </w:r>
            <w:bookmarkEnd w:id="98"/>
          </w:p>
        </w:tc>
        <w:tc>
          <w:tcPr>
            <w:tcW w:w="965" w:type="dxa"/>
          </w:tcPr>
          <w:p>
            <w:pPr>
              <w:autoSpaceDE w:val="0"/>
              <w:jc w:val="center"/>
              <w:rPr>
                <w:rFonts w:asciiTheme="minorEastAsia" w:hAnsiTheme="minorEastAsia" w:cstheme="minorEastAsia"/>
                <w:kern w:val="0"/>
                <w:szCs w:val="21"/>
              </w:rPr>
            </w:pPr>
            <w:bookmarkStart w:id="99" w:name="货物一览表_nums"/>
            <w:r>
              <w:rPr>
                <w:rFonts w:asciiTheme="minorEastAsia" w:eastAsiaTheme="minorEastAsia" w:hAnsiTheme="minorEastAsia" w:cstheme="minorEastAsia" w:hint="eastAsia"/>
                <w:kern w:val="0"/>
                <w:szCs w:val="21"/>
              </w:rPr>
              <w:t>采购数量</w:t>
            </w:r>
            <w:bookmarkEnd w:id="99"/>
          </w:p>
        </w:tc>
        <w:tc>
          <w:tcPr>
            <w:tcW w:w="1062" w:type="dxa"/>
          </w:tcPr>
          <w:p>
            <w:pPr>
              <w:autoSpaceDE w:val="0"/>
              <w:jc w:val="center"/>
              <w:rPr>
                <w:rFonts w:asciiTheme="minorEastAsia" w:hAnsiTheme="minorEastAsia" w:cstheme="minorEastAsia"/>
                <w:kern w:val="0"/>
                <w:szCs w:val="21"/>
              </w:rPr>
            </w:pPr>
            <w:bookmarkStart w:id="100" w:name="货物一览表_units"/>
            <w:r>
              <w:rPr>
                <w:rFonts w:asciiTheme="minorEastAsia" w:eastAsiaTheme="minorEastAsia" w:hAnsiTheme="minorEastAsia" w:cstheme="minorEastAsia" w:hint="eastAsia"/>
                <w:kern w:val="0"/>
                <w:szCs w:val="21"/>
              </w:rPr>
              <w:t>计量单位</w:t>
            </w:r>
            <w:bookmarkEnd w:id="100"/>
          </w:p>
        </w:tc>
        <w:tc>
          <w:tcPr>
            <w:tcW w:w="1220" w:type="dxa"/>
          </w:tcPr>
          <w:p>
            <w:pPr>
              <w:autoSpaceDE w:val="0"/>
              <w:jc w:val="center"/>
              <w:rPr>
                <w:rFonts w:asciiTheme="minorEastAsia" w:hAnsiTheme="minorEastAsia" w:cstheme="minorEastAsia"/>
                <w:kern w:val="0"/>
                <w:szCs w:val="21"/>
              </w:rPr>
            </w:pPr>
            <w:bookmarkStart w:id="101" w:name="货物一览表_procurementBudget"/>
            <w:r>
              <w:rPr>
                <w:rFonts w:asciiTheme="minorEastAsia" w:eastAsiaTheme="minorEastAsia" w:hAnsiTheme="minorEastAsia" w:cstheme="minorEastAsia" w:hint="eastAsia"/>
                <w:kern w:val="0"/>
                <w:szCs w:val="21"/>
              </w:rPr>
              <w:t>采购预算（元）</w:t>
            </w:r>
            <w:bookmarkEnd w:id="101"/>
          </w:p>
        </w:tc>
        <w:tc>
          <w:tcPr>
            <w:tcW w:w="1329" w:type="dxa"/>
          </w:tcPr>
          <w:p>
            <w:pPr>
              <w:autoSpaceDE w:val="0"/>
              <w:jc w:val="center"/>
              <w:rPr>
                <w:rFonts w:asciiTheme="minorEastAsia" w:hAnsiTheme="minorEastAsia" w:cstheme="minorEastAsia" w:hint="eastAsia"/>
                <w:kern w:val="0"/>
                <w:szCs w:val="21"/>
              </w:rPr>
            </w:pPr>
            <w:bookmarkStart w:id="10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0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03" w:name="货物一览表_remark"/>
            <w:r>
              <w:rPr>
                <w:rFonts w:asciiTheme="minorEastAsia" w:eastAsiaTheme="minorEastAsia" w:hAnsiTheme="minorEastAsia" w:cstheme="minorEastAsia" w:hint="eastAsia"/>
                <w:kern w:val="0"/>
                <w:szCs w:val="21"/>
              </w:rPr>
              <w:t>备注</w:t>
            </w:r>
            <w:bookmarkEnd w:id="10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11,100,000.00</w:t>
            </w:r>
          </w:p>
        </w:tc>
        <w:tc>
          <w:tcPr/>
          <w:p>
            <w:pPr>
              <w:autoSpaceDE w:val="0"/>
              <w:jc w:val="center"/>
              <w:rPr>
                <w:rFonts w:asciiTheme="minorEastAsia" w:hAnsiTheme="minorEastAsia" w:cstheme="minorEastAsia" w:hint="eastAsia"/>
                <w:kern w:val="0"/>
                <w:szCs w:val="21"/>
              </w:rPr>
            </w:pPr>
            <w:r>
              <w:t>合同签订后120天内完成供货、安装调试并具备验收条件。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11,100,000.00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1"/>
        <w:gridCol w:w="1569"/>
        <w:gridCol w:w="1161"/>
        <w:gridCol w:w="441"/>
        <w:gridCol w:w="1005"/>
        <w:gridCol w:w="909"/>
        <w:gridCol w:w="2133"/>
        <w:gridCol w:w="86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0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供应站(001053018004)</w:t>
            </w:r>
          </w:p>
        </w:tc>
        <w:tc>
          <w:tcPr/>
          <w:p>
            <w:r>
              <w:t>X波段双线偏振多普勒天气雷达</w:t>
            </w:r>
          </w:p>
        </w:tc>
        <w:tc>
          <w:tcPr/>
          <w:p>
            <w:r>
              <w:t>3</w:t>
            </w:r>
          </w:p>
        </w:tc>
        <w:tc>
          <w:tcPr/>
          <w:p>
            <w:r>
              <w:t>11100000.00</w:t>
            </w:r>
          </w:p>
        </w:tc>
        <w:tc>
          <w:tcPr/>
          <w:p>
            <w:r>
              <w:t xml:space="preserve">11100000.00  </w:t>
            </w:r>
          </w:p>
        </w:tc>
        <w:tc>
          <w:tcPr/>
          <w:p>
            <w:r>
              <w:t>云南鹤庆、云南罗平、云南宁洱</w:t>
            </w:r>
          </w:p>
        </w:tc>
        <w:tc>
          <w:tcPr/>
          <w:p>
            <w:r>
              <w:t>解莉燕0871-64114397</w:t>
            </w:r>
          </w:p>
        </w:tc>
      </w:tr>
    </w:tbl>
    <w:p w:rsidR="00A77B3E"/>
    <w:p>
      <w:pPr>
        <w:spacing w:line="360" w:lineRule="auto"/>
        <w:rPr>
          <w:rFonts w:ascii="宋体" w:hAnsi="宋体"/>
          <w:szCs w:val="21"/>
        </w:rPr>
      </w:pPr>
      <w:bookmarkEnd w:id="10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jc w:val="center"/>
        <w:textAlignment w:val="auto"/>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bCs/>
          <w:sz w:val="28"/>
          <w:szCs w:val="20"/>
        </w:rPr>
      </w:pPr>
      <w:r>
        <w:rPr>
          <w:rFonts w:ascii="仿宋" w:eastAsia="仿宋" w:hAnsi="仿宋" w:cs="仿宋" w:hint="eastAsia"/>
          <w:b/>
          <w:bCs/>
          <w:sz w:val="28"/>
          <w:szCs w:val="20"/>
        </w:rPr>
        <w:t>一、项目概况及总体要求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中国气象局印发的《雷达业务雷达气象业务改革发展工作方案》指出，要以全国短时天气预报指导产品为背景（0-12小时），结合气象卫星、天气雷达等多源数据融合的实况监测产品（0-2小时），对发生强对流天气的地区开展以天气雷达为主的协同观测，实现对强天气的三维立体结构和变化过程的精细化实时观测和预警，实现“观测-分析-预报-预警”无缝隙衔接，完善与各地实际相适应的短临监测预报预警业务体系。本项目是依据《极端灾害性天气短临预警能力提升实施方案（2025—2026年）》具体建设任务和重点工程，编制可行性研究报告，指导后期项目实施。通过2025年短临工程建设，填补中小河流山洪地质灾害易发区观测盲区，使灾害易发区复杂地形下距地1千米高度观测覆盖率提升</w:t>
      </w:r>
      <w:r>
        <w:rPr>
          <w:rFonts w:ascii="仿宋" w:eastAsia="仿宋" w:hAnsi="仿宋" w:cs="仿宋" w:hint="eastAsia"/>
          <w:sz w:val="28"/>
          <w:szCs w:val="20"/>
          <w:lang w:val="en-US" w:eastAsia="zh-CN"/>
        </w:rPr>
        <w:t>1</w:t>
      </w:r>
      <w:r>
        <w:rPr>
          <w:rFonts w:ascii="仿宋" w:eastAsia="仿宋" w:hAnsi="仿宋" w:cs="仿宋" w:hint="eastAsia"/>
          <w:sz w:val="28"/>
          <w:szCs w:val="20"/>
        </w:rPr>
        <w:t>%，增强灾害易发区中小尺度强对流灾害性天气监测预警能力。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bookmarkStart w:id="105" w:name="_Toc1751820023"/>
      <w:bookmarkStart w:id="106" w:name="_Toc2063703383"/>
      <w:bookmarkStart w:id="107" w:name="_Toc142917370"/>
      <w:bookmarkStart w:id="108" w:name="_Toc28798"/>
      <w:bookmarkStart w:id="109" w:name="_Toc1374658488"/>
      <w:bookmarkStart w:id="110" w:name="_Toc667337866"/>
      <w:bookmarkStart w:id="111" w:name="_Toc2075189322"/>
      <w:bookmarkStart w:id="112" w:name="_Toc22021"/>
      <w:bookmarkStart w:id="113" w:name="_Toc24373"/>
      <w:bookmarkStart w:id="114" w:name="_Toc4544"/>
      <w:r>
        <w:rPr>
          <w:rFonts w:ascii="仿宋" w:eastAsia="仿宋" w:hAnsi="仿宋" w:cs="仿宋" w:hint="eastAsia"/>
          <w:sz w:val="28"/>
          <w:szCs w:val="20"/>
        </w:rPr>
        <w:t>项目建设地点</w:t>
      </w:r>
      <w:bookmarkEnd w:id="105"/>
      <w:bookmarkEnd w:id="106"/>
      <w:bookmarkEnd w:id="107"/>
      <w:bookmarkEnd w:id="108"/>
      <w:bookmarkEnd w:id="109"/>
      <w:bookmarkEnd w:id="110"/>
      <w:bookmarkEnd w:id="111"/>
      <w:bookmarkEnd w:id="112"/>
      <w:bookmarkEnd w:id="113"/>
      <w:bookmarkEnd w:id="114"/>
      <w:r>
        <w:rPr>
          <w:rFonts w:ascii="仿宋" w:eastAsia="仿宋" w:hAnsi="仿宋" w:cs="仿宋" w:hint="eastAsia"/>
          <w:sz w:val="28"/>
          <w:szCs w:val="20"/>
          <w:lang w:val="en-US" w:eastAsia="zh-CN"/>
        </w:rPr>
        <w:t>：为云南省曲靖市罗平县、普洱市宁洱县、大理州鹤庆县</w:t>
      </w:r>
      <w:r>
        <w:rPr>
          <w:rFonts w:ascii="仿宋" w:eastAsia="仿宋" w:hAnsi="仿宋" w:cs="仿宋" w:hint="eastAsia"/>
          <w:sz w:val="28"/>
          <w:szCs w:val="20"/>
        </w:rPr>
        <w:t>。</w:t>
      </w:r>
      <w:r>
        <w:rPr>
          <w:rFonts w:ascii="仿宋" w:eastAsia="仿宋" w:hAnsi="仿宋" w:cs="仿宋" w:hint="eastAsia"/>
          <w:sz w:val="28"/>
          <w:szCs w:val="20"/>
          <w:lang w:eastAsia="zh-CN"/>
        </w:rPr>
        <w:t>供应商中标后分别与以上三个建设站点签订合同及对接后续工作。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bCs/>
          <w:sz w:val="28"/>
          <w:szCs w:val="20"/>
        </w:rPr>
      </w:pPr>
      <w:r>
        <w:rPr>
          <w:rFonts w:ascii="仿宋" w:eastAsia="仿宋" w:hAnsi="仿宋" w:cs="仿宋" w:hint="eastAsia"/>
          <w:b/>
          <w:bCs/>
          <w:sz w:val="28"/>
          <w:szCs w:val="20"/>
        </w:rPr>
        <w:t>二、售后服务要求</w:t>
      </w:r>
    </w:p>
    <w:p>
      <w:pPr>
        <w:pStyle w:val="BodyText"/>
        <w:keepNext w:val="0"/>
        <w:keepLines w:val="0"/>
        <w:pageBreakBefore w:val="0"/>
        <w:widowControl w:val="0"/>
        <w:kinsoku/>
        <w:wordWrap/>
        <w:overflowPunct/>
        <w:topLinePunct w:val="0"/>
        <w:autoSpaceDE/>
        <w:autoSpaceDN/>
        <w:bidi w:val="0"/>
        <w:adjustRightInd/>
        <w:snapToGrid/>
        <w:spacing w:after="0" w:line="560" w:lineRule="exact"/>
        <w:ind w:left="661"/>
        <w:textAlignment w:val="auto"/>
        <w:outlineLvl w:val="2"/>
        <w:rPr>
          <w:rFonts w:hint="eastAsia"/>
        </w:rPr>
      </w:pPr>
      <w:r>
        <w:rPr>
          <w:b/>
          <w:bCs/>
          <w:spacing w:val="-1"/>
          <w:lang w:eastAsia="zh-CN"/>
        </w:rPr>
        <w:t>1.备品备件要求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（1）备品备件按质保总额的20%比例配置。质保总额的20%比例的备件在合同签订后20个工作日内，发送到省级雷达保障部门存储，以便缩短故障处理时效。</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（2）根据中国气象局有关业务规定，设备厂家应配置整机备品备件，确保维修保障时效内配送至雷达站。</w:t>
      </w:r>
    </w:p>
    <w:p>
      <w:pPr>
        <w:pStyle w:val="BodyText"/>
        <w:keepNext w:val="0"/>
        <w:keepLines w:val="0"/>
        <w:pageBreakBefore w:val="0"/>
        <w:widowControl w:val="0"/>
        <w:kinsoku/>
        <w:wordWrap/>
        <w:overflowPunct/>
        <w:topLinePunct w:val="0"/>
        <w:autoSpaceDE/>
        <w:autoSpaceDN/>
        <w:bidi w:val="0"/>
        <w:adjustRightInd/>
        <w:snapToGrid/>
        <w:spacing w:after="0" w:line="560" w:lineRule="exact"/>
        <w:ind w:left="648"/>
        <w:textAlignment w:val="auto"/>
        <w:outlineLvl w:val="2"/>
        <w:rPr>
          <w:rFonts w:hint="eastAsia"/>
        </w:rPr>
      </w:pPr>
      <w:r>
        <w:rPr>
          <w:b/>
          <w:bCs/>
          <w:lang w:eastAsia="zh-CN"/>
        </w:rPr>
        <w:t>2.巡检维护要求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项目中所建设的X波段天气雷达设备及雷达站需要进行定期巡检、现场周维护、月维护、年维护以及配套设施设备检测等。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每周开展1次雷达周维护，主要内容包括：查看各分机工作状态、故障指示，及时处理发现的问题；查看天线在体扫等工作时有无异常现象，若有应立即停机处理；检查维护各分机电源模块；清洁雷达机房及天线罩内运行环境；检查雷达适配参数；检查UPS蓄电池电压，若不足要检查原因并及时进行充电。</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2）每月开展1次雷达月维护，主要内容包括：检查并清洁发射机通风滤网灰尘；清洁空调和除湿系统滤尘网；各种测试仪表通电检查；自备发电机运行检查；UPS充放电维护（3个月维护1次）；避雷针工作情况；对计算机内冗余的垃圾文件进行处理；对计算机硬盘进行碎片整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3）每年开展1次雷达年维护，主要内容包括：检查天线座和天线罩单元，并对天线罩内进行清洁维护；检查和维护天线及伺服各机械部件；检查绝缘子、接线板、空气开关、交流接触器上接线松紧，并清洁灰尘；测量/记录各分机主要测试点的波形/参数，作故障维修时比对；检查调整各分机电压、电流、波形；拆洗、维护空调机、除湿系统、风机；检查所有插件状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（4）每年开展1次雷达汛前巡检，主要内容与年维护一致。</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（5）每年至少开展1次防雷设施检测、消防设备检测、铁塔安全性检测等，相关检测单位应具备相应资质。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（6）按照中国气象局有关业务规范要求，在三级及以上气象应急响应期间，24小时全天候现场值守保障，并定期编制和上报雷达运行状态及故障处置报告。</w:t>
      </w:r>
    </w:p>
    <w:p>
      <w:pPr>
        <w:pStyle w:val="BodyText"/>
        <w:keepNext w:val="0"/>
        <w:keepLines w:val="0"/>
        <w:pageBreakBefore w:val="0"/>
        <w:widowControl w:val="0"/>
        <w:kinsoku/>
        <w:wordWrap/>
        <w:overflowPunct/>
        <w:topLinePunct w:val="0"/>
        <w:autoSpaceDE/>
        <w:autoSpaceDN/>
        <w:bidi w:val="0"/>
        <w:adjustRightInd/>
        <w:snapToGrid/>
        <w:spacing w:after="0" w:line="560" w:lineRule="exact"/>
        <w:ind w:left="661"/>
        <w:textAlignment w:val="auto"/>
        <w:outlineLvl w:val="2"/>
        <w:rPr>
          <w:rFonts w:hint="eastAsia"/>
        </w:rPr>
      </w:pPr>
      <w:r>
        <w:rPr>
          <w:b/>
          <w:bCs/>
          <w:spacing w:val="-2"/>
          <w:lang w:eastAsia="zh-CN"/>
        </w:rPr>
        <w:t>3.常规标校要求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按照中国气象局有关业务规定要求，雷达应开展常规标校工作，主要有月标定、年标定和汛前巡检标定，并确保标校测试仪表在计量有效期内。</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每月开展1次月标定，主要内容包括：发射机标定项的发射脉冲宽度（窄脉冲/宽脉冲）、发射峰值功率（窄脉冲/宽脉冲）；接收机标定项的水平/垂直通道动态范围（机内）、水平/垂直通道噪声系数（机内）；天伺系统标定项的天线控制精度（方位/俯仰）、天线波束指向（方位/俯仰）；系统指标标定项的水平/垂直通道回波强度（机内）、水平/垂直通道速度（机内）、水平/垂直通道相位噪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2）每年开展1次年标定，主要内容包括：发射机标定项的发射脉冲宽度（窄脉冲/宽脉冲）、发射峰值功率（窄脉冲/宽脉冲）、发射输入/输出极限改善因子；接收机标定项的水平/垂直通道动态范围（机内和机外）、水平/垂直通道噪声系数（机内和机外）；天伺系统标定项的天线座水平度、天线控制精度（方位/俯仰）、天线波束指向（方位/俯仰）；系统指标标定项的双通道幅度/相位一致性、水平/垂直通道回波强度（机内和机外）、水平/垂直通道速度（机内和机外）、水平/垂直通道相位噪声、实际地物对消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（3）每年开展1次汛前巡检标定，主要内容是在年标定的基础上，增加水平/垂直接收支路损耗标定。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（4）委托具有计量测试资质单位，出具测试仪表的校准或检定证书，确保其在计量有效期内。</w:t>
      </w:r>
    </w:p>
    <w:p>
      <w:pPr>
        <w:pStyle w:val="BodyText"/>
        <w:keepNext w:val="0"/>
        <w:keepLines w:val="0"/>
        <w:pageBreakBefore w:val="0"/>
        <w:widowControl w:val="0"/>
        <w:kinsoku/>
        <w:wordWrap/>
        <w:overflowPunct/>
        <w:topLinePunct w:val="0"/>
        <w:autoSpaceDE/>
        <w:autoSpaceDN/>
        <w:bidi w:val="0"/>
        <w:adjustRightInd/>
        <w:snapToGrid/>
        <w:spacing w:after="0" w:line="560" w:lineRule="exact"/>
        <w:ind w:left="647"/>
        <w:textAlignment w:val="auto"/>
        <w:outlineLvl w:val="2"/>
        <w:rPr>
          <w:rFonts w:hint="eastAsia"/>
        </w:rPr>
      </w:pPr>
      <w:r>
        <w:rPr>
          <w:b/>
          <w:bCs/>
          <w:spacing w:val="1"/>
          <w:lang w:eastAsia="zh-CN"/>
        </w:rPr>
        <w:t>4.远程技术支持要求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应提供7*24小时远程技术支持电话，在雷达发生故障或出现探测数据异常、无数据、数据不全等现象时，1小时内能够作出响应，给予技术支持。</w:t>
      </w:r>
    </w:p>
    <w:p>
      <w:pPr>
        <w:pStyle w:val="BodyText"/>
        <w:keepNext w:val="0"/>
        <w:keepLines w:val="0"/>
        <w:pageBreakBefore w:val="0"/>
        <w:widowControl w:val="0"/>
        <w:kinsoku/>
        <w:wordWrap/>
        <w:overflowPunct/>
        <w:topLinePunct w:val="0"/>
        <w:autoSpaceDE/>
        <w:autoSpaceDN/>
        <w:bidi w:val="0"/>
        <w:adjustRightInd/>
        <w:snapToGrid/>
        <w:spacing w:after="0" w:line="560" w:lineRule="exact"/>
        <w:ind w:left="652"/>
        <w:textAlignment w:val="auto"/>
        <w:outlineLvl w:val="2"/>
        <w:rPr>
          <w:rFonts w:hint="eastAsia"/>
        </w:rPr>
      </w:pPr>
      <w:r>
        <w:rPr>
          <w:b/>
          <w:bCs/>
          <w:spacing w:val="-1"/>
          <w:lang w:eastAsia="zh-CN"/>
        </w:rPr>
        <w:t>5.故障维修要求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雷达发生故障时，服务提供商应按照中国气象局相关业务规定，组织相关技术力量，汛期12小时内到达现场，48小时完成故障修复；非汛期24小时内到达现场，72小时完成故障修复，确保正常上传观测数据，并在故障排除后填报故障修复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bCs/>
          <w:sz w:val="28"/>
          <w:szCs w:val="20"/>
        </w:rPr>
      </w:pPr>
      <w:r>
        <w:rPr>
          <w:rFonts w:ascii="仿宋" w:eastAsia="仿宋" w:hAnsi="仿宋" w:cs="仿宋" w:hint="eastAsia"/>
          <w:b/>
          <w:bCs/>
          <w:sz w:val="28"/>
          <w:szCs w:val="20"/>
        </w:rPr>
        <w:t>三、培训要求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40课时</w:t>
      </w:r>
      <w:r>
        <w:rPr>
          <w:rFonts w:ascii="仿宋" w:eastAsia="仿宋" w:hAnsi="仿宋" w:cs="仿宋" w:hint="eastAsia"/>
          <w:sz w:val="28"/>
          <w:szCs w:val="28"/>
          <w:lang w:eastAsia="zh-CN"/>
        </w:rPr>
        <w:t>）</w:t>
      </w:r>
      <w:r>
        <w:rPr>
          <w:rFonts w:ascii="仿宋" w:eastAsia="仿宋" w:hAnsi="仿宋" w:cs="仿宋" w:hint="eastAsia"/>
          <w:sz w:val="28"/>
          <w:szCs w:val="28"/>
        </w:rPr>
        <w:t>的雷达使用培训和机务培训，使相关人员能够熟练掌</w:t>
      </w:r>
      <w:r>
        <w:rPr>
          <w:rFonts w:ascii="仿宋" w:eastAsia="仿宋" w:hAnsi="仿宋" w:cs="仿宋" w:hint="eastAsia"/>
          <w:sz w:val="28"/>
          <w:szCs w:val="28"/>
        </w:rPr>
        <w:t>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bCs/>
          <w:sz w:val="28"/>
          <w:szCs w:val="20"/>
        </w:rPr>
      </w:pPr>
      <w:r>
        <w:rPr>
          <w:rFonts w:ascii="仿宋" w:eastAsia="仿宋" w:hAnsi="仿宋" w:cs="仿宋" w:hint="eastAsia"/>
          <w:b/>
          <w:bCs/>
          <w:sz w:val="28"/>
          <w:szCs w:val="20"/>
        </w:rPr>
        <w:t>四、交货要求及履约地点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履约地点：</w:t>
      </w:r>
      <w:r>
        <w:rPr>
          <w:rFonts w:ascii="仿宋" w:eastAsia="仿宋" w:hAnsi="仿宋" w:cs="仿宋" w:hint="eastAsia"/>
          <w:sz w:val="28"/>
          <w:szCs w:val="20"/>
          <w:lang w:val="en-US" w:eastAsia="zh-CN"/>
        </w:rPr>
        <w:t>曲靖市罗平县、普洱市宁洱县、大理州鹤庆县</w:t>
      </w:r>
      <w:r>
        <w:rPr>
          <w:rFonts w:ascii="仿宋" w:eastAsia="仿宋" w:hAnsi="仿宋" w:cs="仿宋" w:hint="eastAsia"/>
          <w:sz w:val="28"/>
          <w:szCs w:val="20"/>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交货与暂存要求：中标供应商负责将本项目所有设备运送至对应雷达站的指定吊装地点，并承担设备安装调试工作；若雷达站基础设施（如塔楼、机房等）尚未完成建设，中标供应商需先将设备运送至各建设单位（各县级气象局或其指定地点）明确的暂存地点进行保管，待雷达站具备吊装条件后，由中标供应商负责将设备从暂存地点转运至该雷达站的指定吊装地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费用承担：设备全流程（含从供应商厂区至暂存地点、暂存地点至吊装地点的运输，以及吊装作业）产生的所有费用均由中标供应商承担，具体包括但不限于运输费、运输保险费、装卸费、叉车租赁费、吊车租赁费、人工服务费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安装调试责任：中标供应商需在设备运抵吊装地点后，按招标文件及采购合同约定的技术标准完成设备安装调试，确保设备各项性能指标达标并具备验收条件。</w:t>
      </w:r>
    </w:p>
    <w:p>
      <w:pPr>
        <w:keepNext w:val="0"/>
        <w:keepLines w:val="0"/>
        <w:pageBreakBefore w:val="0"/>
        <w:widowControl w:val="0"/>
        <w:kinsoku/>
        <w:wordWrap/>
        <w:overflowPunct/>
        <w:topLinePunct w:val="0"/>
        <w:autoSpaceDE/>
        <w:autoSpaceDN/>
        <w:bidi w:val="0"/>
        <w:adjustRightInd/>
        <w:snapToGrid/>
        <w:spacing w:line="560" w:lineRule="exact"/>
        <w:ind w:left="559" w:leftChars="266"/>
        <w:textAlignment w:val="auto"/>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系统接入：可无缝接入采购人现有气象数据平台、国家级业务平台，支持与多波段雷达组网系统协同对接，通过统一远程控制接口实现协同控制，确保观测数据、预报产品的实时共享与联动。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数据格式兼容：完全符合《天气雷达基数据标准格式》等规范，基数据、产品数据等标准格式的输出与存储。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硬件与平台适配：支持国产信创操作系统。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功能完整性保障：软件兼容性需覆盖数据采集、处理、存储、传输全流程，确保与雷达监控软件、标校软件、控制软件及数据传输软件的协同运行，满足组网协同控制、远程维护、在线标校等核心业务场景的功能要求，完全符合甲方相关技术规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b/>
          <w:bCs/>
          <w:sz w:val="28"/>
          <w:szCs w:val="20"/>
        </w:rPr>
        <w:t>七、其他</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lang w:val="en-US" w:eastAsia="zh-CN"/>
        </w:rPr>
        <w:t>1.</w:t>
      </w:r>
      <w:r>
        <w:rPr>
          <w:rFonts w:ascii="仿宋" w:eastAsia="仿宋" w:hAnsi="仿宋" w:cs="仿宋" w:hint="eastAsia"/>
          <w:sz w:val="28"/>
          <w:szCs w:val="20"/>
        </w:rPr>
        <w:t>暂存在省级保障部门的备件要进行动态更新。</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115"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Theme="minorEastAsia" w:eastAsiaTheme="minorEastAsia" w:hAnsiTheme="minorEastAsia" w:cstheme="minorEastAsia" w:hint="eastAsia"/>
                <w:kern w:val="0"/>
                <w:szCs w:val="21"/>
                <w:highlight w:val="none"/>
              </w:rPr>
              <w:t>X波段双线偏振多普勒天气雷达需要提供至投标截止日仍有效的《气象专用技术装备使用许可证》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ind w:left="704" w:hanging="420" w:leftChars="0" w:firstLineChars="0"/>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4.2</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按照中国气象局有关业务规范要求，在三级及以上气象应急响应期间，24小时全天候现场值守保障，并定期编制和上报雷达运行状态及故障处置报告。</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备品备件按质保总额的20%比例配置。设备厂家以履约保函等形式支付20%担保金额，后续逐年返还。此外，设备厂家应按照雷达维修保障要求配置整机备品备件，确保维修保障时效内配送至雷达站。</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备品备件、维护标校、故障维修和巡检巡查等各项要求按照《X波段天气雷达观测规范（试行）》、《X波段天气雷达标校业务规范（试行）》等文件要求执行。</w:t>
            </w:r>
          </w:p>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质保期服务提供相关承诺函。</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ind w:left="704" w:hanging="420" w:leftChars="0" w:firstLineChars="0"/>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val="en-US" w:eastAsia="zh-CN"/>
              </w:rPr>
              <w:t>4.3</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中标方需配合采购方，完成ROSE-X等软件的安装调试，保证上站后能够安全稳定运行。投标方须提供承诺函。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23"/>
          <w:footerReference w:type="default" r:id="rId24"/>
          <w:pgSz w:w="11906" w:h="16838"/>
          <w:pgMar w:top="1440" w:right="1800" w:bottom="1440" w:left="1800" w:header="851" w:footer="992" w:gutter="0"/>
          <w:cols w:space="708"/>
          <w:docGrid w:type="lines" w:linePitch="312"/>
        </w:sectPr>
      </w:pPr>
      <w:bookmarkEnd w:id="11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4"/>
        </w:numPr>
        <w:spacing w:line="360" w:lineRule="auto"/>
        <w:ind w:firstLine="3066" w:firstLineChars="1460"/>
        <w:jc w:val="left"/>
        <w:rPr>
          <w:b/>
          <w:bCs/>
          <w:szCs w:val="21"/>
        </w:rPr>
      </w:pPr>
      <w:bookmarkStart w:id="116"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117"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118" w:name="_Toc22209"/>
      <w:bookmarkEnd w:id="11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118"/>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55644">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0A49C3">
        <w:rPr>
          <w:rFonts w:ascii="宋体" w:hAnsi="宋体"/>
          <w:b/>
          <w:bCs/>
          <w:szCs w:val="21"/>
          <w:u w:val="single"/>
        </w:rPr>
        <w:t>50</w:t>
      </w:r>
      <w:r>
        <w:rPr>
          <w:rFonts w:ascii="宋体" w:hAnsi="宋体" w:hint="eastAsia"/>
          <w:b/>
          <w:bCs/>
          <w:szCs w:val="21"/>
          <w:u w:val="single"/>
        </w:rPr>
        <w:t>%。设备完成验收后，甲方向乙方支付尾款，即合同总价的</w:t>
      </w:r>
      <w:r w:rsidR="000A49C3">
        <w:rPr>
          <w:rFonts w:ascii="宋体" w:hAnsi="宋体"/>
          <w:b/>
          <w:bCs/>
          <w:szCs w:val="21"/>
          <w:u w:val="single"/>
        </w:rPr>
        <w:t>50</w:t>
      </w:r>
      <w:r>
        <w:rPr>
          <w:rFonts w:ascii="宋体" w:hAnsi="宋体" w:hint="eastAsia"/>
          <w:b/>
          <w:bCs/>
          <w:szCs w:val="21"/>
          <w:u w:val="single"/>
        </w:rPr>
        <w:t xml:space="preserve">%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55644">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119" w:name="_Toc27624"/>
      <w:r>
        <w:rPr>
          <w:rFonts w:ascii="黑体" w:hAnsi="黑体" w:hint="eastAsia"/>
          <w:b w:val="0"/>
          <w:bCs w:val="0"/>
          <w:sz w:val="28"/>
          <w:szCs w:val="28"/>
        </w:rPr>
        <w:t>第二节 政府采购合同通用条款</w:t>
      </w:r>
      <w:bookmarkEnd w:id="119"/>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55644">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8.1 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120"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20"/>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55644">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15. 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55644">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55644">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55644">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121"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12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第5.4款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第6.1款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第11.1款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rsidR="00155644">
      <w:pPr>
        <w:numPr>
          <w:ilvl w:val="0"/>
          <w:numId w:val="4"/>
        </w:numPr>
        <w:spacing w:line="360" w:lineRule="auto"/>
        <w:ind w:firstLine="3066" w:firstLineChars="1460"/>
        <w:jc w:val="left"/>
        <w:rPr>
          <w:b/>
          <w:bCs/>
          <w:szCs w:val="21"/>
        </w:rPr>
      </w:pPr>
      <w:bookmarkEnd w:id="116"/>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9C3"/>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