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华北区域人工影响天气能力建设项目（内蒙古）—人工增减雨雪试验示范基地建设地基微波辐射计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华北区域人工影响天气能力建设项目（内蒙古）—人工增减雨雪试验示范基地建设地基微波辐射计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2026年06月30日 00:00:00</w:t>
      </w:r>
      <w:bookmarkEnd w:id="26"/>
      <w:r>
        <w:rPr>
          <w:rFonts w:ascii="宋体" w:hint="eastAsia"/>
          <w:szCs w:val="21"/>
          <w:highlight w:val="none"/>
        </w:rPr>
        <w:t>至</w:t>
      </w:r>
      <w:bookmarkStart w:id="27" w:name="项目公告_signUpLastTime"/>
      <w:r>
        <w:rPr>
          <w:rFonts w:ascii="宋体" w:hint="eastAsia"/>
          <w:szCs w:val="21"/>
          <w:highlight w:val="none"/>
        </w:rPr>
        <w:t>2026年07月10日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2026年07月21日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史金丽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0471-3335244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不允许（仅针对以下产品：地基微波辐射计不允许代理商投标）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设有，核心产品为地基微波辐射计</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（1）标的：地基微波辐射计，属于工业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针对本项目采购的地基微波辐射计，承诺每提前30天交货的得1分，最多得1分。否则不得分。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需提供技术文档。响应且满足招标文件第六章详细技术指标要求，标注#的重要指标需提供第三方出具的并加盖投标人公章的测试报告作为证明材料。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针对地基微波辐射计设备，测试报告应涵盖温湿度、抗阵风、降水强度、抗盐雾腐蚀等内容，每包含一项得0.5分，最多得2分。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color w:val="auto"/>
          <w:szCs w:val="21"/>
          <w:highlight w:val="none"/>
        </w:rPr>
      </w:pPr>
      <w:r>
        <w:rPr>
          <w:rFonts w:ascii="宋体" w:hAnsi="宋体" w:hint="eastAsia"/>
          <w:color w:val="auto"/>
          <w:szCs w:val="21"/>
          <w:highlight w:val="none"/>
        </w:rPr>
        <w:t>一、项目概况及总体要求</w:t>
      </w:r>
    </w:p>
    <w:p>
      <w:pPr>
        <w:spacing w:line="360" w:lineRule="auto"/>
        <w:ind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rPr>
        <w:t>本次招标内容为</w:t>
      </w:r>
      <w:r>
        <w:rPr>
          <w:rFonts w:ascii="宋体" w:eastAsia="宋体" w:hAnsi="宋体" w:cs="Times New Roman" w:hint="eastAsia"/>
          <w:color w:val="auto"/>
          <w:szCs w:val="21"/>
          <w:highlight w:val="none"/>
          <w:lang w:val="en-US" w:eastAsia="zh-CN"/>
        </w:rPr>
        <w:t>华北区域人工影响天气能力建设项目（内蒙古）—</w:t>
      </w:r>
      <w:r>
        <w:rPr>
          <w:rFonts w:ascii="宋体" w:eastAsia="宋体" w:hAnsi="宋体" w:cs="Times New Roman" w:hint="eastAsia"/>
          <w:b w:val="0"/>
          <w:color w:val="auto"/>
          <w:kern w:val="2"/>
          <w:sz w:val="21"/>
          <w:szCs w:val="21"/>
          <w:highlight w:val="none"/>
        </w:rPr>
        <w:t>人工增减雨雪试验示范</w:t>
      </w:r>
      <w:r>
        <w:rPr>
          <w:rFonts w:ascii="宋体" w:eastAsia="宋体" w:hAnsi="宋体" w:cs="Times New Roman" w:hint="eastAsia"/>
          <w:b w:val="0"/>
          <w:color w:val="auto"/>
          <w:kern w:val="2"/>
          <w:szCs w:val="21"/>
          <w:highlight w:val="none"/>
        </w:rPr>
        <w:t>基地</w:t>
      </w:r>
      <w:r>
        <w:rPr>
          <w:rFonts w:ascii="宋体" w:eastAsia="宋体" w:hAnsi="宋体" w:cs="Times New Roman" w:hint="eastAsia"/>
          <w:b w:val="0"/>
          <w:color w:val="auto"/>
          <w:kern w:val="2"/>
          <w:szCs w:val="21"/>
          <w:highlight w:val="none"/>
          <w:lang w:val="en-US" w:eastAsia="zh-CN"/>
        </w:rPr>
        <w:t>建设，采购一套</w:t>
      </w:r>
      <w:r>
        <w:rPr>
          <w:rFonts w:ascii="宋体" w:eastAsia="宋体" w:hAnsi="宋体" w:cs="Times New Roman" w:hint="eastAsia"/>
          <w:color w:val="auto"/>
          <w:sz w:val="21"/>
          <w:szCs w:val="21"/>
          <w:highlight w:val="none"/>
          <w:lang w:val="en-US" w:eastAsia="zh-CN"/>
        </w:rPr>
        <w:t>地基微波辐射</w:t>
      </w:r>
      <w:r>
        <w:rPr>
          <w:rFonts w:ascii="宋体" w:hAnsi="宋体" w:cs="Times New Roman" w:hint="eastAsia"/>
          <w:color w:val="auto"/>
          <w:sz w:val="21"/>
          <w:szCs w:val="21"/>
          <w:highlight w:val="none"/>
          <w:lang w:val="en-US" w:eastAsia="zh-CN"/>
        </w:rPr>
        <w:t>计</w:t>
      </w:r>
      <w:r>
        <w:rPr>
          <w:rFonts w:ascii="宋体" w:eastAsia="宋体" w:hAnsi="宋体" w:cs="Times New Roman" w:hint="eastAsia"/>
          <w:color w:val="auto"/>
          <w:szCs w:val="21"/>
          <w:highlight w:val="none"/>
          <w:lang w:eastAsia="zh-CN"/>
        </w:rPr>
        <w:t>。</w:t>
      </w:r>
    </w:p>
    <w:p>
      <w:pPr>
        <w:spacing w:line="360" w:lineRule="auto"/>
        <w:ind w:firstLine="0" w:firstLineChars="0"/>
        <w:jc w:val="center"/>
        <w:rPr>
          <w:rFonts w:ascii="宋体" w:hAnsi="宋体" w:hint="eastAsia"/>
          <w:color w:val="auto"/>
          <w:szCs w:val="21"/>
          <w:highlight w:val="none"/>
        </w:rPr>
      </w:pPr>
      <w:r>
        <w:rPr>
          <w:rFonts w:ascii="宋体" w:hAnsi="宋体" w:hint="eastAsia"/>
          <w:color w:val="auto"/>
          <w:szCs w:val="21"/>
          <w:highlight w:val="none"/>
        </w:rPr>
        <w:t>设备需求一览表</w:t>
      </w:r>
    </w:p>
    <w:tbl>
      <w:tblPr>
        <w:tblStyle w:val="TableNormal"/>
        <w:tblW w:w="0" w:type="auto"/>
        <w:tblInd w:w="102" w:type="dxa"/>
        <w:tblLayout w:type="fixed"/>
        <w:tblCellMar>
          <w:top w:w="0" w:type="dxa"/>
          <w:left w:w="0" w:type="dxa"/>
          <w:bottom w:w="0" w:type="dxa"/>
          <w:right w:w="0" w:type="dxa"/>
        </w:tblCellMar>
      </w:tblPr>
      <w:tblGrid>
        <w:gridCol w:w="718"/>
        <w:gridCol w:w="1570"/>
        <w:gridCol w:w="2140"/>
        <w:gridCol w:w="1212"/>
        <w:gridCol w:w="1050"/>
        <w:gridCol w:w="998"/>
        <w:gridCol w:w="836"/>
      </w:tblGrid>
      <w:tr>
        <w:tblPrEx>
          <w:tblW w:w="0" w:type="auto"/>
          <w:tblInd w:w="102" w:type="dxa"/>
          <w:tblLayout w:type="fixed"/>
          <w:tblCellMar>
            <w:top w:w="0" w:type="dxa"/>
            <w:left w:w="0" w:type="dxa"/>
            <w:bottom w:w="0" w:type="dxa"/>
            <w:right w:w="0" w:type="dxa"/>
          </w:tblCellMar>
        </w:tblPrEx>
        <w:trPr>
          <w:trHeight w:hRule="exact" w:val="691"/>
        </w:trPr>
        <w:tc>
          <w:tcPr>
            <w:tcW w:w="718"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right="-20"/>
              <w:jc w:val="center"/>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序号</w:t>
            </w:r>
          </w:p>
        </w:tc>
        <w:tc>
          <w:tcPr>
            <w:tcW w:w="1570"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right="-20"/>
              <w:jc w:val="center"/>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设备</w:t>
            </w:r>
            <w:r>
              <w:rPr>
                <w:rFonts w:ascii="宋体" w:eastAsia="宋体" w:hAnsi="宋体" w:cs="宋体" w:hint="eastAsia"/>
                <w:color w:val="auto"/>
                <w:spacing w:val="-2"/>
                <w:kern w:val="0"/>
                <w:szCs w:val="21"/>
                <w:highlight w:val="none"/>
              </w:rPr>
              <w:t>名</w:t>
            </w:r>
            <w:r>
              <w:rPr>
                <w:rFonts w:ascii="宋体" w:eastAsia="宋体" w:hAnsi="宋体" w:cs="宋体" w:hint="eastAsia"/>
                <w:color w:val="auto"/>
                <w:kern w:val="0"/>
                <w:szCs w:val="21"/>
                <w:highlight w:val="none"/>
              </w:rPr>
              <w:t>称</w:t>
            </w:r>
          </w:p>
        </w:tc>
        <w:tc>
          <w:tcPr>
            <w:tcW w:w="2140"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left="0" w:right="-20"/>
              <w:jc w:val="center"/>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规格</w:t>
            </w:r>
          </w:p>
        </w:tc>
        <w:tc>
          <w:tcPr>
            <w:tcW w:w="1212"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left="177" w:right="-20"/>
              <w:jc w:val="both"/>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数量</w:t>
            </w:r>
            <w:r>
              <w:rPr>
                <w:rFonts w:ascii="宋体" w:eastAsia="宋体" w:hAnsi="宋体" w:cs="宋体" w:hint="eastAsia"/>
                <w:color w:val="auto"/>
                <w:spacing w:val="-2"/>
                <w:kern w:val="0"/>
                <w:szCs w:val="21"/>
                <w:highlight w:val="none"/>
              </w:rPr>
              <w:t>及</w:t>
            </w:r>
            <w:r>
              <w:rPr>
                <w:rFonts w:ascii="宋体" w:eastAsia="宋体" w:hAnsi="宋体" w:cs="宋体" w:hint="eastAsia"/>
                <w:color w:val="auto"/>
                <w:kern w:val="0"/>
                <w:szCs w:val="21"/>
                <w:highlight w:val="none"/>
              </w:rPr>
              <w:t>单位</w:t>
            </w:r>
          </w:p>
        </w:tc>
        <w:tc>
          <w:tcPr>
            <w:tcW w:w="1050"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left="0" w:right="-20" w:firstLine="210" w:firstLineChars="100"/>
              <w:jc w:val="both"/>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交货期</w:t>
            </w:r>
          </w:p>
        </w:tc>
        <w:tc>
          <w:tcPr>
            <w:tcW w:w="998"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48"/>
              <w:ind w:left="0" w:right="-20"/>
              <w:jc w:val="both"/>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rPr>
              <w:t>交货</w:t>
            </w:r>
            <w:r>
              <w:rPr>
                <w:rFonts w:ascii="宋体" w:eastAsia="宋体" w:hAnsi="宋体" w:cs="宋体" w:hint="eastAsia"/>
                <w:color w:val="auto"/>
                <w:spacing w:val="-2"/>
                <w:kern w:val="0"/>
                <w:szCs w:val="21"/>
                <w:highlight w:val="none"/>
              </w:rPr>
              <w:t>地</w:t>
            </w:r>
            <w:r>
              <w:rPr>
                <w:rFonts w:ascii="宋体" w:eastAsia="宋体" w:hAnsi="宋体" w:cs="宋体" w:hint="eastAsia"/>
                <w:color w:val="auto"/>
                <w:kern w:val="0"/>
                <w:szCs w:val="21"/>
                <w:highlight w:val="none"/>
              </w:rPr>
              <w:t>点</w:t>
            </w:r>
          </w:p>
        </w:tc>
        <w:tc>
          <w:tcPr>
            <w:tcW w:w="836" w:type="dxa"/>
            <w:tcBorders>
              <w:top w:val="single" w:sz="4" w:space="0" w:color="000000"/>
              <w:left w:val="single" w:sz="4" w:space="0" w:color="000000"/>
              <w:bottom w:val="single" w:sz="4" w:space="0" w:color="000000"/>
              <w:right w:val="single" w:sz="4" w:space="0" w:color="000000"/>
            </w:tcBorders>
            <w:noWrap w:val="0"/>
            <w:vAlign w:val="top"/>
          </w:tcPr>
          <w:p>
            <w:pPr>
              <w:autoSpaceDE w:val="0"/>
              <w:autoSpaceDN w:val="0"/>
              <w:adjustRightInd w:val="0"/>
              <w:spacing w:before="6" w:line="150" w:lineRule="exact"/>
              <w:jc w:val="center"/>
              <w:rPr>
                <w:rFonts w:ascii="宋体" w:eastAsia="宋体" w:hAnsi="宋体" w:cs="宋体" w:hint="eastAsia"/>
                <w:color w:val="auto"/>
                <w:kern w:val="0"/>
                <w:szCs w:val="21"/>
                <w:highlight w:val="none"/>
              </w:rPr>
            </w:pPr>
          </w:p>
          <w:p>
            <w:pPr>
              <w:autoSpaceDE w:val="0"/>
              <w:autoSpaceDN w:val="0"/>
              <w:adjustRightInd w:val="0"/>
              <w:ind w:left="306" w:right="-20"/>
              <w:jc w:val="center"/>
              <w:rPr>
                <w:rFonts w:ascii="宋体" w:eastAsia="宋体" w:hAnsi="宋体" w:cs="宋体" w:hint="eastAsia"/>
                <w:color w:val="auto"/>
                <w:kern w:val="0"/>
                <w:szCs w:val="21"/>
                <w:highlight w:val="none"/>
              </w:rPr>
            </w:pPr>
            <w:r>
              <w:rPr>
                <w:rFonts w:ascii="宋体" w:eastAsia="宋体" w:hAnsi="宋体" w:cs="宋体" w:hint="eastAsia"/>
                <w:color w:val="auto"/>
                <w:kern w:val="0"/>
                <w:szCs w:val="21"/>
                <w:highlight w:val="none"/>
                <w:lang w:val="en-US" w:eastAsia="zh-CN"/>
              </w:rPr>
              <w:t>备注</w:t>
            </w:r>
          </w:p>
        </w:tc>
      </w:tr>
      <w:tr>
        <w:tblPrEx>
          <w:tblW w:w="0" w:type="auto"/>
          <w:tblInd w:w="102" w:type="dxa"/>
          <w:tblLayout w:type="fixed"/>
          <w:tblCellMar>
            <w:top w:w="0" w:type="dxa"/>
            <w:left w:w="0" w:type="dxa"/>
            <w:bottom w:w="0" w:type="dxa"/>
            <w:right w:w="0" w:type="dxa"/>
          </w:tblCellMar>
        </w:tblPrEx>
        <w:trPr>
          <w:trHeight w:hRule="exact" w:val="1031"/>
        </w:trPr>
        <w:tc>
          <w:tcPr>
            <w:tcW w:w="718"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ind w:left="316" w:right="298"/>
              <w:jc w:val="center"/>
              <w:rPr>
                <w:color w:val="auto"/>
                <w:kern w:val="0"/>
                <w:szCs w:val="21"/>
                <w:highlight w:val="none"/>
              </w:rPr>
            </w:pPr>
            <w:r>
              <w:rPr>
                <w:color w:val="auto"/>
                <w:kern w:val="0"/>
                <w:szCs w:val="21"/>
                <w:highlight w:val="none"/>
              </w:rPr>
              <w:t>1</w:t>
            </w:r>
          </w:p>
        </w:tc>
        <w:tc>
          <w:tcPr>
            <w:tcW w:w="157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default"/>
                <w:color w:val="auto"/>
                <w:kern w:val="0"/>
                <w:szCs w:val="21"/>
                <w:highlight w:val="none"/>
              </w:rPr>
            </w:pPr>
            <w:r>
              <w:rPr>
                <w:rFonts w:ascii="宋体" w:eastAsia="宋体" w:hAnsi="宋体" w:cs="Times New Roman" w:hint="eastAsia"/>
                <w:color w:val="auto"/>
                <w:sz w:val="21"/>
                <w:szCs w:val="21"/>
                <w:highlight w:val="none"/>
                <w:lang w:val="en-US" w:eastAsia="zh-CN"/>
              </w:rPr>
              <w:t>地基微波辐射</w:t>
            </w:r>
            <w:r>
              <w:rPr>
                <w:rFonts w:ascii="宋体" w:hAnsi="宋体" w:cs="Times New Roman" w:hint="eastAsia"/>
                <w:color w:val="auto"/>
                <w:sz w:val="21"/>
                <w:szCs w:val="21"/>
                <w:highlight w:val="none"/>
                <w:lang w:val="en-US" w:eastAsia="zh-CN"/>
              </w:rPr>
              <w:t>计</w:t>
            </w:r>
          </w:p>
        </w:tc>
        <w:tc>
          <w:tcPr>
            <w:tcW w:w="2140" w:type="dxa"/>
            <w:tcBorders>
              <w:top w:val="single" w:sz="4" w:space="0" w:color="000000"/>
              <w:left w:val="single" w:sz="4" w:space="0" w:color="000000"/>
              <w:bottom w:val="single" w:sz="4" w:space="0" w:color="000000"/>
              <w:right w:val="single" w:sz="4" w:space="0" w:color="000000"/>
            </w:tcBorders>
            <w:noWrap w:val="0"/>
            <w:vAlign w:val="center"/>
          </w:tcPr>
          <w:p>
            <w:pPr>
              <w:wordWrap w:val="0"/>
              <w:autoSpaceDE w:val="0"/>
              <w:autoSpaceDN w:val="0"/>
              <w:adjustRightInd w:val="0"/>
              <w:jc w:val="center"/>
              <w:rPr>
                <w:color w:val="auto"/>
                <w:kern w:val="0"/>
                <w:szCs w:val="21"/>
                <w:highlight w:val="none"/>
              </w:rPr>
            </w:pPr>
            <w:r>
              <w:rPr>
                <w:rFonts w:hint="eastAsia"/>
                <w:color w:val="auto"/>
                <w:kern w:val="0"/>
                <w:sz w:val="21"/>
                <w:szCs w:val="21"/>
                <w:highlight w:val="none"/>
              </w:rPr>
              <w:t>详见技术性能指标</w:t>
            </w:r>
          </w:p>
        </w:tc>
        <w:tc>
          <w:tcPr>
            <w:tcW w:w="1212"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eastAsia="宋体" w:hint="default"/>
                <w:color w:val="auto"/>
                <w:kern w:val="0"/>
                <w:szCs w:val="21"/>
                <w:highlight w:val="none"/>
              </w:rPr>
            </w:pPr>
            <w:r>
              <w:rPr>
                <w:rFonts w:hint="eastAsia"/>
                <w:color w:val="auto"/>
                <w:kern w:val="0"/>
                <w:sz w:val="21"/>
                <w:szCs w:val="21"/>
                <w:highlight w:val="none"/>
                <w:lang w:val="en-US" w:eastAsia="zh-CN"/>
              </w:rPr>
              <w:t>1台</w:t>
            </w:r>
          </w:p>
        </w:tc>
        <w:tc>
          <w:tcPr>
            <w:tcW w:w="105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color w:val="auto"/>
                <w:kern w:val="0"/>
                <w:szCs w:val="21"/>
                <w:highlight w:val="none"/>
              </w:rPr>
            </w:pPr>
            <w:r>
              <w:rPr>
                <w:rFonts w:hint="eastAsia"/>
                <w:color w:val="auto"/>
                <w:kern w:val="0"/>
                <w:szCs w:val="21"/>
                <w:highlight w:val="none"/>
              </w:rPr>
              <w:t>按照合同实际签订执行</w:t>
            </w:r>
          </w:p>
        </w:tc>
        <w:tc>
          <w:tcPr>
            <w:tcW w:w="998"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hint="default"/>
                <w:color w:val="auto"/>
                <w:kern w:val="0"/>
                <w:szCs w:val="21"/>
                <w:highlight w:val="none"/>
              </w:rPr>
            </w:pPr>
            <w:r>
              <w:rPr>
                <w:rFonts w:hint="eastAsia"/>
                <w:color w:val="auto"/>
                <w:kern w:val="0"/>
                <w:sz w:val="21"/>
                <w:szCs w:val="21"/>
                <w:highlight w:val="none"/>
                <w:lang w:val="en-US" w:eastAsia="zh-CN"/>
              </w:rPr>
              <w:t>内蒙古呼和浩特</w:t>
            </w:r>
          </w:p>
        </w:tc>
        <w:tc>
          <w:tcPr>
            <w:tcW w:w="836"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color w:val="auto"/>
                <w:kern w:val="0"/>
                <w:szCs w:val="21"/>
                <w:highlight w:val="none"/>
              </w:rPr>
            </w:pPr>
          </w:p>
        </w:tc>
      </w:tr>
    </w:tbl>
    <w:p>
      <w:pPr>
        <w:spacing w:line="360" w:lineRule="auto"/>
        <w:ind w:firstLine="420" w:firstLineChars="200"/>
        <w:rPr>
          <w:rFonts w:ascii="宋体" w:eastAsia="宋体" w:hAnsi="宋体" w:cs="Times New Roman" w:hint="eastAsia"/>
          <w:color w:val="auto"/>
          <w:szCs w:val="21"/>
          <w:highlight w:val="none"/>
        </w:rPr>
      </w:pPr>
    </w:p>
    <w:p>
      <w:pPr>
        <w:spacing w:line="360" w:lineRule="auto"/>
        <w:ind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lang w:val="en-US" w:eastAsia="zh-CN"/>
        </w:rPr>
        <w:t>二、付款方式</w:t>
      </w:r>
    </w:p>
    <w:p>
      <w:pPr>
        <w:spacing w:line="360" w:lineRule="auto"/>
        <w:ind w:firstLine="420" w:firstLineChars="200"/>
        <w:rPr>
          <w:rFonts w:ascii="宋体" w:hAnsi="宋体" w:hint="eastAsia"/>
          <w:color w:val="auto"/>
          <w:szCs w:val="21"/>
          <w:highlight w:val="none"/>
        </w:rPr>
      </w:pPr>
      <w:r>
        <w:rPr>
          <w:rFonts w:ascii="宋体" w:hAnsi="宋体" w:hint="eastAsia"/>
          <w:color w:val="auto"/>
          <w:szCs w:val="21"/>
        </w:rPr>
        <w:t>1.</w:t>
      </w:r>
      <w:r>
        <w:rPr>
          <w:rFonts w:ascii="宋体" w:hAnsi="宋体" w:hint="eastAsia"/>
          <w:szCs w:val="21"/>
        </w:rPr>
        <w:t>合同签订后，乙方向甲方提供合同总金额 5</w:t>
      </w:r>
      <w:r>
        <w:rPr>
          <w:rFonts w:ascii="宋体" w:hAnsi="宋体" w:hint="eastAsia"/>
          <w:szCs w:val="21"/>
          <w:lang w:val="en-US" w:eastAsia="zh-CN"/>
        </w:rPr>
        <w:t>%</w:t>
      </w:r>
      <w:r>
        <w:rPr>
          <w:rFonts w:ascii="宋体" w:hAnsi="宋体" w:hint="eastAsia"/>
          <w:szCs w:val="21"/>
        </w:rPr>
        <w:t>的银行履约保函，设备验收合格一年后，甲方将银行履约保函退还乙方。</w:t>
      </w:r>
    </w:p>
    <w:p>
      <w:pPr>
        <w:adjustRightInd/>
        <w:snapToGrid/>
        <w:spacing w:line="360" w:lineRule="auto"/>
        <w:ind w:firstLine="420" w:firstLineChars="200"/>
        <w:rPr>
          <w:rFonts w:ascii="宋体" w:eastAsia="宋体" w:hAnsi="宋体" w:cs="Times New Roman"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spacing w:line="360" w:lineRule="auto"/>
        <w:ind w:firstLine="420" w:firstLineChars="200"/>
        <w:rPr>
          <w:rFonts w:ascii="宋体" w:hAnsi="宋体" w:hint="eastAsia"/>
          <w:color w:val="auto"/>
          <w:szCs w:val="21"/>
          <w:highlight w:val="none"/>
        </w:rPr>
      </w:pPr>
      <w:r>
        <w:rPr>
          <w:rFonts w:ascii="宋体" w:hAnsi="宋体" w:hint="eastAsia"/>
          <w:color w:val="auto"/>
          <w:szCs w:val="21"/>
          <w:highlight w:val="none"/>
        </w:rPr>
        <w:t>三、技术性能指标</w:t>
      </w:r>
    </w:p>
    <w:p>
      <w:pPr>
        <w:pStyle w:val="Caption"/>
        <w:ind w:firstLine="420" w:firstLineChars="20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地基微波辐射计主要设备材料清单</w:t>
      </w:r>
    </w:p>
    <w:tbl>
      <w:tblPr>
        <w:tblStyle w:val="TableNormal"/>
        <w:tblW w:w="463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92"/>
        <w:gridCol w:w="2215"/>
        <w:gridCol w:w="718"/>
        <w:gridCol w:w="4614"/>
      </w:tblGrid>
      <w:tr>
        <w:tblPrEx>
          <w:tblW w:w="463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75"/>
          <w:jc w:val="center"/>
        </w:trPr>
        <w:tc>
          <w:tcPr>
            <w:tcW w:w="792" w:type="dxa"/>
            <w:noWrap w:val="0"/>
            <w:vAlign w:val="center"/>
          </w:tcPr>
          <w:p>
            <w:pPr>
              <w:spacing w:line="240" w:lineRule="auto"/>
              <w:ind w:firstLine="0" w:firstLineChars="0"/>
              <w:jc w:val="center"/>
              <w:rPr>
                <w:b/>
                <w:sz w:val="20"/>
              </w:rPr>
            </w:pPr>
            <w:r>
              <w:rPr>
                <w:b/>
                <w:sz w:val="20"/>
              </w:rPr>
              <w:t>序号</w:t>
            </w:r>
          </w:p>
        </w:tc>
        <w:tc>
          <w:tcPr>
            <w:tcW w:w="2215" w:type="dxa"/>
            <w:noWrap w:val="0"/>
            <w:vAlign w:val="center"/>
          </w:tcPr>
          <w:p>
            <w:pPr>
              <w:spacing w:line="240" w:lineRule="auto"/>
              <w:ind w:firstLine="0" w:firstLineChars="0"/>
              <w:jc w:val="center"/>
              <w:rPr>
                <w:b/>
                <w:sz w:val="20"/>
              </w:rPr>
            </w:pPr>
            <w:r>
              <w:rPr>
                <w:b/>
                <w:sz w:val="20"/>
              </w:rPr>
              <w:t>设备名称</w:t>
            </w:r>
          </w:p>
        </w:tc>
        <w:tc>
          <w:tcPr>
            <w:tcW w:w="718" w:type="dxa"/>
            <w:noWrap w:val="0"/>
            <w:vAlign w:val="center"/>
          </w:tcPr>
          <w:p>
            <w:pPr>
              <w:spacing w:line="240" w:lineRule="auto"/>
              <w:ind w:firstLine="0" w:firstLineChars="0"/>
              <w:jc w:val="center"/>
              <w:rPr>
                <w:b/>
                <w:sz w:val="20"/>
              </w:rPr>
            </w:pPr>
            <w:r>
              <w:rPr>
                <w:b/>
                <w:sz w:val="20"/>
              </w:rPr>
              <w:t>数量</w:t>
            </w:r>
          </w:p>
        </w:tc>
        <w:tc>
          <w:tcPr>
            <w:tcW w:w="4614" w:type="dxa"/>
            <w:noWrap w:val="0"/>
            <w:vAlign w:val="center"/>
          </w:tcPr>
          <w:p>
            <w:pPr>
              <w:spacing w:line="240" w:lineRule="auto"/>
              <w:ind w:firstLine="0" w:firstLineChars="0"/>
              <w:jc w:val="center"/>
              <w:rPr>
                <w:b/>
                <w:sz w:val="20"/>
              </w:rPr>
            </w:pPr>
            <w:r>
              <w:rPr>
                <w:b/>
                <w:sz w:val="20"/>
              </w:rPr>
              <w:t>备注</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sz w:val="20"/>
              </w:rPr>
              <w:t>1</w:t>
            </w:r>
          </w:p>
        </w:tc>
        <w:tc>
          <w:tcPr>
            <w:tcW w:w="2215" w:type="dxa"/>
            <w:noWrap w:val="0"/>
            <w:vAlign w:val="top"/>
          </w:tcPr>
          <w:p>
            <w:pPr>
              <w:spacing w:line="240" w:lineRule="auto"/>
              <w:ind w:firstLine="0" w:firstLineChars="0"/>
              <w:rPr>
                <w:sz w:val="20"/>
              </w:rPr>
            </w:pPr>
            <w:r>
              <w:rPr>
                <w:sz w:val="20"/>
              </w:rPr>
              <w:t>主设备/系统及标准附件</w:t>
            </w:r>
          </w:p>
        </w:tc>
        <w:tc>
          <w:tcPr>
            <w:tcW w:w="718" w:type="dxa"/>
            <w:noWrap w:val="0"/>
            <w:vAlign w:val="top"/>
          </w:tcPr>
          <w:p>
            <w:pPr>
              <w:spacing w:line="240" w:lineRule="auto"/>
              <w:ind w:firstLine="0" w:firstLineChars="0"/>
              <w:rPr>
                <w:sz w:val="20"/>
              </w:rPr>
            </w:pPr>
            <w:r>
              <w:rPr>
                <w:sz w:val="20"/>
              </w:rPr>
              <w:t>1</w:t>
            </w:r>
          </w:p>
        </w:tc>
        <w:tc>
          <w:tcPr>
            <w:tcW w:w="4614" w:type="dxa"/>
            <w:noWrap w:val="0"/>
            <w:vAlign w:val="top"/>
          </w:tcPr>
          <w:p>
            <w:pPr>
              <w:spacing w:line="240" w:lineRule="auto"/>
              <w:ind w:firstLine="0" w:firstLineChars="0"/>
              <w:rPr>
                <w:sz w:val="20"/>
              </w:rPr>
            </w:pPr>
            <w:r>
              <w:rPr>
                <w:sz w:val="20"/>
              </w:rPr>
              <w:t>地基微波辐射计;包含红外云底温度传感器和地面大气测量单元</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sz w:val="20"/>
              </w:rPr>
              <w:t>2</w:t>
            </w:r>
          </w:p>
        </w:tc>
        <w:tc>
          <w:tcPr>
            <w:tcW w:w="2215" w:type="dxa"/>
            <w:noWrap w:val="0"/>
            <w:vAlign w:val="top"/>
          </w:tcPr>
          <w:p>
            <w:pPr>
              <w:spacing w:line="240" w:lineRule="auto"/>
              <w:ind w:firstLine="0" w:firstLineChars="0"/>
              <w:rPr>
                <w:sz w:val="20"/>
              </w:rPr>
            </w:pPr>
            <w:r>
              <w:rPr>
                <w:sz w:val="20"/>
              </w:rPr>
              <w:t>微波辐射计室外主机</w:t>
            </w:r>
          </w:p>
        </w:tc>
        <w:tc>
          <w:tcPr>
            <w:tcW w:w="718" w:type="dxa"/>
            <w:noWrap w:val="0"/>
            <w:vAlign w:val="top"/>
          </w:tcPr>
          <w:p>
            <w:pPr>
              <w:spacing w:line="240" w:lineRule="auto"/>
              <w:ind w:firstLine="0" w:firstLineChars="0"/>
              <w:rPr>
                <w:sz w:val="20"/>
              </w:rPr>
            </w:pPr>
            <w:r>
              <w:rPr>
                <w:sz w:val="20"/>
              </w:rPr>
              <w:t>1</w:t>
            </w:r>
          </w:p>
        </w:tc>
        <w:tc>
          <w:tcPr>
            <w:tcW w:w="4614" w:type="dxa"/>
            <w:noWrap w:val="0"/>
            <w:vAlign w:val="top"/>
          </w:tcPr>
          <w:p>
            <w:pPr>
              <w:spacing w:line="240" w:lineRule="auto"/>
              <w:ind w:firstLine="0" w:firstLineChars="0"/>
              <w:rPr>
                <w:sz w:val="20"/>
              </w:rPr>
            </w:pPr>
            <w:r>
              <w:rPr>
                <w:sz w:val="20"/>
              </w:rPr>
              <w:t>微波辐射计室外主机</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rFonts w:hint="eastAsia"/>
                <w:sz w:val="20"/>
              </w:rPr>
              <w:t>3</w:t>
            </w:r>
          </w:p>
        </w:tc>
        <w:tc>
          <w:tcPr>
            <w:tcW w:w="2215" w:type="dxa"/>
            <w:noWrap w:val="0"/>
            <w:vAlign w:val="top"/>
          </w:tcPr>
          <w:p>
            <w:pPr>
              <w:spacing w:line="240" w:lineRule="auto"/>
              <w:ind w:firstLine="0" w:firstLineChars="0"/>
              <w:rPr>
                <w:sz w:val="20"/>
              </w:rPr>
            </w:pPr>
            <w:r>
              <w:rPr>
                <w:sz w:val="20"/>
              </w:rPr>
              <w:t>辐射计管理应用软件</w:t>
            </w:r>
          </w:p>
        </w:tc>
        <w:tc>
          <w:tcPr>
            <w:tcW w:w="718" w:type="dxa"/>
            <w:noWrap w:val="0"/>
            <w:vAlign w:val="top"/>
          </w:tcPr>
          <w:p>
            <w:pPr>
              <w:spacing w:line="240" w:lineRule="auto"/>
              <w:ind w:firstLine="0" w:firstLineChars="0"/>
              <w:rPr>
                <w:sz w:val="20"/>
              </w:rPr>
            </w:pPr>
          </w:p>
        </w:tc>
        <w:tc>
          <w:tcPr>
            <w:tcW w:w="4614" w:type="dxa"/>
            <w:noWrap w:val="0"/>
            <w:vAlign w:val="top"/>
          </w:tcPr>
          <w:p>
            <w:pPr>
              <w:spacing w:line="240" w:lineRule="auto"/>
              <w:ind w:firstLine="0" w:firstLineChars="0"/>
              <w:rPr>
                <w:sz w:val="20"/>
              </w:rPr>
            </w:pPr>
            <w:r>
              <w:rPr>
                <w:sz w:val="20"/>
              </w:rPr>
              <w:t>运算生成大气温湿度廓线等多种气象产品，控制和监测辐射计主机及附属设备的工作状态</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rFonts w:hint="eastAsia"/>
                <w:sz w:val="20"/>
              </w:rPr>
              <w:t>4</w:t>
            </w:r>
          </w:p>
        </w:tc>
        <w:tc>
          <w:tcPr>
            <w:tcW w:w="2215" w:type="dxa"/>
            <w:noWrap w:val="0"/>
            <w:vAlign w:val="top"/>
          </w:tcPr>
          <w:p>
            <w:pPr>
              <w:spacing w:line="240" w:lineRule="auto"/>
              <w:ind w:firstLine="0" w:firstLineChars="0"/>
              <w:rPr>
                <w:sz w:val="20"/>
              </w:rPr>
            </w:pPr>
            <w:r>
              <w:rPr>
                <w:sz w:val="20"/>
              </w:rPr>
              <w:t>辅助单元</w:t>
            </w:r>
          </w:p>
        </w:tc>
        <w:tc>
          <w:tcPr>
            <w:tcW w:w="718" w:type="dxa"/>
            <w:noWrap w:val="0"/>
            <w:vAlign w:val="top"/>
          </w:tcPr>
          <w:p>
            <w:pPr>
              <w:spacing w:line="240" w:lineRule="auto"/>
              <w:ind w:firstLine="0" w:firstLineChars="0"/>
              <w:rPr>
                <w:sz w:val="20"/>
              </w:rPr>
            </w:pPr>
          </w:p>
        </w:tc>
        <w:tc>
          <w:tcPr>
            <w:tcW w:w="4614" w:type="dxa"/>
            <w:noWrap w:val="0"/>
            <w:vAlign w:val="top"/>
          </w:tcPr>
          <w:p>
            <w:pPr>
              <w:spacing w:line="240" w:lineRule="auto"/>
              <w:ind w:firstLine="0" w:firstLineChars="0"/>
              <w:rPr>
                <w:sz w:val="20"/>
              </w:rPr>
            </w:pPr>
            <w:r>
              <w:rPr>
                <w:sz w:val="20"/>
              </w:rPr>
              <w:t>含风机、地面要素传感器、红外云底温度传感器等</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rFonts w:hint="eastAsia"/>
                <w:sz w:val="20"/>
              </w:rPr>
              <w:t>5</w:t>
            </w:r>
          </w:p>
        </w:tc>
        <w:tc>
          <w:tcPr>
            <w:tcW w:w="2215" w:type="dxa"/>
            <w:noWrap w:val="0"/>
            <w:vAlign w:val="top"/>
          </w:tcPr>
          <w:p>
            <w:pPr>
              <w:spacing w:line="240" w:lineRule="auto"/>
              <w:ind w:firstLine="0" w:firstLineChars="0"/>
              <w:rPr>
                <w:sz w:val="20"/>
              </w:rPr>
            </w:pPr>
            <w:r>
              <w:rPr>
                <w:sz w:val="20"/>
              </w:rPr>
              <w:t>室外支架</w:t>
            </w:r>
          </w:p>
        </w:tc>
        <w:tc>
          <w:tcPr>
            <w:tcW w:w="718" w:type="dxa"/>
            <w:noWrap w:val="0"/>
            <w:vAlign w:val="top"/>
          </w:tcPr>
          <w:p>
            <w:pPr>
              <w:spacing w:line="240" w:lineRule="auto"/>
              <w:ind w:firstLine="0" w:firstLineChars="0"/>
              <w:rPr>
                <w:sz w:val="20"/>
              </w:rPr>
            </w:pPr>
          </w:p>
        </w:tc>
        <w:tc>
          <w:tcPr>
            <w:tcW w:w="4614" w:type="dxa"/>
            <w:noWrap w:val="0"/>
            <w:vAlign w:val="top"/>
          </w:tcPr>
          <w:p>
            <w:pPr>
              <w:spacing w:line="240" w:lineRule="auto"/>
              <w:ind w:firstLine="0" w:firstLineChars="0"/>
              <w:rPr>
                <w:sz w:val="20"/>
              </w:rPr>
            </w:pPr>
            <w:r>
              <w:rPr>
                <w:sz w:val="20"/>
              </w:rPr>
              <w:t>室外主机安装</w:t>
            </w:r>
          </w:p>
        </w:tc>
      </w:tr>
      <w:tr>
        <w:tblPrEx>
          <w:tblW w:w="4631" w:type="pct"/>
          <w:jc w:val="center"/>
          <w:tblLayout w:type="fixed"/>
          <w:tblCellMar>
            <w:top w:w="0" w:type="dxa"/>
            <w:left w:w="108" w:type="dxa"/>
            <w:bottom w:w="0" w:type="dxa"/>
            <w:right w:w="108" w:type="dxa"/>
          </w:tblCellMar>
        </w:tblPrEx>
        <w:trPr>
          <w:trHeight w:val="285"/>
          <w:jc w:val="center"/>
        </w:trPr>
        <w:tc>
          <w:tcPr>
            <w:tcW w:w="792" w:type="dxa"/>
            <w:noWrap w:val="0"/>
            <w:vAlign w:val="top"/>
          </w:tcPr>
          <w:p>
            <w:pPr>
              <w:spacing w:line="240" w:lineRule="auto"/>
              <w:ind w:firstLine="0" w:firstLineChars="0"/>
              <w:rPr>
                <w:sz w:val="20"/>
              </w:rPr>
            </w:pPr>
            <w:r>
              <w:rPr>
                <w:rFonts w:hint="eastAsia"/>
                <w:sz w:val="20"/>
              </w:rPr>
              <w:t>6</w:t>
            </w:r>
          </w:p>
        </w:tc>
        <w:tc>
          <w:tcPr>
            <w:tcW w:w="2215" w:type="dxa"/>
            <w:noWrap w:val="0"/>
            <w:vAlign w:val="top"/>
          </w:tcPr>
          <w:p>
            <w:pPr>
              <w:spacing w:line="240" w:lineRule="auto"/>
              <w:ind w:firstLine="0" w:firstLineChars="0"/>
              <w:rPr>
                <w:sz w:val="20"/>
              </w:rPr>
            </w:pPr>
            <w:r>
              <w:rPr>
                <w:sz w:val="20"/>
              </w:rPr>
              <w:t>标定源及支架</w:t>
            </w:r>
          </w:p>
        </w:tc>
        <w:tc>
          <w:tcPr>
            <w:tcW w:w="718" w:type="dxa"/>
            <w:noWrap w:val="0"/>
            <w:vAlign w:val="top"/>
          </w:tcPr>
          <w:p>
            <w:pPr>
              <w:spacing w:line="240" w:lineRule="auto"/>
              <w:ind w:firstLine="0" w:firstLineChars="0"/>
              <w:rPr>
                <w:sz w:val="20"/>
              </w:rPr>
            </w:pPr>
          </w:p>
        </w:tc>
        <w:tc>
          <w:tcPr>
            <w:tcW w:w="4614" w:type="dxa"/>
            <w:noWrap w:val="0"/>
            <w:vAlign w:val="top"/>
          </w:tcPr>
          <w:p>
            <w:pPr>
              <w:spacing w:line="240" w:lineRule="auto"/>
              <w:ind w:firstLine="0" w:firstLineChars="0"/>
              <w:rPr>
                <w:sz w:val="20"/>
              </w:rPr>
            </w:pPr>
            <w:r>
              <w:rPr>
                <w:sz w:val="20"/>
              </w:rPr>
              <w:t>提供标定使用</w:t>
            </w:r>
          </w:p>
        </w:tc>
      </w:tr>
    </w:tbl>
    <w:p>
      <w:pPr>
        <w:spacing w:line="360" w:lineRule="auto"/>
        <w:ind w:firstLine="420" w:firstLineChars="200"/>
        <w:rPr>
          <w:rFonts w:ascii="宋体" w:hAnsi="宋体" w:hint="eastAsia"/>
          <w:color w:val="auto"/>
          <w:szCs w:val="21"/>
          <w:highlight w:val="none"/>
        </w:rPr>
      </w:pPr>
    </w:p>
    <w:p>
      <w:pPr>
        <w:pStyle w:val="Caption"/>
        <w:ind w:firstLine="420" w:firstLineChars="20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地基微波辐射计技术性能指标表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7"/>
        <w:gridCol w:w="991"/>
        <w:gridCol w:w="1787"/>
        <w:gridCol w:w="2967"/>
        <w:gridCol w:w="253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90"/>
          <w:jc w:val="center"/>
        </w:trPr>
        <w:tc>
          <w:tcPr>
            <w:tcW w:w="727" w:type="dxa"/>
            <w:noWrap w:val="0"/>
            <w:vAlign w:val="center"/>
          </w:tcPr>
          <w:p>
            <w:pPr>
              <w:pStyle w:val="NormalIndent"/>
              <w:tabs>
                <w:tab w:val="left" w:pos="3119"/>
              </w:tabs>
              <w:ind w:firstLine="0"/>
              <w:jc w:val="center"/>
              <w:rPr>
                <w:rFonts w:ascii="宋体" w:eastAsia="宋体" w:hAnsi="宋体" w:cs="宋体" w:hint="eastAsia"/>
                <w:b/>
                <w:color w:val="auto"/>
                <w:kern w:val="0"/>
                <w:szCs w:val="21"/>
                <w:highlight w:val="none"/>
              </w:rPr>
            </w:pPr>
            <w:r>
              <w:rPr>
                <w:rFonts w:ascii="宋体" w:eastAsia="宋体" w:hAnsi="宋体" w:cs="宋体" w:hint="eastAsia"/>
                <w:b/>
                <w:color w:val="auto"/>
                <w:kern w:val="0"/>
                <w:sz w:val="21"/>
                <w:szCs w:val="21"/>
                <w:highlight w:val="none"/>
              </w:rPr>
              <w:t>序号</w:t>
            </w:r>
          </w:p>
        </w:tc>
        <w:tc>
          <w:tcPr>
            <w:tcW w:w="2778" w:type="dxa"/>
            <w:gridSpan w:val="2"/>
            <w:noWrap w:val="0"/>
            <w:vAlign w:val="center"/>
          </w:tcPr>
          <w:p>
            <w:pPr>
              <w:pStyle w:val="NormalIndent"/>
              <w:tabs>
                <w:tab w:val="left" w:pos="3119"/>
              </w:tabs>
              <w:ind w:firstLine="0"/>
              <w:jc w:val="center"/>
              <w:rPr>
                <w:rFonts w:ascii="宋体" w:eastAsia="宋体" w:hAnsi="宋体" w:cs="宋体" w:hint="eastAsia"/>
                <w:b/>
                <w:color w:val="auto"/>
                <w:kern w:val="0"/>
                <w:szCs w:val="21"/>
                <w:highlight w:val="none"/>
              </w:rPr>
            </w:pPr>
            <w:r>
              <w:rPr>
                <w:rFonts w:ascii="宋体" w:eastAsia="宋体" w:hAnsi="宋体" w:cs="宋体" w:hint="eastAsia"/>
                <w:b/>
                <w:color w:val="auto"/>
                <w:kern w:val="0"/>
                <w:sz w:val="21"/>
                <w:szCs w:val="21"/>
                <w:highlight w:val="none"/>
              </w:rPr>
              <w:t>项目</w:t>
            </w:r>
          </w:p>
        </w:tc>
        <w:tc>
          <w:tcPr>
            <w:tcW w:w="5498" w:type="dxa"/>
            <w:gridSpan w:val="2"/>
            <w:noWrap w:val="0"/>
            <w:vAlign w:val="center"/>
          </w:tcPr>
          <w:p>
            <w:pPr>
              <w:pStyle w:val="NormalIndent"/>
              <w:tabs>
                <w:tab w:val="left" w:pos="3119"/>
              </w:tabs>
              <w:ind w:firstLine="0"/>
              <w:jc w:val="center"/>
              <w:rPr>
                <w:rFonts w:ascii="宋体" w:eastAsia="宋体" w:hAnsi="宋体" w:cs="宋体" w:hint="eastAsia"/>
                <w:b/>
                <w:color w:val="auto"/>
                <w:kern w:val="0"/>
                <w:szCs w:val="21"/>
                <w:highlight w:val="none"/>
              </w:rPr>
            </w:pPr>
            <w:r>
              <w:rPr>
                <w:rFonts w:ascii="宋体" w:eastAsia="宋体" w:hAnsi="宋体" w:cs="宋体" w:hint="eastAsia"/>
                <w:b/>
                <w:color w:val="auto"/>
                <w:kern w:val="0"/>
                <w:sz w:val="21"/>
                <w:szCs w:val="21"/>
                <w:highlight w:val="none"/>
              </w:rPr>
              <w:t>技术指标</w:t>
            </w:r>
          </w:p>
        </w:tc>
      </w:tr>
      <w:tr>
        <w:tblPrEx>
          <w:tblW w:w="0" w:type="auto"/>
          <w:jc w:val="center"/>
          <w:tblLayout w:type="fixed"/>
          <w:tblCellMar>
            <w:top w:w="0" w:type="dxa"/>
            <w:left w:w="108" w:type="dxa"/>
            <w:bottom w:w="0" w:type="dxa"/>
            <w:right w:w="108" w:type="dxa"/>
          </w:tblCellMar>
        </w:tblPrEx>
        <w:trPr>
          <w:cantSplit/>
          <w:trHeight w:val="1226"/>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w:t>
            </w:r>
          </w:p>
        </w:tc>
        <w:tc>
          <w:tcPr>
            <w:tcW w:w="2778" w:type="dxa"/>
            <w:gridSpan w:val="2"/>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主要功能</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w:t>
            </w:r>
          </w:p>
        </w:tc>
        <w:tc>
          <w:tcPr>
            <w:tcW w:w="2778" w:type="dxa"/>
            <w:gridSpan w:val="2"/>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基本数据产品</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大气辐射亮温，大气温度廓线，边界层温度廓线，水汽密度廓线，相对湿度廓线，液态水廓线，积分水汽，积分液态水，降雨标志，云底温度和云底高度等。</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3</w:t>
            </w:r>
          </w:p>
        </w:tc>
        <w:tc>
          <w:tcPr>
            <w:tcW w:w="2778" w:type="dxa"/>
            <w:gridSpan w:val="2"/>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数据质控</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具有亮温、地面辅助观测数据和气象产品数据质量的自动检测和质量控制功能。</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4</w:t>
            </w:r>
          </w:p>
        </w:tc>
        <w:tc>
          <w:tcPr>
            <w:tcW w:w="2778" w:type="dxa"/>
            <w:gridSpan w:val="2"/>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廓线采样速率</w:t>
            </w:r>
          </w:p>
        </w:tc>
        <w:tc>
          <w:tcPr>
            <w:tcW w:w="5498" w:type="dxa"/>
            <w:gridSpan w:val="2"/>
            <w:noWrap w:val="0"/>
            <w:vAlign w:val="center"/>
          </w:tcPr>
          <w:p>
            <w:pPr>
              <w:pStyle w:val="NormalIndent"/>
              <w:tabs>
                <w:tab w:val="left" w:pos="3119"/>
              </w:tabs>
              <w:ind w:firstLine="0"/>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≤2min</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5</w:t>
            </w:r>
          </w:p>
        </w:tc>
        <w:tc>
          <w:tcPr>
            <w:tcW w:w="2778" w:type="dxa"/>
            <w:gridSpan w:val="2"/>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探测高度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≥10km</w:t>
            </w:r>
          </w:p>
        </w:tc>
      </w:tr>
      <w:tr>
        <w:tblPrEx>
          <w:tblW w:w="0" w:type="auto"/>
          <w:jc w:val="center"/>
          <w:tblLayout w:type="fixed"/>
          <w:tblCellMar>
            <w:top w:w="0" w:type="dxa"/>
            <w:left w:w="108" w:type="dxa"/>
            <w:bottom w:w="0" w:type="dxa"/>
            <w:right w:w="108" w:type="dxa"/>
          </w:tblCellMar>
        </w:tblPrEx>
        <w:trPr>
          <w:cantSplit/>
          <w:trHeight w:val="308"/>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6</w:t>
            </w:r>
          </w:p>
        </w:tc>
        <w:tc>
          <w:tcPr>
            <w:tcW w:w="991"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温度廓线垂直分辨力</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#天线半功率波束宽度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水汽通道≤5°，温度通道≤3°</w:t>
            </w:r>
          </w:p>
        </w:tc>
      </w:tr>
      <w:tr>
        <w:tblPrEx>
          <w:tblW w:w="0" w:type="auto"/>
          <w:jc w:val="center"/>
          <w:tblLayout w:type="fixed"/>
          <w:tblCellMar>
            <w:top w:w="0" w:type="dxa"/>
            <w:left w:w="108" w:type="dxa"/>
            <w:bottom w:w="0" w:type="dxa"/>
            <w:right w:w="108" w:type="dxa"/>
          </w:tblCellMar>
        </w:tblPrEx>
        <w:trPr>
          <w:cantSplit/>
          <w:trHeight w:val="308"/>
          <w:jc w:val="center"/>
        </w:trPr>
        <w:tc>
          <w:tcPr>
            <w:tcW w:w="727"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991"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#天线旁瓣电平</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水汽通道＜-25 dB，温度通道＜-28dB</w:t>
            </w:r>
          </w:p>
        </w:tc>
      </w:tr>
      <w:tr>
        <w:tblPrEx>
          <w:tblW w:w="0" w:type="auto"/>
          <w:jc w:val="center"/>
          <w:tblLayout w:type="fixed"/>
          <w:tblCellMar>
            <w:top w:w="0" w:type="dxa"/>
            <w:left w:w="108" w:type="dxa"/>
            <w:bottom w:w="0" w:type="dxa"/>
            <w:right w:w="108" w:type="dxa"/>
          </w:tblCellMar>
        </w:tblPrEx>
        <w:trPr>
          <w:cantSplit/>
          <w:trHeight w:val="308"/>
          <w:jc w:val="center"/>
        </w:trPr>
        <w:tc>
          <w:tcPr>
            <w:tcW w:w="727"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991"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天线罩损耗</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≤0.1dB</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7</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接收单元</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技术体制</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直接检波或混频检波</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工作频率</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 22～32GHz ，温度通道 51～59GHz</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vMerge w:val="restart"/>
            <w:noWrap w:val="0"/>
            <w:vAlign w:val="center"/>
          </w:tcPr>
          <w:p>
            <w:pPr>
              <w:pStyle w:val="NormalIndent"/>
              <w:widowControl/>
              <w:tabs>
                <w:tab w:val="left" w:pos="3119"/>
              </w:tabs>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通道数量</w:t>
            </w:r>
          </w:p>
        </w:tc>
        <w:tc>
          <w:tcPr>
            <w:tcW w:w="5498" w:type="dxa"/>
            <w:gridSpan w:val="2"/>
            <w:noWrap w:val="0"/>
            <w:vAlign w:val="center"/>
          </w:tcPr>
          <w:p>
            <w:pPr>
              <w:widowControl/>
              <w:jc w:val="left"/>
              <w:rPr>
                <w:rFonts w:ascii="宋体" w:eastAsia="宋体" w:hAnsi="宋体" w:cs="宋体" w:hint="eastAsia"/>
                <w:color w:val="auto"/>
                <w:szCs w:val="21"/>
                <w:highlight w:val="none"/>
              </w:rPr>
            </w:pPr>
            <w:r>
              <w:rPr>
                <w:rFonts w:ascii="宋体" w:eastAsia="宋体" w:hAnsi="宋体" w:cs="宋体" w:hint="eastAsia"/>
                <w:bCs/>
                <w:color w:val="auto"/>
                <w:kern w:val="0"/>
                <w:sz w:val="21"/>
                <w:szCs w:val="21"/>
                <w:highlight w:val="none"/>
              </w:rPr>
              <w:t>温度通道≥7个</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vMerge/>
            <w:noWrap w:val="0"/>
            <w:vAlign w:val="center"/>
          </w:tcPr>
          <w:p>
            <w:pPr>
              <w:widowControl/>
              <w:jc w:val="center"/>
              <w:rPr>
                <w:rFonts w:ascii="宋体" w:eastAsia="宋体" w:hAnsi="宋体" w:cs="宋体" w:hint="eastAsia"/>
                <w:bCs/>
                <w:color w:val="auto"/>
                <w:kern w:val="0"/>
                <w:szCs w:val="21"/>
                <w:highlight w:val="none"/>
              </w:rPr>
            </w:pP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水汽通道≥7个</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#噪声系数</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水汽通道≤4dB，温度通道≤6dB</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亮温测量范围</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0K～400K</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亮温灵敏度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水汽通道≤0.2K（1s 积分时间）</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氧气通道≤0.3K（1s 积分时间）</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#亮温测量误差</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≤1K RMS</w:t>
            </w:r>
          </w:p>
        </w:tc>
      </w:tr>
      <w:tr>
        <w:tblPrEx>
          <w:tblW w:w="0" w:type="auto"/>
          <w:jc w:val="center"/>
          <w:tblLayout w:type="fixed"/>
          <w:tblCellMar>
            <w:top w:w="0" w:type="dxa"/>
            <w:left w:w="108" w:type="dxa"/>
            <w:bottom w:w="0" w:type="dxa"/>
            <w:right w:w="108" w:type="dxa"/>
          </w:tblCellMar>
        </w:tblPrEx>
        <w:trPr>
          <w:cantSplit/>
          <w:trHeight w:val="68"/>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#检波器线性度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0.9999</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8</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定标单元</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#内置黑体温度均匀性</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≤0.5K</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黑体内置温度传感器误差</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≤0.2K</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9</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地面参数测量单元</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地面温度传感器</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测量范围：-50℃～50℃；</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允许误差：≤0.2℃</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地面湿度传感器</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测量范围：5%～100%RH；</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允许误差：≤3%（≤80%）；≤5%（＞80%）</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地面气压传感器</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测量范围：500hPa～1060hPa；</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允许误差：≤0.3hPa</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10</w:t>
            </w:r>
          </w:p>
        </w:tc>
        <w:tc>
          <w:tcPr>
            <w:tcW w:w="991"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采集与控制单元</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存储</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满足 1 年以上基数据和产品等数据存储要求</w:t>
            </w:r>
          </w:p>
        </w:tc>
      </w:tr>
      <w:tr>
        <w:tblPrEx>
          <w:tblW w:w="0" w:type="auto"/>
          <w:jc w:val="center"/>
          <w:tblLayout w:type="fixed"/>
          <w:tblCellMar>
            <w:top w:w="0" w:type="dxa"/>
            <w:left w:w="108" w:type="dxa"/>
            <w:bottom w:w="0" w:type="dxa"/>
            <w:right w:w="108" w:type="dxa"/>
          </w:tblCellMar>
        </w:tblPrEx>
        <w:trPr>
          <w:cantSplit/>
          <w:trHeight w:val="75"/>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11</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观测性能</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#相对湿度廓线</w:t>
            </w:r>
          </w:p>
        </w:tc>
        <w:tc>
          <w:tcPr>
            <w:tcW w:w="2967"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垂直分辨率：</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≤50m（0m～500m）；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≤100m（500m～2000m）；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≤250m（2km～10km）</w:t>
            </w:r>
          </w:p>
        </w:tc>
        <w:tc>
          <w:tcPr>
            <w:tcW w:w="2531"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均方根误差：≤15%RH</w:t>
            </w:r>
          </w:p>
        </w:tc>
      </w:tr>
      <w:tr>
        <w:tblPrEx>
          <w:tblW w:w="0" w:type="auto"/>
          <w:jc w:val="center"/>
          <w:tblLayout w:type="fixed"/>
          <w:tblCellMar>
            <w:top w:w="0" w:type="dxa"/>
            <w:left w:w="108" w:type="dxa"/>
            <w:bottom w:w="0" w:type="dxa"/>
            <w:right w:w="108" w:type="dxa"/>
          </w:tblCellMar>
        </w:tblPrEx>
        <w:trPr>
          <w:cantSplit/>
          <w:trHeight w:val="75"/>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#水汽密度廓线</w:t>
            </w:r>
          </w:p>
        </w:tc>
        <w:tc>
          <w:tcPr>
            <w:tcW w:w="2967"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垂直分辨率：</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≤50m（0m～500m）；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≤100m（500m～2000m）；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≤250m（2km～10km）</w:t>
            </w:r>
          </w:p>
        </w:tc>
        <w:tc>
          <w:tcPr>
            <w:tcW w:w="2531"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均方根误差：≤0.8g/m3</w:t>
            </w:r>
          </w:p>
        </w:tc>
      </w:tr>
      <w:tr>
        <w:tblPrEx>
          <w:tblW w:w="0" w:type="auto"/>
          <w:jc w:val="center"/>
          <w:tblLayout w:type="fixed"/>
          <w:tblCellMar>
            <w:top w:w="0" w:type="dxa"/>
            <w:left w:w="108" w:type="dxa"/>
            <w:bottom w:w="0" w:type="dxa"/>
            <w:right w:w="108" w:type="dxa"/>
          </w:tblCellMar>
        </w:tblPrEx>
        <w:trPr>
          <w:cantSplit/>
          <w:trHeight w:val="75"/>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#温度廓线</w:t>
            </w:r>
          </w:p>
        </w:tc>
        <w:tc>
          <w:tcPr>
            <w:tcW w:w="2967"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垂直分辨率：</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≤25m（0m～500m）；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≤50m（500m～2000m）；</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≤250m（2km～10km）</w:t>
            </w:r>
          </w:p>
        </w:tc>
        <w:tc>
          <w:tcPr>
            <w:tcW w:w="2531" w:type="dxa"/>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当高度＞2000m时，均方根误差：≤1.8K；</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当高度≤2000m时，均方根误差：≤1K</w:t>
            </w:r>
          </w:p>
        </w:tc>
      </w:tr>
      <w:tr>
        <w:tblPrEx>
          <w:tblW w:w="0" w:type="auto"/>
          <w:jc w:val="center"/>
          <w:tblLayout w:type="fixed"/>
          <w:tblCellMar>
            <w:top w:w="0" w:type="dxa"/>
            <w:left w:w="108" w:type="dxa"/>
            <w:bottom w:w="0" w:type="dxa"/>
            <w:right w:w="108" w:type="dxa"/>
          </w:tblCellMar>
        </w:tblPrEx>
        <w:trPr>
          <w:cantSplit/>
          <w:trHeight w:val="75"/>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#积分水汽含量</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均方根误差≤4mm</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12</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供电</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供电</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220V、50Hz，电压变化－15％～10％，频率变化±3％时，系统能正常工作</w:t>
            </w:r>
          </w:p>
        </w:tc>
      </w:tr>
      <w:tr>
        <w:tblPrEx>
          <w:tblW w:w="0" w:type="auto"/>
          <w:jc w:val="center"/>
          <w:tblLayout w:type="fixed"/>
          <w:tblCellMar>
            <w:top w:w="0" w:type="dxa"/>
            <w:left w:w="108" w:type="dxa"/>
            <w:bottom w:w="0" w:type="dxa"/>
            <w:right w:w="108" w:type="dxa"/>
          </w:tblCellMar>
        </w:tblPrEx>
        <w:trPr>
          <w:cantSplit/>
          <w:trHeight w:val="307"/>
          <w:jc w:val="center"/>
        </w:trPr>
        <w:tc>
          <w:tcPr>
            <w:tcW w:w="727"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991" w:type="dxa"/>
            <w:vMerge/>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功耗</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未开启防雾干燥系统加热模块时，整机功耗应≤600W；</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最大允许功耗应≤2100W</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13</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环境适应性</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温度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工作温度：−40℃～50℃（室外设备），0℃～40℃（室内设备）；</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贮存温度：−50℃～55℃。</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恒定湿热</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室外设备相对湿度95%，环境温度35℃，试验时间48h</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气压</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500～1060hPa。</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外壳防护</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室外设备外壳防护等级应达到IP55。</w:t>
            </w:r>
          </w:p>
        </w:tc>
      </w:tr>
      <w:tr>
        <w:tblPrEx>
          <w:tblW w:w="0" w:type="auto"/>
          <w:jc w:val="center"/>
          <w:tblLayout w:type="fixed"/>
          <w:tblCellMar>
            <w:top w:w="0" w:type="dxa"/>
            <w:left w:w="108" w:type="dxa"/>
            <w:bottom w:w="0" w:type="dxa"/>
            <w:right w:w="108" w:type="dxa"/>
          </w:tblCellMar>
        </w:tblPrEx>
        <w:trPr>
          <w:cantSplit/>
          <w:trHeight w:val="12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抗盐雾腐</w:t>
            </w:r>
          </w:p>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蚀</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外露零件镀层耐48小时盐雾沉降试验。</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14</w:t>
            </w:r>
          </w:p>
        </w:tc>
        <w:tc>
          <w:tcPr>
            <w:tcW w:w="991"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机械</w:t>
            </w:r>
          </w:p>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条件</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冲击振动</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在产品规定包装条件下，宽带随机振动试验应达到2M3等级（参考标准GB/T 4798.2-2008）。</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15</w:t>
            </w:r>
          </w:p>
        </w:tc>
        <w:tc>
          <w:tcPr>
            <w:tcW w:w="991"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电磁兼容性</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电磁抗扰度</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满足GB/T17626.2-2018 静电放电抗扰度要求</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满足GB/T17626.4-2018 电快速瞬变脉冲群抗扰度要求</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满足GB/T17626.5-2018 浪涌（冲击）抗扰度要求</w:t>
            </w:r>
          </w:p>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提供投标产品的电磁兼容检测报告</w:t>
            </w:r>
          </w:p>
        </w:tc>
      </w:tr>
      <w:tr>
        <w:tblPrEx>
          <w:tblW w:w="0" w:type="auto"/>
          <w:jc w:val="center"/>
          <w:tblLayout w:type="fixed"/>
          <w:tblCellMar>
            <w:top w:w="0" w:type="dxa"/>
            <w:left w:w="108" w:type="dxa"/>
            <w:bottom w:w="0" w:type="dxa"/>
            <w:right w:w="108" w:type="dxa"/>
          </w:tblCellMar>
        </w:tblPrEx>
        <w:trPr>
          <w:cantSplit/>
          <w:trHeight w:val="452"/>
          <w:jc w:val="center"/>
        </w:trPr>
        <w:tc>
          <w:tcPr>
            <w:tcW w:w="727" w:type="dxa"/>
            <w:vMerge w:val="restart"/>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16</w:t>
            </w:r>
          </w:p>
        </w:tc>
        <w:tc>
          <w:tcPr>
            <w:tcW w:w="991" w:type="dxa"/>
            <w:vMerge w:val="restart"/>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其他</w:t>
            </w: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天线罩性能</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微波天线罩具有雨、雪、尘土等防护作用</w:t>
            </w:r>
          </w:p>
        </w:tc>
      </w:tr>
      <w:tr>
        <w:tblPrEx>
          <w:tblW w:w="0" w:type="auto"/>
          <w:jc w:val="center"/>
          <w:tblLayout w:type="fixed"/>
          <w:tblCellMar>
            <w:top w:w="0" w:type="dxa"/>
            <w:left w:w="108" w:type="dxa"/>
            <w:bottom w:w="0" w:type="dxa"/>
            <w:right w:w="108" w:type="dxa"/>
          </w:tblCellMar>
        </w:tblPrEx>
        <w:trPr>
          <w:cantSplit/>
          <w:trHeight w:val="642"/>
          <w:jc w:val="center"/>
        </w:trPr>
        <w:tc>
          <w:tcPr>
            <w:tcW w:w="727" w:type="dxa"/>
            <w:vMerge/>
            <w:noWrap w:val="0"/>
            <w:vAlign w:val="center"/>
          </w:tcPr>
          <w:p>
            <w:pPr>
              <w:widowControl/>
              <w:jc w:val="center"/>
              <w:rPr>
                <w:rFonts w:ascii="宋体" w:eastAsia="宋体" w:hAnsi="宋体" w:cs="宋体" w:hint="eastAsia"/>
                <w:bCs/>
                <w:color w:val="auto"/>
                <w:kern w:val="0"/>
                <w:szCs w:val="21"/>
                <w:highlight w:val="none"/>
              </w:rPr>
            </w:pPr>
          </w:p>
        </w:tc>
        <w:tc>
          <w:tcPr>
            <w:tcW w:w="991" w:type="dxa"/>
            <w:vMerge/>
            <w:noWrap w:val="0"/>
            <w:vAlign w:val="center"/>
          </w:tcPr>
          <w:p>
            <w:pPr>
              <w:widowControl/>
              <w:jc w:val="center"/>
              <w:rPr>
                <w:rFonts w:ascii="宋体" w:eastAsia="宋体" w:hAnsi="宋体" w:cs="宋体" w:hint="eastAsia"/>
                <w:bCs/>
                <w:color w:val="auto"/>
                <w:kern w:val="0"/>
                <w:szCs w:val="21"/>
                <w:highlight w:val="none"/>
              </w:rPr>
            </w:pPr>
          </w:p>
        </w:tc>
        <w:tc>
          <w:tcPr>
            <w:tcW w:w="1787" w:type="dxa"/>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自动观测</w:t>
            </w:r>
          </w:p>
        </w:tc>
        <w:tc>
          <w:tcPr>
            <w:tcW w:w="5498" w:type="dxa"/>
            <w:gridSpan w:val="2"/>
            <w:noWrap w:val="0"/>
            <w:vAlign w:val="center"/>
          </w:tcPr>
          <w:p>
            <w:pPr>
              <w:widowControl/>
              <w:jc w:val="left"/>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投标产品具备无人值守观测方式，要求投标产品具备内定标技术，实现自动定标观测能力</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17</w:t>
            </w:r>
          </w:p>
        </w:tc>
        <w:tc>
          <w:tcPr>
            <w:tcW w:w="2778" w:type="dxa"/>
            <w:gridSpan w:val="2"/>
            <w:noWrap w:val="0"/>
            <w:vAlign w:val="center"/>
          </w:tcPr>
          <w:p>
            <w:pPr>
              <w:widowControl/>
              <w:jc w:val="center"/>
              <w:rPr>
                <w:rFonts w:ascii="宋体" w:eastAsia="宋体" w:hAnsi="宋体" w:cs="宋体" w:hint="eastAsia"/>
                <w:bCs/>
                <w:color w:val="auto"/>
                <w:kern w:val="0"/>
                <w:szCs w:val="21"/>
                <w:highlight w:val="none"/>
              </w:rPr>
            </w:pPr>
            <w:r>
              <w:rPr>
                <w:rFonts w:ascii="宋体" w:eastAsia="宋体" w:hAnsi="宋体" w:cs="宋体" w:hint="eastAsia"/>
                <w:bCs/>
                <w:color w:val="auto"/>
                <w:kern w:val="0"/>
                <w:sz w:val="21"/>
                <w:szCs w:val="21"/>
                <w:highlight w:val="none"/>
              </w:rPr>
              <w:t>标准输出控制</w:t>
            </w:r>
            <w:r>
              <w:rPr>
                <w:rFonts w:ascii="宋体" w:eastAsia="宋体" w:hAnsi="宋体" w:cs="宋体" w:hint="eastAsia"/>
                <w:bCs/>
                <w:color w:val="auto"/>
                <w:kern w:val="0"/>
                <w:sz w:val="21"/>
                <w:szCs w:val="21"/>
                <w:highlight w:val="none"/>
                <w:lang w:val="en-US" w:eastAsia="zh-CN"/>
              </w:rPr>
              <w:t>功能</w:t>
            </w:r>
          </w:p>
        </w:tc>
        <w:tc>
          <w:tcPr>
            <w:tcW w:w="5498" w:type="dxa"/>
            <w:gridSpan w:val="2"/>
            <w:noWrap w:val="0"/>
            <w:vAlign w:val="center"/>
          </w:tcPr>
          <w:p>
            <w:pPr>
              <w:widowControl/>
              <w:jc w:val="left"/>
              <w:rPr>
                <w:rFonts w:ascii="宋体" w:eastAsia="宋体" w:hAnsi="宋体" w:cs="宋体" w:hint="default"/>
                <w:bCs/>
                <w:color w:val="auto"/>
                <w:kern w:val="0"/>
                <w:szCs w:val="21"/>
                <w:highlight w:val="none"/>
              </w:rPr>
            </w:pPr>
            <w:r>
              <w:rPr>
                <w:rFonts w:ascii="宋体" w:eastAsia="宋体" w:hAnsi="宋体" w:cs="宋体" w:hint="eastAsia"/>
                <w:bCs/>
                <w:color w:val="auto"/>
                <w:kern w:val="0"/>
                <w:sz w:val="21"/>
                <w:szCs w:val="21"/>
                <w:highlight w:val="none"/>
              </w:rPr>
              <w:t>具备数据采集、处理、存储、通讯，以及产品显示、质量控制、业务过程、状态监控等功能（满足中国局《气象监测预警补短板工程建设技术指南（修订）》要求）</w:t>
            </w:r>
            <w:r>
              <w:rPr>
                <w:rFonts w:ascii="宋体" w:eastAsia="宋体" w:hAnsi="宋体" w:cs="宋体" w:hint="eastAsia"/>
                <w:bCs/>
                <w:color w:val="auto"/>
                <w:kern w:val="0"/>
                <w:sz w:val="21"/>
                <w:szCs w:val="21"/>
                <w:highlight w:val="none"/>
                <w:lang w:eastAsia="zh-CN"/>
              </w:rPr>
              <w:t>，</w:t>
            </w:r>
            <w:r>
              <w:rPr>
                <w:rFonts w:ascii="Times New Roman" w:eastAsia="宋体" w:hAnsi="Times New Roman" w:cs="Times New Roman" w:hint="eastAsia"/>
                <w:b w:val="0"/>
                <w:bCs/>
                <w:color w:val="auto"/>
                <w:szCs w:val="24"/>
                <w:highlight w:val="none"/>
                <w:lang w:val="en-US" w:eastAsia="zh-CN"/>
              </w:rPr>
              <w:t>能够接入到本地业务系统、地基遥感垂直廓线观测系统，实现系统集成和数据融合。</w:t>
            </w:r>
          </w:p>
        </w:tc>
      </w:tr>
      <w:tr>
        <w:tblPrEx>
          <w:tblW w:w="0" w:type="auto"/>
          <w:jc w:val="center"/>
          <w:tblLayout w:type="fixed"/>
          <w:tblCellMar>
            <w:top w:w="0" w:type="dxa"/>
            <w:left w:w="108" w:type="dxa"/>
            <w:bottom w:w="0" w:type="dxa"/>
            <w:right w:w="108" w:type="dxa"/>
          </w:tblCellMar>
        </w:tblPrEx>
        <w:trPr>
          <w:cantSplit/>
          <w:jc w:val="center"/>
        </w:trPr>
        <w:tc>
          <w:tcPr>
            <w:tcW w:w="727" w:type="dxa"/>
            <w:noWrap w:val="0"/>
            <w:vAlign w:val="center"/>
          </w:tcPr>
          <w:p>
            <w:pPr>
              <w:pStyle w:val="NormalIndent"/>
              <w:tabs>
                <w:tab w:val="left" w:pos="3119"/>
              </w:tabs>
              <w:ind w:firstLine="0"/>
              <w:jc w:val="center"/>
              <w:rPr>
                <w:rFonts w:ascii="宋体" w:eastAsia="宋体" w:hAnsi="宋体" w:cs="宋体" w:hint="default"/>
                <w:bCs/>
                <w:color w:val="auto"/>
                <w:kern w:val="0"/>
                <w:szCs w:val="21"/>
                <w:highlight w:val="none"/>
                <w:lang w:val="en-US"/>
              </w:rPr>
            </w:pPr>
            <w:r>
              <w:rPr>
                <w:rFonts w:ascii="宋体" w:eastAsia="宋体" w:hAnsi="宋体" w:cs="宋体" w:hint="eastAsia"/>
                <w:bCs/>
                <w:color w:val="auto"/>
                <w:kern w:val="0"/>
                <w:sz w:val="21"/>
                <w:szCs w:val="21"/>
                <w:highlight w:val="none"/>
                <w:lang w:val="en-US" w:eastAsia="zh-CN"/>
              </w:rPr>
              <w:t>18</w:t>
            </w:r>
          </w:p>
        </w:tc>
        <w:tc>
          <w:tcPr>
            <w:tcW w:w="2778" w:type="dxa"/>
            <w:gridSpan w:val="2"/>
            <w:noWrap w:val="0"/>
            <w:vAlign w:val="center"/>
          </w:tcPr>
          <w:p>
            <w:pPr>
              <w:widowControl/>
              <w:jc w:val="center"/>
              <w:rPr>
                <w:rFonts w:ascii="宋体" w:eastAsia="宋体" w:hAnsi="宋体" w:cs="宋体" w:hint="default"/>
                <w:bCs/>
                <w:color w:val="auto"/>
                <w:kern w:val="0"/>
                <w:szCs w:val="21"/>
                <w:highlight w:val="none"/>
              </w:rPr>
            </w:pPr>
            <w:r>
              <w:rPr>
                <w:rFonts w:ascii="宋体" w:hAnsi="宋体" w:cs="宋体" w:hint="eastAsia"/>
                <w:bCs/>
                <w:color w:val="auto"/>
                <w:kern w:val="0"/>
                <w:sz w:val="21"/>
                <w:szCs w:val="21"/>
                <w:highlight w:val="none"/>
                <w:lang w:val="en-US" w:eastAsia="zh-CN"/>
              </w:rPr>
              <w:t>设计寿命</w:t>
            </w:r>
          </w:p>
        </w:tc>
        <w:tc>
          <w:tcPr>
            <w:tcW w:w="5498" w:type="dxa"/>
            <w:gridSpan w:val="2"/>
            <w:noWrap w:val="0"/>
            <w:vAlign w:val="center"/>
          </w:tcPr>
          <w:p>
            <w:pPr>
              <w:widowControl/>
              <w:jc w:val="left"/>
              <w:rPr>
                <w:rFonts w:ascii="宋体" w:eastAsia="宋体" w:hAnsi="宋体" w:cs="宋体" w:hint="default"/>
                <w:bCs/>
                <w:color w:val="auto"/>
                <w:kern w:val="0"/>
                <w:szCs w:val="21"/>
                <w:highlight w:val="none"/>
              </w:rPr>
            </w:pPr>
            <w:r>
              <w:rPr>
                <w:rFonts w:ascii="宋体" w:hAnsi="宋体" w:cs="宋体" w:hint="eastAsia"/>
                <w:bCs/>
                <w:color w:val="auto"/>
                <w:kern w:val="0"/>
                <w:sz w:val="21"/>
                <w:szCs w:val="21"/>
                <w:highlight w:val="none"/>
                <w:lang w:val="en-US" w:eastAsia="zh-CN"/>
              </w:rPr>
              <w:t>≥10年</w:t>
            </w:r>
          </w:p>
        </w:tc>
      </w:tr>
    </w:tbl>
    <w:p>
      <w:pPr>
        <w:spacing w:line="360" w:lineRule="auto"/>
        <w:ind w:firstLine="420" w:firstLineChars="200"/>
        <w:rPr>
          <w:rFonts w:hint="eastAsia"/>
          <w:color w:val="auto"/>
          <w:highlight w:val="none"/>
        </w:rPr>
      </w:pPr>
    </w:p>
    <w:p>
      <w:pPr>
        <w:spacing w:line="360" w:lineRule="auto"/>
        <w:ind w:firstLine="420" w:firstLineChars="200"/>
        <w:rPr>
          <w:rFonts w:ascii="宋体" w:hAnsi="宋体" w:hint="eastAsia"/>
          <w:color w:val="auto"/>
          <w:szCs w:val="21"/>
          <w:highlight w:val="none"/>
        </w:rPr>
      </w:pPr>
      <w:r>
        <w:rPr>
          <w:rFonts w:ascii="宋体" w:hAnsi="宋体" w:hint="eastAsia"/>
          <w:color w:val="auto"/>
          <w:szCs w:val="21"/>
          <w:highlight w:val="none"/>
        </w:rPr>
        <w:t>四、检验考核要求</w:t>
      </w:r>
    </w:p>
    <w:p>
      <w:pPr>
        <w:keepNext w:val="0"/>
        <w:keepLines w:val="0"/>
        <w:widowControl/>
        <w:suppressLineNumbers w:val="0"/>
        <w:pBdr>
          <w:top w:val="none" w:sz="0" w:space="0" w:color="auto"/>
          <w:left w:val="none" w:sz="0" w:space="0" w:color="auto"/>
          <w:right w:val="none" w:sz="0" w:space="0" w:color="auto"/>
        </w:pBdr>
        <w:spacing w:before="0" w:beforeAutospacing="0" w:after="0" w:afterAutospacing="0" w:line="360" w:lineRule="auto"/>
        <w:ind w:left="0" w:right="0"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 w:val="21"/>
          <w:szCs w:val="21"/>
          <w:highlight w:val="none"/>
          <w:lang w:val="en-US" w:eastAsia="zh-CN"/>
        </w:rPr>
        <w:t>1.</w:t>
      </w:r>
      <w:r>
        <w:rPr>
          <w:rFonts w:ascii="宋体" w:eastAsia="宋体" w:hAnsi="宋体" w:cs="Times New Roman" w:hint="eastAsia"/>
          <w:color w:val="auto"/>
          <w:sz w:val="21"/>
          <w:szCs w:val="21"/>
          <w:highlight w:val="none"/>
        </w:rPr>
        <w:t>出厂验收</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uto"/>
        <w:ind w:left="0" w:right="0" w:firstLine="420" w:firstLineChars="200"/>
        <w:jc w:val="left"/>
        <w:rPr>
          <w:rFonts w:ascii="宋体" w:eastAsia="宋体" w:hAnsi="宋体" w:cs="Times New Roman" w:hint="eastAsia"/>
          <w:color w:val="auto"/>
          <w:szCs w:val="21"/>
          <w:highlight w:val="none"/>
          <w:lang w:bidi="ar"/>
        </w:rPr>
      </w:pPr>
      <w:r>
        <w:rPr>
          <w:rFonts w:ascii="宋体" w:eastAsia="宋体" w:hAnsi="宋体" w:cs="Times New Roman" w:hint="eastAsia"/>
          <w:color w:val="auto"/>
          <w:sz w:val="21"/>
          <w:szCs w:val="21"/>
          <w:highlight w:val="none"/>
          <w:lang w:bidi="ar"/>
        </w:rPr>
        <w:t>中标人</w:t>
      </w:r>
      <w:r>
        <w:rPr>
          <w:rFonts w:ascii="宋体" w:eastAsia="宋体" w:hAnsi="宋体" w:cs="Times New Roman" w:hint="eastAsia"/>
          <w:color w:val="auto"/>
          <w:sz w:val="21"/>
          <w:szCs w:val="21"/>
          <w:highlight w:val="none"/>
          <w:lang w:val="en-US" w:eastAsia="zh-CN" w:bidi="ar"/>
        </w:rPr>
        <w:t>应在</w:t>
      </w:r>
      <w:r>
        <w:rPr>
          <w:rFonts w:ascii="宋体" w:eastAsia="宋体" w:hAnsi="宋体" w:cs="Times New Roman" w:hint="eastAsia"/>
          <w:color w:val="auto"/>
          <w:sz w:val="21"/>
          <w:szCs w:val="21"/>
          <w:highlight w:val="none"/>
          <w:lang w:bidi="ar"/>
        </w:rPr>
        <w:t>设备出厂前严格按照中国气象局业务规范、相关行业标准及招标文件技术要求组织</w:t>
      </w:r>
      <w:r>
        <w:rPr>
          <w:rFonts w:ascii="宋体" w:eastAsia="宋体" w:hAnsi="宋体" w:cs="Times New Roman" w:hint="eastAsia"/>
          <w:b w:val="0"/>
          <w:bCs w:val="0"/>
          <w:color w:val="auto"/>
          <w:sz w:val="21"/>
          <w:szCs w:val="21"/>
          <w:highlight w:val="none"/>
          <w:lang w:bidi="ar"/>
        </w:rPr>
        <w:t>出厂验收</w:t>
      </w:r>
      <w:r>
        <w:rPr>
          <w:rFonts w:ascii="宋体" w:eastAsia="宋体" w:hAnsi="宋体" w:cs="Times New Roman" w:hint="eastAsia"/>
          <w:color w:val="auto"/>
          <w:sz w:val="21"/>
          <w:szCs w:val="21"/>
          <w:highlight w:val="none"/>
          <w:lang w:bidi="ar"/>
        </w:rPr>
        <w:t>，完成整机性能、关键技术指标、系统功能及连续考机测试，提交全套资质文件、技术资料、校准及检测报告。采购人派员参与验收，验收合格并签署出厂验收报告后方可发货，未通过出厂验收严禁出厂。</w:t>
      </w:r>
    </w:p>
    <w:p>
      <w:pPr>
        <w:keepNext w:val="0"/>
        <w:keepLines w:val="0"/>
        <w:widowControl/>
        <w:suppressLineNumbers w:val="0"/>
        <w:pBdr>
          <w:top w:val="none" w:sz="0" w:space="0" w:color="auto"/>
          <w:left w:val="none" w:sz="0" w:space="0" w:color="auto"/>
          <w:right w:val="none" w:sz="0" w:space="0" w:color="auto"/>
        </w:pBdr>
        <w:spacing w:before="0" w:beforeAutospacing="0" w:after="0" w:afterAutospacing="0" w:line="360" w:lineRule="auto"/>
        <w:ind w:left="0" w:right="0"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 w:val="21"/>
          <w:szCs w:val="21"/>
          <w:highlight w:val="none"/>
        </w:rPr>
        <w:t>2 现场安装验收</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uto"/>
        <w:ind w:left="0" w:right="0" w:firstLine="420" w:firstLineChars="200"/>
        <w:jc w:val="left"/>
        <w:rPr>
          <w:rFonts w:ascii="宋体" w:eastAsia="宋体" w:hAnsi="宋体" w:cs="Times New Roman" w:hint="eastAsia"/>
          <w:color w:val="auto"/>
          <w:szCs w:val="21"/>
          <w:highlight w:val="none"/>
          <w:lang w:bidi="ar"/>
        </w:rPr>
      </w:pPr>
      <w:r>
        <w:rPr>
          <w:rFonts w:ascii="宋体" w:eastAsia="宋体" w:hAnsi="宋体" w:cs="Times New Roman" w:hint="eastAsia"/>
          <w:color w:val="auto"/>
          <w:sz w:val="21"/>
          <w:szCs w:val="21"/>
          <w:highlight w:val="none"/>
          <w:lang w:bidi="ar"/>
        </w:rPr>
        <w:t>设备到货后，中标人负责完成设备安装就位、基础及塔架施工、线缆敷设、防雷接地、供电及机房配套建设，按气象装备安装规范完成系统安装、标校调试、整机联调及业务数据链路接入测试。安装调试完成后</w:t>
      </w:r>
      <w:r>
        <w:rPr>
          <w:rFonts w:ascii="宋体" w:eastAsia="宋体" w:hAnsi="宋体" w:cs="Times New Roman" w:hint="eastAsia"/>
          <w:color w:val="auto"/>
          <w:sz w:val="21"/>
          <w:szCs w:val="21"/>
          <w:highlight w:val="none"/>
          <w:lang w:val="en-US" w:eastAsia="zh-CN" w:bidi="ar"/>
        </w:rPr>
        <w:t>由采购人</w:t>
      </w:r>
      <w:r>
        <w:rPr>
          <w:rFonts w:ascii="宋体" w:eastAsia="宋体" w:hAnsi="宋体" w:cs="Times New Roman" w:hint="eastAsia"/>
          <w:color w:val="auto"/>
          <w:sz w:val="21"/>
          <w:szCs w:val="21"/>
          <w:highlight w:val="none"/>
          <w:lang w:bidi="ar"/>
        </w:rPr>
        <w:t>组织</w:t>
      </w:r>
      <w:r>
        <w:rPr>
          <w:rFonts w:ascii="宋体" w:eastAsia="宋体" w:hAnsi="宋体" w:cs="Times New Roman" w:hint="eastAsia"/>
          <w:b w:val="0"/>
          <w:bCs w:val="0"/>
          <w:color w:val="auto"/>
          <w:sz w:val="21"/>
          <w:szCs w:val="21"/>
          <w:highlight w:val="none"/>
          <w:lang w:bidi="ar"/>
        </w:rPr>
        <w:t>现场安装验收</w:t>
      </w:r>
      <w:r>
        <w:rPr>
          <w:rFonts w:ascii="宋体" w:eastAsia="宋体" w:hAnsi="宋体" w:cs="Times New Roman" w:hint="eastAsia"/>
          <w:color w:val="auto"/>
          <w:sz w:val="21"/>
          <w:szCs w:val="21"/>
          <w:highlight w:val="none"/>
          <w:lang w:bidi="ar"/>
        </w:rPr>
        <w:t>，核查安装工艺、设备状态及系统联调功能，验收合格后方可进入试运行阶段。</w:t>
      </w:r>
    </w:p>
    <w:p>
      <w:pPr>
        <w:keepNext w:val="0"/>
        <w:keepLines w:val="0"/>
        <w:widowControl/>
        <w:suppressLineNumbers w:val="0"/>
        <w:pBdr>
          <w:top w:val="none" w:sz="0" w:space="0" w:color="auto"/>
          <w:left w:val="none" w:sz="0" w:space="0" w:color="auto"/>
          <w:right w:val="none" w:sz="0" w:space="0" w:color="auto"/>
        </w:pBdr>
        <w:spacing w:before="0" w:beforeAutospacing="0" w:after="0" w:afterAutospacing="0" w:line="360" w:lineRule="auto"/>
        <w:ind w:left="0" w:right="0"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 w:val="21"/>
          <w:szCs w:val="21"/>
          <w:highlight w:val="none"/>
        </w:rPr>
        <w:t>3</w:t>
      </w:r>
      <w:r>
        <w:rPr>
          <w:rFonts w:ascii="宋体" w:eastAsia="宋体" w:hAnsi="宋体" w:cs="Times New Roman" w:hint="eastAsia"/>
          <w:color w:val="auto"/>
          <w:sz w:val="21"/>
          <w:szCs w:val="21"/>
          <w:highlight w:val="none"/>
          <w:lang w:val="en-US" w:eastAsia="zh-CN"/>
        </w:rPr>
        <w:t>.</w:t>
      </w:r>
      <w:r>
        <w:rPr>
          <w:rFonts w:ascii="宋体" w:eastAsia="宋体" w:hAnsi="宋体" w:cs="Times New Roman" w:hint="eastAsia"/>
          <w:color w:val="auto"/>
          <w:sz w:val="21"/>
          <w:szCs w:val="21"/>
          <w:highlight w:val="none"/>
        </w:rPr>
        <w:t>试运行验收</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uto"/>
        <w:ind w:left="0" w:right="0" w:firstLine="420" w:firstLineChars="200"/>
        <w:jc w:val="left"/>
        <w:rPr>
          <w:rFonts w:ascii="宋体" w:eastAsia="宋体" w:hAnsi="宋体" w:cs="Times New Roman" w:hint="eastAsia"/>
          <w:color w:val="auto"/>
          <w:szCs w:val="21"/>
          <w:highlight w:val="none"/>
          <w:lang w:bidi="ar"/>
        </w:rPr>
      </w:pPr>
      <w:r>
        <w:rPr>
          <w:rFonts w:ascii="宋体" w:eastAsia="宋体" w:hAnsi="宋体" w:cs="Times New Roman" w:hint="eastAsia"/>
          <w:color w:val="auto"/>
          <w:sz w:val="21"/>
          <w:szCs w:val="21"/>
          <w:highlight w:val="none"/>
          <w:lang w:bidi="ar"/>
        </w:rPr>
        <w:t>设备现场调试合格后进入</w:t>
      </w:r>
      <w:r>
        <w:rPr>
          <w:rFonts w:ascii="宋体" w:eastAsia="宋体" w:hAnsi="宋体" w:cs="Times New Roman" w:hint="eastAsia"/>
          <w:b w:val="0"/>
          <w:bCs w:val="0"/>
          <w:color w:val="auto"/>
          <w:sz w:val="21"/>
          <w:szCs w:val="21"/>
          <w:highlight w:val="none"/>
          <w:lang w:bidi="ar"/>
        </w:rPr>
        <w:t>试运行期</w:t>
      </w:r>
      <w:r>
        <w:rPr>
          <w:rFonts w:ascii="宋体" w:eastAsia="宋体" w:hAnsi="宋体" w:cs="Times New Roman" w:hint="eastAsia"/>
          <w:color w:val="auto"/>
          <w:sz w:val="21"/>
          <w:szCs w:val="21"/>
          <w:highlight w:val="none"/>
          <w:lang w:bidi="ar"/>
        </w:rPr>
        <w:t>，试运行周期不少于 90 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验收。</w:t>
      </w:r>
    </w:p>
    <w:p>
      <w:pPr>
        <w:keepNext w:val="0"/>
        <w:keepLines w:val="0"/>
        <w:widowControl/>
        <w:suppressLineNumbers w:val="0"/>
        <w:pBdr>
          <w:top w:val="none" w:sz="0" w:space="0" w:color="auto"/>
          <w:left w:val="none" w:sz="0" w:space="0" w:color="auto"/>
          <w:right w:val="none" w:sz="0" w:space="0" w:color="auto"/>
        </w:pBdr>
        <w:spacing w:before="0" w:beforeAutospacing="0" w:after="0" w:afterAutospacing="0" w:line="360" w:lineRule="auto"/>
        <w:ind w:left="0" w:right="0" w:firstLine="420" w:firstLineChars="200"/>
        <w:rPr>
          <w:rFonts w:ascii="宋体" w:eastAsia="宋体" w:hAnsi="宋体" w:cs="Times New Roman" w:hint="eastAsia"/>
          <w:color w:val="auto"/>
          <w:szCs w:val="21"/>
          <w:highlight w:val="none"/>
        </w:rPr>
      </w:pPr>
      <w:r>
        <w:rPr>
          <w:rFonts w:ascii="宋体" w:eastAsia="宋体" w:hAnsi="宋体" w:cs="Times New Roman" w:hint="eastAsia"/>
          <w:color w:val="auto"/>
          <w:sz w:val="21"/>
          <w:szCs w:val="21"/>
          <w:highlight w:val="none"/>
        </w:rPr>
        <w:t>4</w:t>
      </w:r>
      <w:r>
        <w:rPr>
          <w:rFonts w:ascii="宋体" w:eastAsia="宋体" w:hAnsi="宋体" w:cs="Times New Roman" w:hint="eastAsia"/>
          <w:color w:val="auto"/>
          <w:sz w:val="21"/>
          <w:szCs w:val="21"/>
          <w:highlight w:val="none"/>
          <w:lang w:val="en-US" w:eastAsia="zh-CN"/>
        </w:rPr>
        <w:t>.</w:t>
      </w:r>
      <w:r>
        <w:rPr>
          <w:rFonts w:ascii="宋体" w:eastAsia="宋体" w:hAnsi="宋体" w:cs="Times New Roman" w:hint="eastAsia"/>
          <w:color w:val="auto"/>
          <w:sz w:val="21"/>
          <w:szCs w:val="21"/>
          <w:highlight w:val="none"/>
        </w:rPr>
        <w:t>合同验收</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uto"/>
        <w:ind w:left="0" w:right="0" w:firstLine="420" w:firstLineChars="200"/>
        <w:jc w:val="left"/>
        <w:rPr>
          <w:rFonts w:ascii="宋体" w:eastAsia="宋体" w:hAnsi="宋体" w:cs="Times New Roman" w:hint="eastAsia"/>
          <w:color w:val="auto"/>
          <w:szCs w:val="21"/>
          <w:highlight w:val="none"/>
          <w:lang w:bidi="ar"/>
        </w:rPr>
      </w:pPr>
      <w:r>
        <w:rPr>
          <w:rFonts w:ascii="宋体" w:eastAsia="宋体" w:hAnsi="宋体" w:cs="Times New Roman" w:hint="eastAsia"/>
          <w:color w:val="auto"/>
          <w:sz w:val="21"/>
          <w:szCs w:val="21"/>
          <w:highlight w:val="none"/>
          <w:lang w:bidi="ar"/>
        </w:rPr>
        <w:t>在出厂、安装、试运行各阶段验收均合格的前提下，组织</w:t>
      </w:r>
      <w:r>
        <w:rPr>
          <w:rFonts w:ascii="宋体" w:eastAsia="宋体" w:hAnsi="宋体" w:cs="Times New Roman" w:hint="eastAsia"/>
          <w:b w:val="0"/>
          <w:bCs w:val="0"/>
          <w:color w:val="auto"/>
          <w:sz w:val="21"/>
          <w:szCs w:val="21"/>
          <w:highlight w:val="none"/>
          <w:lang w:bidi="ar"/>
        </w:rPr>
        <w:t>项目合同最终验收</w:t>
      </w:r>
      <w:r>
        <w:rPr>
          <w:rFonts w:ascii="宋体" w:eastAsia="宋体" w:hAnsi="宋体" w:cs="Times New Roman" w:hint="eastAsia"/>
          <w:color w:val="auto"/>
          <w:sz w:val="21"/>
          <w:szCs w:val="21"/>
          <w:highlight w:val="none"/>
          <w:lang w:bidi="ar"/>
        </w:rPr>
        <w:t>。全面核查设备配置、资料归档、备品备件、技术培训、履约服务及质保承诺等全部合同内容，对照技术参数、行业标准及业务应用要求综合评审，全部满足要求后签署最终验收证书，正式交付投入业务运行，进入质保期。</w:t>
      </w:r>
      <w:r>
        <w:rPr>
          <w:rFonts w:ascii="宋体" w:eastAsia="宋体" w:hAnsi="宋体" w:cs="Times New Roman" w:hint="eastAsia"/>
          <w:color w:val="auto"/>
          <w:kern w:val="2"/>
          <w:sz w:val="21"/>
          <w:szCs w:val="21"/>
          <w:highlight w:val="none"/>
          <w:lang w:val="en-US" w:eastAsia="zh-CN" w:bidi="ar"/>
        </w:rPr>
        <w:t>若最终验收仍存在缺项、指标不达标、资料不全等问题，不予通过验收，中标人须限期完成补齐、整改、完善，直至终审合格，相关费用及责任由中标人自行承担。</w:t>
      </w:r>
    </w:p>
    <w:p>
      <w:pPr>
        <w:numPr>
          <w:ilvl w:val="0"/>
          <w:numId w:val="4"/>
        </w:numPr>
        <w:spacing w:line="360" w:lineRule="auto"/>
        <w:ind w:firstLine="420" w:firstLineChars="200"/>
        <w:rPr>
          <w:rFonts w:ascii="宋体" w:hAnsi="宋体" w:hint="eastAsia"/>
          <w:color w:val="auto"/>
          <w:szCs w:val="21"/>
          <w:highlight w:val="none"/>
        </w:rPr>
      </w:pPr>
      <w:r>
        <w:rPr>
          <w:rFonts w:ascii="宋体" w:hAnsi="宋体" w:hint="eastAsia"/>
          <w:color w:val="auto"/>
          <w:szCs w:val="21"/>
          <w:highlight w:val="none"/>
        </w:rPr>
        <w:t>技术服务和质保期服务要求</w:t>
      </w:r>
    </w:p>
    <w:p>
      <w:pPr>
        <w:widowControl w:val="0"/>
        <w:spacing w:line="360" w:lineRule="auto"/>
        <w:ind w:firstLine="420" w:firstLineChars="200"/>
        <w:jc w:val="both"/>
        <w:outlineLvl w:val="9"/>
        <w:rPr>
          <w:rFonts w:ascii="宋体" w:eastAsia="宋体" w:hAnsi="宋体" w:hint="default"/>
          <w:b w:val="0"/>
          <w:color w:val="auto"/>
          <w:szCs w:val="21"/>
          <w:highlight w:val="none"/>
        </w:rPr>
      </w:pPr>
      <w:r>
        <w:rPr>
          <w:rFonts w:ascii="宋体" w:hAnsi="宋体" w:hint="eastAsia"/>
          <w:b w:val="0"/>
          <w:color w:val="auto"/>
          <w:sz w:val="21"/>
          <w:szCs w:val="21"/>
          <w:highlight w:val="none"/>
          <w:lang w:eastAsia="zh-CN"/>
        </w:rPr>
        <w:t>（</w:t>
      </w:r>
      <w:r>
        <w:rPr>
          <w:rFonts w:ascii="宋体" w:hAnsi="宋体" w:hint="eastAsia"/>
          <w:b w:val="0"/>
          <w:color w:val="auto"/>
          <w:sz w:val="21"/>
          <w:szCs w:val="21"/>
          <w:highlight w:val="none"/>
          <w:lang w:val="en-US" w:eastAsia="zh-CN"/>
        </w:rPr>
        <w:t>一</w:t>
      </w:r>
      <w:r>
        <w:rPr>
          <w:rFonts w:ascii="宋体" w:hAnsi="宋体" w:hint="eastAsia"/>
          <w:b w:val="0"/>
          <w:color w:val="auto"/>
          <w:sz w:val="21"/>
          <w:szCs w:val="21"/>
          <w:highlight w:val="none"/>
          <w:lang w:eastAsia="zh-CN"/>
        </w:rPr>
        <w:t>）</w:t>
      </w:r>
      <w:r>
        <w:rPr>
          <w:rFonts w:ascii="宋体" w:hAnsi="宋体" w:hint="eastAsia"/>
          <w:b w:val="0"/>
          <w:color w:val="auto"/>
          <w:sz w:val="21"/>
          <w:szCs w:val="21"/>
          <w:highlight w:val="none"/>
          <w:lang w:val="en-US" w:eastAsia="zh-CN"/>
        </w:rPr>
        <w:t>技术服务</w:t>
      </w:r>
    </w:p>
    <w:p>
      <w:pPr>
        <w:widowControl w:val="0"/>
        <w:spacing w:line="360" w:lineRule="auto"/>
        <w:ind w:firstLine="420" w:firstLineChars="200"/>
        <w:jc w:val="both"/>
        <w:outlineLvl w:val="9"/>
        <w:rPr>
          <w:rFonts w:ascii="宋体" w:hAnsi="宋体" w:hint="eastAsia"/>
          <w:b w:val="0"/>
          <w:color w:val="auto"/>
          <w:szCs w:val="21"/>
          <w:highlight w:val="none"/>
        </w:rPr>
      </w:pPr>
      <w:r>
        <w:rPr>
          <w:rFonts w:ascii="宋体" w:hAnsi="宋体" w:hint="eastAsia"/>
          <w:b w:val="0"/>
          <w:color w:val="auto"/>
          <w:sz w:val="21"/>
          <w:szCs w:val="21"/>
          <w:highlight w:val="none"/>
        </w:rPr>
        <w:t>1.中标人需提供详细技术方案，包括但不限于:设备安装建设规范、设备工作原理、设备部件结构组成、设备操作手册、设备运行维护手册、设备软件使用手册、相关产品算法说明文档等。</w:t>
      </w:r>
    </w:p>
    <w:p>
      <w:pPr>
        <w:widowControl w:val="0"/>
        <w:spacing w:line="360" w:lineRule="auto"/>
        <w:ind w:firstLine="420" w:firstLineChars="200"/>
        <w:jc w:val="both"/>
        <w:outlineLvl w:val="9"/>
        <w:rPr>
          <w:rFonts w:ascii="宋体" w:hAnsi="宋体" w:hint="eastAsia"/>
          <w:b w:val="0"/>
          <w:color w:val="auto"/>
          <w:szCs w:val="21"/>
          <w:highlight w:val="none"/>
        </w:rPr>
      </w:pPr>
      <w:r>
        <w:rPr>
          <w:rFonts w:ascii="宋体" w:hAnsi="宋体" w:hint="eastAsia"/>
          <w:b w:val="0"/>
          <w:color w:val="auto"/>
          <w:sz w:val="21"/>
          <w:szCs w:val="21"/>
          <w:highlight w:val="none"/>
        </w:rPr>
        <w:t>2.中标人需提供详细售后服务方案，包括设备售后服务组织机构、人员组成、技术支持文档等。其中，售后服务组织机构设置合理，人员技术能力强，技术文档内容全面。</w:t>
      </w:r>
    </w:p>
    <w:p>
      <w:pPr>
        <w:widowControl/>
        <w:numPr>
          <w:ilvl w:val="0"/>
          <w:numId w:val="0"/>
        </w:numPr>
        <w:spacing w:line="360" w:lineRule="auto"/>
        <w:ind w:firstLine="420" w:firstLineChars="200"/>
        <w:jc w:val="left"/>
        <w:outlineLvl w:val="9"/>
        <w:rPr>
          <w:rFonts w:ascii="宋体" w:hAnsi="宋体" w:hint="eastAsia"/>
          <w:color w:val="auto"/>
          <w:szCs w:val="21"/>
          <w:highlight w:val="none"/>
        </w:rPr>
      </w:pPr>
      <w:r>
        <w:rPr>
          <w:rFonts w:ascii="宋体" w:hAnsi="宋体" w:hint="eastAsia"/>
          <w:b w:val="0"/>
          <w:color w:val="auto"/>
          <w:sz w:val="21"/>
          <w:szCs w:val="21"/>
          <w:highlight w:val="none"/>
        </w:rPr>
        <w:t>3.中标人需提供详细培训方案，包括设备使用、日常维护、观测原理及产品应用等理论培训及现场培训</w:t>
      </w:r>
      <w:r>
        <w:rPr>
          <w:rFonts w:ascii="宋体" w:hAnsi="宋体" w:hint="eastAsia"/>
          <w:b w:val="0"/>
          <w:color w:val="auto"/>
          <w:sz w:val="21"/>
          <w:szCs w:val="21"/>
          <w:highlight w:val="none"/>
          <w:lang w:val="en-US" w:eastAsia="zh-CN"/>
        </w:rPr>
        <w:t>至少2次</w:t>
      </w:r>
      <w:r>
        <w:rPr>
          <w:rFonts w:ascii="宋体" w:hAnsi="宋体" w:hint="eastAsia"/>
          <w:b w:val="0"/>
          <w:color w:val="auto"/>
          <w:sz w:val="21"/>
          <w:szCs w:val="21"/>
          <w:highlight w:val="none"/>
        </w:rPr>
        <w:t>，</w:t>
      </w:r>
      <w:r>
        <w:rPr>
          <w:rFonts w:ascii="宋体" w:hAnsi="宋体" w:hint="eastAsia"/>
          <w:color w:val="auto"/>
          <w:szCs w:val="21"/>
          <w:highlight w:val="none"/>
        </w:rPr>
        <w:t>培训讲师具有中级以上职称或从事该设备技术工作至少2年；</w:t>
      </w:r>
      <w:r>
        <w:rPr>
          <w:rFonts w:ascii="宋体" w:hAnsi="宋体" w:hint="eastAsia"/>
          <w:b w:val="0"/>
          <w:color w:val="auto"/>
          <w:sz w:val="21"/>
          <w:szCs w:val="21"/>
          <w:highlight w:val="none"/>
        </w:rPr>
        <w:t>培训时间及地点双方协商确定</w:t>
      </w:r>
      <w:r>
        <w:rPr>
          <w:rFonts w:ascii="宋体" w:hAnsi="宋体" w:hint="eastAsia"/>
          <w:b w:val="0"/>
          <w:color w:val="auto"/>
          <w:sz w:val="21"/>
          <w:szCs w:val="21"/>
          <w:highlight w:val="none"/>
          <w:lang w:eastAsia="zh-CN"/>
        </w:rPr>
        <w:t>，</w:t>
      </w:r>
      <w:r>
        <w:rPr>
          <w:rFonts w:ascii="宋体" w:hAnsi="宋体" w:hint="eastAsia"/>
          <w:color w:val="auto"/>
          <w:szCs w:val="21"/>
          <w:highlight w:val="none"/>
        </w:rPr>
        <w:t>确保使用方参训人员熟练掌握设备操作、日常维护及业务应用技能。</w:t>
      </w:r>
    </w:p>
    <w:p>
      <w:pPr>
        <w:widowControl w:val="0"/>
        <w:spacing w:line="360" w:lineRule="auto"/>
        <w:ind w:firstLine="420" w:firstLineChars="200"/>
        <w:jc w:val="both"/>
        <w:outlineLvl w:val="9"/>
        <w:rPr>
          <w:rFonts w:ascii="宋体" w:hAnsi="宋体" w:hint="eastAsia"/>
          <w:b w:val="0"/>
          <w:color w:val="auto"/>
          <w:szCs w:val="21"/>
          <w:highlight w:val="none"/>
        </w:rPr>
      </w:pPr>
      <w:r>
        <w:rPr>
          <w:rFonts w:ascii="宋体" w:eastAsia="宋体" w:hAnsi="宋体" w:cs="Times New Roman" w:hint="eastAsia"/>
          <w:b w:val="0"/>
          <w:color w:val="auto"/>
          <w:sz w:val="21"/>
          <w:szCs w:val="21"/>
          <w:highlight w:val="none"/>
          <w:lang w:val="en-US" w:eastAsia="zh-CN"/>
        </w:rPr>
        <w:t>4.采购人</w:t>
      </w:r>
      <w:r>
        <w:rPr>
          <w:rFonts w:ascii="宋体" w:eastAsia="宋体" w:hAnsi="宋体" w:cs="Times New Roman" w:hint="eastAsia"/>
          <w:b w:val="0"/>
          <w:color w:val="auto"/>
          <w:sz w:val="21"/>
          <w:szCs w:val="21"/>
          <w:highlight w:val="none"/>
        </w:rPr>
        <w:t>有重大活动或应急保障时，可要求中标人提供现场保障服务。</w:t>
      </w:r>
    </w:p>
    <w:p>
      <w:pPr>
        <w:widowControl w:val="0"/>
        <w:spacing w:line="360" w:lineRule="auto"/>
        <w:ind w:firstLine="420" w:firstLineChars="200"/>
        <w:jc w:val="both"/>
        <w:outlineLvl w:val="9"/>
        <w:rPr>
          <w:rFonts w:ascii="宋体" w:eastAsia="宋体" w:hAnsi="宋体" w:hint="default"/>
          <w:b w:val="0"/>
          <w:color w:val="auto"/>
          <w:szCs w:val="21"/>
          <w:highlight w:val="none"/>
        </w:rPr>
      </w:pPr>
      <w:r>
        <w:rPr>
          <w:rFonts w:ascii="宋体" w:hAnsi="宋体" w:hint="eastAsia"/>
          <w:b w:val="0"/>
          <w:color w:val="auto"/>
          <w:sz w:val="21"/>
          <w:szCs w:val="21"/>
          <w:highlight w:val="none"/>
          <w:lang w:eastAsia="zh-CN"/>
        </w:rPr>
        <w:t>（</w:t>
      </w:r>
      <w:r>
        <w:rPr>
          <w:rFonts w:ascii="宋体" w:hAnsi="宋体" w:hint="eastAsia"/>
          <w:b w:val="0"/>
          <w:color w:val="auto"/>
          <w:sz w:val="21"/>
          <w:szCs w:val="21"/>
          <w:highlight w:val="none"/>
          <w:lang w:val="en-US" w:eastAsia="zh-CN"/>
        </w:rPr>
        <w:t>二</w:t>
      </w:r>
      <w:r>
        <w:rPr>
          <w:rFonts w:ascii="宋体" w:hAnsi="宋体" w:hint="eastAsia"/>
          <w:b w:val="0"/>
          <w:color w:val="auto"/>
          <w:sz w:val="21"/>
          <w:szCs w:val="21"/>
          <w:highlight w:val="none"/>
          <w:lang w:eastAsia="zh-CN"/>
        </w:rPr>
        <w:t>）</w:t>
      </w:r>
      <w:r>
        <w:rPr>
          <w:rFonts w:ascii="宋体" w:hAnsi="宋体" w:hint="eastAsia"/>
          <w:b w:val="0"/>
          <w:color w:val="auto"/>
          <w:sz w:val="21"/>
          <w:szCs w:val="21"/>
          <w:highlight w:val="none"/>
          <w:lang w:val="en-US" w:eastAsia="zh-CN"/>
        </w:rPr>
        <w:t>质保期服务</w:t>
      </w:r>
    </w:p>
    <w:p>
      <w:pPr>
        <w:widowControl w:val="0"/>
        <w:spacing w:line="360" w:lineRule="auto"/>
        <w:ind w:firstLine="420" w:firstLineChars="200"/>
        <w:jc w:val="both"/>
        <w:outlineLvl w:val="9"/>
        <w:rPr>
          <w:rFonts w:ascii="宋体" w:hAnsi="宋体" w:hint="eastAsia"/>
          <w:b w:val="0"/>
          <w:color w:val="auto"/>
          <w:szCs w:val="21"/>
          <w:highlight w:val="none"/>
        </w:rPr>
      </w:pPr>
      <w:r>
        <w:rPr>
          <w:rFonts w:ascii="宋体" w:hAnsi="宋体" w:hint="eastAsia"/>
          <w:b w:val="0"/>
          <w:color w:val="auto"/>
          <w:sz w:val="21"/>
          <w:szCs w:val="21"/>
          <w:highlight w:val="none"/>
          <w:lang w:val="en-US" w:eastAsia="zh-CN"/>
        </w:rPr>
        <w:t>1</w:t>
      </w:r>
      <w:r>
        <w:rPr>
          <w:rFonts w:ascii="宋体" w:hAnsi="宋体" w:hint="eastAsia"/>
          <w:b w:val="0"/>
          <w:color w:val="auto"/>
          <w:sz w:val="21"/>
          <w:szCs w:val="21"/>
          <w:highlight w:val="none"/>
        </w:rPr>
        <w:t>.中标人提供自用户验收合格后8年的免费质保期</w:t>
      </w:r>
      <w:r>
        <w:rPr>
          <w:rFonts w:ascii="宋体" w:hAnsi="宋体" w:hint="eastAsia"/>
          <w:b w:val="0"/>
          <w:color w:val="auto"/>
          <w:sz w:val="21"/>
          <w:szCs w:val="21"/>
          <w:highlight w:val="none"/>
          <w:lang w:val="en-US" w:eastAsia="zh-CN"/>
        </w:rPr>
        <w:t>服务（提供相关承诺函）*</w:t>
      </w:r>
      <w:r>
        <w:rPr>
          <w:rFonts w:ascii="宋体" w:hAnsi="宋体" w:hint="eastAsia"/>
          <w:b w:val="0"/>
          <w:color w:val="auto"/>
          <w:sz w:val="21"/>
          <w:szCs w:val="21"/>
          <w:highlight w:val="none"/>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widowControl/>
        <w:snapToGrid w:val="0"/>
        <w:spacing w:line="360" w:lineRule="auto"/>
        <w:ind w:firstLine="420" w:firstLineChars="200"/>
        <w:jc w:val="left"/>
        <w:outlineLvl w:val="9"/>
        <w:rPr>
          <w:rFonts w:ascii="宋体" w:eastAsia="宋体" w:hAnsi="宋体" w:cs="Times New Roman" w:hint="eastAsia"/>
          <w:color w:val="auto"/>
          <w:szCs w:val="21"/>
          <w:highlight w:val="none"/>
        </w:rPr>
      </w:pPr>
      <w:r>
        <w:rPr>
          <w:rFonts w:ascii="宋体" w:hAnsi="宋体" w:hint="eastAsia"/>
          <w:b w:val="0"/>
          <w:color w:val="auto"/>
          <w:sz w:val="21"/>
          <w:szCs w:val="21"/>
          <w:highlight w:val="none"/>
          <w:lang w:val="en-US" w:eastAsia="zh-CN"/>
        </w:rPr>
        <w:t>2.</w:t>
      </w:r>
      <w:r>
        <w:rPr>
          <w:rFonts w:ascii="宋体" w:hAnsi="宋体" w:hint="eastAsia"/>
          <w:b w:val="0"/>
          <w:color w:val="auto"/>
          <w:sz w:val="21"/>
          <w:szCs w:val="21"/>
          <w:highlight w:val="none"/>
        </w:rPr>
        <w:t>中标人应对投标产品提供</w:t>
      </w:r>
      <w:r>
        <w:rPr>
          <w:rFonts w:ascii="宋体" w:hAnsi="宋体" w:hint="eastAsia"/>
          <w:b w:val="0"/>
          <w:color w:val="auto"/>
          <w:sz w:val="21"/>
          <w:szCs w:val="21"/>
          <w:highlight w:val="none"/>
          <w:lang w:val="en-US" w:eastAsia="zh-CN"/>
        </w:rPr>
        <w:t>巡检和定标服务，主要包括</w:t>
      </w:r>
      <w:r>
        <w:rPr>
          <w:rFonts w:ascii="宋体" w:eastAsia="宋体" w:hAnsi="宋体" w:cs="Times New Roman" w:hint="eastAsia"/>
          <w:color w:val="auto"/>
          <w:sz w:val="21"/>
          <w:szCs w:val="21"/>
          <w:highlight w:val="none"/>
        </w:rPr>
        <w:t>日巡查、周维护、月维护及标校、汛前巡检及标校、年维护及标校</w:t>
      </w:r>
      <w:r>
        <w:rPr>
          <w:rFonts w:ascii="宋体" w:eastAsia="宋体" w:hAnsi="宋体" w:cs="Times New Roman" w:hint="eastAsia"/>
          <w:color w:val="auto"/>
          <w:sz w:val="21"/>
          <w:szCs w:val="21"/>
          <w:highlight w:val="none"/>
          <w:lang w:eastAsia="zh-CN"/>
        </w:rPr>
        <w:t>（</w:t>
      </w:r>
      <w:r>
        <w:rPr>
          <w:rFonts w:ascii="宋体" w:eastAsia="宋体" w:hAnsi="宋体" w:cs="Times New Roman" w:hint="eastAsia"/>
          <w:color w:val="auto"/>
          <w:sz w:val="21"/>
          <w:szCs w:val="21"/>
          <w:highlight w:val="none"/>
          <w:lang w:val="en-US" w:eastAsia="zh-CN"/>
        </w:rPr>
        <w:t>标定</w:t>
      </w:r>
      <w:r>
        <w:rPr>
          <w:rFonts w:ascii="宋体" w:eastAsia="宋体" w:hAnsi="宋体" w:cs="Times New Roman" w:hint="eastAsia"/>
          <w:color w:val="auto"/>
          <w:sz w:val="21"/>
          <w:szCs w:val="21"/>
          <w:highlight w:val="none"/>
          <w:lang w:eastAsia="zh-CN"/>
        </w:rPr>
        <w:t>）</w:t>
      </w:r>
      <w:r>
        <w:rPr>
          <w:rFonts w:ascii="宋体" w:eastAsia="宋体" w:hAnsi="宋体" w:cs="Times New Roman" w:hint="eastAsia"/>
          <w:color w:val="auto"/>
          <w:sz w:val="21"/>
          <w:szCs w:val="21"/>
          <w:highlight w:val="none"/>
        </w:rPr>
        <w:t>、消防设备检测等现场巡检巡查工作</w:t>
      </w:r>
      <w:r>
        <w:rPr>
          <w:rFonts w:ascii="宋体" w:eastAsia="宋体" w:hAnsi="宋体" w:cs="Times New Roman" w:hint="eastAsia"/>
          <w:color w:val="auto"/>
          <w:sz w:val="21"/>
          <w:szCs w:val="21"/>
          <w:highlight w:val="none"/>
          <w:lang w:eastAsia="zh-CN"/>
        </w:rPr>
        <w:t>。</w:t>
      </w:r>
    </w:p>
    <w:p>
      <w:pPr>
        <w:widowControl w:val="0"/>
        <w:spacing w:line="360" w:lineRule="auto"/>
        <w:ind w:firstLine="420" w:firstLineChars="200"/>
        <w:jc w:val="both"/>
        <w:outlineLvl w:val="9"/>
        <w:rPr>
          <w:rFonts w:ascii="宋体" w:hAnsi="宋体" w:hint="eastAsia"/>
          <w:b w:val="0"/>
          <w:color w:val="auto"/>
          <w:szCs w:val="21"/>
          <w:highlight w:val="none"/>
        </w:rPr>
      </w:pPr>
      <w:r>
        <w:rPr>
          <w:rFonts w:ascii="宋体" w:hAnsi="宋体" w:hint="eastAsia"/>
          <w:b w:val="0"/>
          <w:color w:val="auto"/>
          <w:sz w:val="21"/>
          <w:szCs w:val="21"/>
          <w:highlight w:val="none"/>
          <w:lang w:val="en-US" w:eastAsia="zh-CN"/>
        </w:rPr>
        <w:t>3</w:t>
      </w:r>
      <w:r>
        <w:rPr>
          <w:rFonts w:ascii="宋体" w:hAnsi="宋体" w:hint="eastAsia"/>
          <w:b w:val="0"/>
          <w:color w:val="auto"/>
          <w:sz w:val="21"/>
          <w:szCs w:val="21"/>
          <w:highlight w:val="none"/>
        </w:rPr>
        <w:t>.在质保期内，中标人服务时间应为7</w:t>
      </w:r>
      <w:r>
        <w:rPr>
          <w:color w:val="auto"/>
          <w:highlight w:val="none"/>
        </w:rPr>
        <w:t>×</w:t>
      </w:r>
      <w:r>
        <w:rPr>
          <w:rFonts w:ascii="宋体" w:hAnsi="宋体" w:hint="eastAsia"/>
          <w:b w:val="0"/>
          <w:color w:val="auto"/>
          <w:sz w:val="21"/>
          <w:szCs w:val="21"/>
          <w:highlight w:val="none"/>
        </w:rPr>
        <w:t>24小时，在接报后1小时内响应，给予远程技术支持</w:t>
      </w:r>
      <w:r>
        <w:rPr>
          <w:rFonts w:ascii="宋体" w:hAnsi="宋体" w:hint="eastAsia"/>
          <w:color w:val="auto"/>
          <w:szCs w:val="21"/>
          <w:highlight w:val="none"/>
        </w:rPr>
        <w:t>；</w:t>
      </w:r>
      <w:r>
        <w:rPr>
          <w:rFonts w:ascii="宋体" w:hAnsi="宋体" w:hint="eastAsia"/>
          <w:b w:val="0"/>
          <w:color w:val="auto"/>
          <w:sz w:val="21"/>
          <w:szCs w:val="21"/>
          <w:highlight w:val="none"/>
        </w:rPr>
        <w:t>需现场处理的，观测期12小时内到达现场，48小时完成故障修复</w:t>
      </w:r>
      <w:r>
        <w:rPr>
          <w:rFonts w:ascii="宋体" w:hAnsi="宋体" w:hint="eastAsia"/>
          <w:color w:val="auto"/>
          <w:szCs w:val="21"/>
          <w:highlight w:val="none"/>
        </w:rPr>
        <w:t>；</w:t>
      </w:r>
      <w:r>
        <w:rPr>
          <w:rFonts w:ascii="宋体" w:hAnsi="宋体" w:hint="eastAsia"/>
          <w:b w:val="0"/>
          <w:color w:val="auto"/>
          <w:sz w:val="21"/>
          <w:szCs w:val="21"/>
          <w:highlight w:val="none"/>
        </w:rPr>
        <w:t>非观测期24小时内到达现场，72小时完成故障修复，确保设备正常投入业务运行。如在检修时间后仍无法排除故障，则</w:t>
      </w:r>
      <w:r>
        <w:rPr>
          <w:rFonts w:ascii="宋体" w:hAnsi="宋体" w:hint="eastAsia"/>
          <w:b w:val="0"/>
          <w:color w:val="auto"/>
          <w:sz w:val="21"/>
          <w:szCs w:val="21"/>
          <w:highlight w:val="none"/>
          <w:lang w:val="en-US" w:eastAsia="zh-CN"/>
        </w:rPr>
        <w:t>中标方</w:t>
      </w:r>
      <w:r>
        <w:rPr>
          <w:rFonts w:ascii="宋体" w:hAnsi="宋体" w:hint="eastAsia"/>
          <w:b w:val="0"/>
          <w:color w:val="auto"/>
          <w:sz w:val="21"/>
          <w:szCs w:val="21"/>
          <w:highlight w:val="none"/>
        </w:rPr>
        <w:t>应在24小时内提供不低于故障设备规格、型号、性能的备用设备供甲方使用，直至故障设备修复或更换。由此产生的一切费用均由中标人承担。</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default"/>
          <w:color w:val="auto"/>
          <w:szCs w:val="21"/>
          <w:highlight w:val="none"/>
        </w:rPr>
      </w:pPr>
      <w:r>
        <w:rPr>
          <w:rFonts w:ascii="宋体" w:hAnsi="宋体" w:hint="eastAsia"/>
          <w:b w:val="0"/>
          <w:color w:val="auto"/>
          <w:sz w:val="21"/>
          <w:szCs w:val="21"/>
          <w:highlight w:val="none"/>
          <w:lang w:val="en-US" w:eastAsia="zh-CN"/>
        </w:rPr>
        <w:t>4.提供投标产品软件免费升级服务，</w:t>
      </w:r>
      <w:r>
        <w:rPr>
          <w:rFonts w:ascii="宋体" w:eastAsia="宋体" w:hAnsi="宋体" w:cs="Times New Roman" w:hint="eastAsia"/>
          <w:color w:val="auto"/>
          <w:szCs w:val="21"/>
          <w:highlight w:val="none"/>
          <w:lang w:val="en-US" w:eastAsia="zh-CN"/>
        </w:rPr>
        <w:t>所提供观测设备</w:t>
      </w:r>
      <w:r>
        <w:rPr>
          <w:rFonts w:ascii="宋体" w:eastAsia="宋体" w:hAnsi="宋体" w:cs="Times New Roman" w:hint="eastAsia"/>
          <w:color w:val="auto"/>
          <w:sz w:val="21"/>
          <w:szCs w:val="21"/>
          <w:highlight w:val="none"/>
        </w:rPr>
        <w:t>观测数据能接入采购人现有气象数据平台</w:t>
      </w:r>
      <w:r>
        <w:rPr>
          <w:rFonts w:ascii="宋体" w:eastAsia="宋体" w:hAnsi="宋体" w:cs="Times New Roman" w:hint="eastAsia"/>
          <w:color w:val="auto"/>
          <w:sz w:val="21"/>
          <w:szCs w:val="21"/>
          <w:highlight w:val="none"/>
          <w:lang w:eastAsia="zh-CN"/>
        </w:rPr>
        <w:t>。</w:t>
      </w:r>
    </w:p>
    <w:p>
      <w:pPr>
        <w:spacing w:line="360" w:lineRule="auto"/>
        <w:ind w:firstLine="420" w:firstLineChars="200"/>
        <w:rPr>
          <w:rFonts w:ascii="宋体" w:hAnsi="宋体" w:hint="eastAsia"/>
          <w:b w:val="0"/>
          <w:color w:val="auto"/>
          <w:szCs w:val="21"/>
          <w:highlight w:val="none"/>
        </w:rPr>
      </w:pPr>
      <w:r>
        <w:rPr>
          <w:rFonts w:ascii="宋体" w:eastAsia="宋体" w:hAnsi="宋体" w:hint="eastAsia"/>
          <w:b w:val="0"/>
          <w:color w:val="auto"/>
          <w:sz w:val="21"/>
          <w:szCs w:val="21"/>
          <w:highlight w:val="none"/>
          <w:lang w:val="en-US" w:eastAsia="zh-CN"/>
        </w:rPr>
        <w:t>5</w:t>
      </w:r>
      <w:r>
        <w:rPr>
          <w:rFonts w:ascii="宋体" w:eastAsia="宋体" w:hAnsi="宋体" w:cs="Times New Roman" w:hint="eastAsia"/>
          <w:b w:val="0"/>
          <w:color w:val="auto"/>
          <w:sz w:val="21"/>
          <w:szCs w:val="21"/>
          <w:highlight w:val="none"/>
          <w:lang w:val="en-US" w:eastAsia="zh-CN"/>
        </w:rPr>
        <w:t>.</w:t>
      </w:r>
      <w:r>
        <w:rPr>
          <w:rFonts w:ascii="宋体" w:hAnsi="宋体" w:hint="eastAsia"/>
          <w:b w:val="0"/>
          <w:color w:val="auto"/>
          <w:sz w:val="21"/>
          <w:szCs w:val="21"/>
          <w:highlight w:val="none"/>
        </w:rPr>
        <w:t>质保期过后，中标人仍有义务提供技术服务(包括提供设备维护、备件等)。</w:t>
      </w:r>
    </w:p>
    <w:p>
      <w:pPr>
        <w:spacing w:line="360" w:lineRule="auto"/>
        <w:rPr>
          <w:rFonts w:ascii="宋体" w:hAnsi="宋体" w:hint="eastAsia"/>
          <w:b w:val="0"/>
          <w:color w:val="auto"/>
          <w:szCs w:val="21"/>
          <w:highlight w:val="none"/>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877"/>
        <w:gridCol w:w="734"/>
        <w:gridCol w:w="1020"/>
        <w:gridCol w:w="1164"/>
        <w:gridCol w:w="3885"/>
        <w:gridCol w:w="43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1,350,000.00</w:t>
            </w:r>
          </w:p>
        </w:tc>
        <w:tc>
          <w:tcPr/>
          <w:p>
            <w:pPr>
              <w:autoSpaceDE w:val="0"/>
              <w:jc w:val="center"/>
              <w:rPr>
                <w:rFonts w:asciiTheme="minorEastAsia" w:hAnsiTheme="minorEastAsia" w:cstheme="minorEastAsia" w:hint="eastAsia"/>
                <w:kern w:val="0"/>
                <w:szCs w:val="21"/>
              </w:rPr>
            </w:pPr>
            <w:r>
              <w:t>合同签订后90天内完成供货、安装调试并具备现场测试条件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69"/>
        <w:gridCol w:w="2207"/>
        <w:gridCol w:w="1115"/>
        <w:gridCol w:w="569"/>
        <w:gridCol w:w="1297"/>
        <w:gridCol w:w="1081"/>
        <w:gridCol w:w="1115"/>
        <w:gridCol w:w="5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内蒙古区气象局(001035)</w:t>
            </w:r>
          </w:p>
        </w:tc>
        <w:tc>
          <w:tcPr/>
          <w:p>
            <w:r>
              <w:t>微波辐射计</w:t>
            </w:r>
          </w:p>
        </w:tc>
        <w:tc>
          <w:tcPr/>
          <w:p>
            <w:r>
              <w:t>1</w:t>
            </w:r>
          </w:p>
        </w:tc>
        <w:tc>
          <w:tcPr/>
          <w:p>
            <w:r>
              <w:t>1350000.00</w:t>
            </w:r>
          </w:p>
        </w:tc>
        <w:tc>
          <w:tcPr/>
          <w:p>
            <w:r>
              <w:t xml:space="preserve">1350000.00  </w:t>
            </w:r>
          </w:p>
        </w:tc>
        <w:tc>
          <w:tcPr/>
          <w:p>
            <w:r>
              <w:t>呼和浩特市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w:t>
            </w:r>
            <w:bookmarkStart w:id="69" w:name="许可证_exclusiveLicenseFlagText_0"/>
            <w:r>
              <w:rPr>
                <w:rFonts w:asciiTheme="minorEastAsia" w:eastAsiaTheme="minorEastAsia" w:hAnsiTheme="minorEastAsia" w:cstheme="minorEastAsia" w:hint="eastAsia"/>
                <w:kern w:val="0"/>
                <w:szCs w:val="21"/>
                <w:highlight w:val="none"/>
              </w:rPr>
              <w:t>提供地基微波辐射计</w:t>
            </w:r>
            <w:r>
              <w:rPr>
                <w:rFonts w:asciiTheme="minorEastAsia" w:eastAsiaTheme="minorEastAsia" w:hAnsiTheme="minorEastAsia" w:cstheme="minorEastAsia" w:hint="eastAsia"/>
                <w:kern w:val="0"/>
                <w:szCs w:val="21"/>
                <w:highlight w:val="none"/>
                <w:lang w:val="en-US" w:eastAsia="zh-CN"/>
              </w:rPr>
              <w:t>的</w:t>
            </w:r>
            <w:r>
              <w:rPr>
                <w:rFonts w:asciiTheme="minorEastAsia" w:eastAsiaTheme="minorEastAsia" w:hAnsiTheme="minorEastAsia" w:cstheme="minorEastAsia" w:hint="eastAsia"/>
                <w:kern w:val="0"/>
                <w:szCs w:val="21"/>
                <w:highlight w:val="none"/>
              </w:rPr>
              <w:t>《气象专用技术装备使用许可证》</w:t>
            </w:r>
            <w:bookmarkEnd w:id="69"/>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val="en-US" w:eastAsia="zh-CN"/>
              </w:rPr>
              <w:t>五（二）</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b w:val="0"/>
                <w:color w:val="auto"/>
                <w:sz w:val="21"/>
                <w:szCs w:val="21"/>
                <w:highlight w:val="none"/>
                <w:lang w:val="en-US" w:eastAsia="zh-CN"/>
              </w:rPr>
              <w:t>提供自验收合格后</w:t>
            </w:r>
            <w:r>
              <w:rPr>
                <w:rFonts w:ascii="宋体" w:hAnsi="宋体" w:hint="eastAsia"/>
                <w:b w:val="0"/>
                <w:color w:val="auto"/>
                <w:sz w:val="21"/>
                <w:szCs w:val="21"/>
                <w:highlight w:val="none"/>
              </w:rPr>
              <w:t>8年免费质保期</w:t>
            </w:r>
            <w:r>
              <w:rPr>
                <w:rFonts w:ascii="宋体" w:hAnsi="宋体" w:hint="eastAsia"/>
                <w:b w:val="0"/>
                <w:color w:val="auto"/>
                <w:sz w:val="21"/>
                <w:szCs w:val="21"/>
                <w:highlight w:val="none"/>
                <w:lang w:val="en-US" w:eastAsia="zh-CN"/>
              </w:rPr>
              <w:t>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5 %的银行履约保函，设备验收合格一年后，甲方将银行履约保函退还乙方。</w:t>
      </w:r>
    </w:p>
    <w:p>
      <w:pPr>
        <w:adjustRightInd/>
        <w:snapToGrid/>
        <w:spacing w:line="360" w:lineRule="auto"/>
        <w:ind w:firstLine="420" w:firstLineChars="200"/>
        <w:rPr>
          <w:rFonts w:ascii="宋体" w:hAnsi="宋体"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p>
    <w:p>
      <w:pPr>
        <w:adjustRightInd/>
        <w:snapToGrid/>
        <w:spacing w:line="360" w:lineRule="auto"/>
        <w:rPr>
          <w:rFonts w:ascii="宋体" w:eastAsia="宋体" w:hAnsi="宋体" w:cs="Times New Roman" w:hint="eastAsia"/>
          <w:szCs w:val="21"/>
          <w:highlight w:val="none"/>
        </w:rPr>
      </w:pP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decorative"/>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12C43B"/>
    <w:multiLevelType w:val="singleLevel"/>
    <w:tmpl w:val="AA12C43B"/>
    <w:lvl w:ilvl="0">
      <w:start w:val="5"/>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pPr>
      <w:jc w:val="center"/>
    </w:pPr>
    <w:rPr>
      <w:rFonts w:ascii="Arial" w:eastAsia="黑体" w:hAnsi="Arial" w:cs="Arial"/>
      <w:sz w:val="20"/>
      <w:szCs w:val="22"/>
    </w:rPr>
  </w:style>
  <w:style w:type="paragraph" w:styleId="NormalIndent">
    <w:name w:val="Normal Indent"/>
    <w:basedOn w:val="Normal"/>
    <w:qFormat/>
    <w:pPr>
      <w:ind w:firstLine="420"/>
    </w:pPr>
    <w:rPr>
      <w:rFonts w:asciiTheme="minorHAnsi" w:eastAsiaTheme="minorEastAsia" w:hAnsiTheme="minorHAnsi" w:cstheme="minorBidi"/>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