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福建省智慧气象保障工程2025年综合观测站网更新改造项目臭氧激光雷达采购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福建省智慧气象保障工程2025年综合观测站网更新改造项目臭氧激光雷达采购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合同签订后90天内交货，30天内完成安装调试并具备验收条件，其他详见采购需求。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2025年11月24日 00:00:00</w:t>
      </w:r>
      <w:bookmarkEnd w:id="26"/>
      <w:r>
        <w:rPr>
          <w:rFonts w:ascii="宋体" w:hint="eastAsia"/>
          <w:szCs w:val="21"/>
          <w:highlight w:val="none"/>
        </w:rPr>
        <w:t>至</w:t>
      </w:r>
      <w:bookmarkStart w:id="27" w:name="项目公告_signUpLastTime"/>
      <w:r>
        <w:rPr>
          <w:rFonts w:ascii="宋体" w:hint="eastAsia"/>
          <w:szCs w:val="21"/>
          <w:highlight w:val="none"/>
        </w:rPr>
        <w:t>2025年12月02日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余安安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0591-83327971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福建省福州市</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不允许（仅针对以下产品：1、臭氧激光雷达不允许代理商投标）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（1）标的：臭氧激光雷达，属于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296.000000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296.000000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1、投标人具有 ISO9000系列或GJB9001B质量管理体系认证，</w:t>
              <w:cr/>
              <w:t>2、投标人具有ISO14001环境认证证书，</w:t>
              <w:cr/>
              <w:t>以上同时具备得1分，否则不得分。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销售合同必须包括臭氧激光雷达，每提供1份合同得1分，最多得5分。否则不得分。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针对本项目采购的臭氧激光雷达，承诺每提前15天交货的得1分，最多得2分。否则不得分。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针对臭氧激光雷达设备，每提供 1份用户证明材料得0.5 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1、投标人为本项目拟派的售后服务团队中项目经理应具有3年以上相关工作经验的得2分； </w:t>
              <w:cr/>
              <w:t>2、为本项目派出的技术人员（除项目经理外）至少1人具有2年及以上相关工作经验的得1分，具有1年及以上2年以下相关工作经验的得0.5分；不满足或未提供证明材料的不得分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(42)</w:t>
            </w:r>
          </w:p>
        </w:tc>
        <w:tc>
          <w:tcPr/>
          <w:p>
            <w:r>
              <w:t>评审标准：</w:t>
            </w:r>
          </w:p>
          <w:p>
            <w:r>
              <w:t>标注#的重要指标共14项，每满足1项（如有多个下级指标，则每个下级指标均应满足）得3分，满分42分。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(1.5)</w:t>
            </w:r>
          </w:p>
        </w:tc>
        <w:tc>
          <w:tcPr/>
          <w:p>
            <w:r>
              <w:t>评审标准：</w:t>
            </w:r>
          </w:p>
          <w:p>
            <w:r>
              <w:t>针对臭氧激光雷达设备，测试报告应包含温度适应性、湿度适应性、绝缘性能等内容，每包含一项得0.5分，最多得1.5分。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投标产品的先进性（客观分）</w:t>
            </w:r>
          </w:p>
        </w:tc>
        <w:tc>
          <w:tcPr/>
          <w:p>
            <w:r>
              <w:t>勾选打分</w:t>
            </w:r>
            <w:r>
              <w:t>(1.5)</w:t>
            </w:r>
          </w:p>
        </w:tc>
        <w:tc>
          <w:tcPr/>
          <w:p>
            <w:r>
              <w:t>评审标准：</w:t>
            </w:r>
          </w:p>
          <w:p>
            <w:r>
              <w:t>投标人具备与臭氧激光雷达相关的原始取得的专利。每提供1份臭氧激光雷达相关国家发明专利证书的得0.5分，最高得1.5分，不提供不得分。</w:t>
            </w:r>
          </w:p>
          <w:p>
            <w:r>
              <w:t>评审标准说明：</w:t>
            </w:r>
          </w:p>
          <w:p>
            <w:r>
              <w:t>需提供相关证书复印件，并加盖投标人公章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b/>
          <w:bCs/>
          <w:sz w:val="30"/>
          <w:szCs w:val="30"/>
        </w:rPr>
      </w:pPr>
      <w:r>
        <w:rPr>
          <w:bCs/>
          <w:szCs w:val="21"/>
          <w:highlight w:val="none"/>
        </w:rPr>
        <w:br w:type="page"/>
      </w:r>
      <w:bookmarkStart w:id="59" w:name="插入_采购需求书"/>
      <w:bookmarkStart w:id="60" w:name="插入_采购需求标题"/>
      <w:r>
        <w:rPr>
          <w:b/>
          <w:bCs/>
          <w:sz w:val="30"/>
          <w:szCs w:val="30"/>
        </w:rPr>
        <w:t>第七章  采购需求</w:t>
      </w:r>
      <w:bookmarkEnd w:id="60"/>
    </w:p>
    <w:p>
      <w:pPr>
        <w:spacing w:line="560" w:lineRule="exact"/>
        <w:ind w:firstLine="560" w:firstLineChars="200"/>
        <w:rPr>
          <w:rFonts w:ascii="仿宋" w:eastAsia="仿宋" w:hAnsi="仿宋" w:cs="仿宋"/>
          <w:sz w:val="28"/>
        </w:rPr>
      </w:pPr>
      <w:r>
        <w:rPr>
          <w:rFonts w:ascii="仿宋" w:eastAsia="仿宋" w:hAnsi="仿宋" w:cs="仿宋" w:hint="eastAsia"/>
          <w:sz w:val="28"/>
        </w:rPr>
        <w:t>一、项目概况及总体要求（详见采购需求-其他技术及商务需求）</w:t>
      </w:r>
    </w:p>
    <w:p>
      <w:pPr>
        <w:spacing w:line="560" w:lineRule="exact"/>
        <w:ind w:firstLine="560" w:firstLineChars="200"/>
        <w:rPr>
          <w:rFonts w:ascii="仿宋" w:eastAsia="仿宋" w:hAnsi="仿宋" w:cs="仿宋"/>
          <w:sz w:val="28"/>
        </w:rPr>
      </w:pPr>
      <w:r>
        <w:rPr>
          <w:rFonts w:ascii="仿宋" w:eastAsia="仿宋" w:hAnsi="仿宋" w:cs="仿宋" w:hint="eastAsia"/>
          <w:sz w:val="28"/>
        </w:rPr>
        <w:t>二、设备需求一览表（详见采购需求附表）</w:t>
      </w:r>
    </w:p>
    <w:p>
      <w:pPr>
        <w:spacing w:line="560" w:lineRule="exact"/>
        <w:ind w:firstLine="560" w:firstLineChars="200"/>
        <w:rPr>
          <w:rFonts w:ascii="仿宋" w:eastAsia="仿宋" w:hAnsi="仿宋" w:cs="仿宋"/>
          <w:sz w:val="28"/>
        </w:rPr>
      </w:pPr>
      <w:r>
        <w:rPr>
          <w:rFonts w:ascii="仿宋" w:eastAsia="仿宋" w:hAnsi="仿宋" w:cs="仿宋" w:hint="eastAsia"/>
          <w:sz w:val="28"/>
        </w:rPr>
        <w:t>三、技术性能指标</w:t>
      </w:r>
    </w:p>
    <w:p>
      <w:r>
        <w:rPr>
          <w:rFonts w:hint="eastAsia"/>
        </w:rPr>
        <w:t>3.1基本要求</w:t>
      </w:r>
    </w:p>
    <w:p>
      <w:pPr>
        <w:pStyle w:val="BodyTextFirstIndent2"/>
      </w:pPr>
      <w:r>
        <w:rPr>
          <w:rFonts w:hint="eastAsia"/>
        </w:rPr>
        <w:t>基于差分吸收原理，利用臭氧的吸收特性测量气体的浓度分布：激光雷达发射一对不同波长脉冲探测光，确定两个脉冲激光共同路径上臭氧的浓度，从而实现对臭氧时空分布的探测。</w:t>
      </w:r>
    </w:p>
    <w:p>
      <w:r>
        <w:rPr>
          <w:rFonts w:hint="eastAsia"/>
        </w:rPr>
        <w:t>3.2技术指标要求</w:t>
      </w:r>
    </w:p>
    <w:p>
      <w:r>
        <w:rPr>
          <w:rFonts w:hint="eastAsia"/>
        </w:rPr>
        <w:t>表3-1 臭氧激光雷达主要性能指标要求</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87"/>
        <w:gridCol w:w="3230"/>
        <w:gridCol w:w="408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53"/>
          <w:tblHeader/>
          <w:jc w:val="center"/>
        </w:trPr>
        <w:tc>
          <w:tcPr>
            <w:tcW w:w="937" w:type="pct"/>
            <w:tcBorders>
              <w:top w:val="single" w:sz="4" w:space="0" w:color="auto"/>
              <w:left w:val="single" w:sz="4" w:space="0" w:color="auto"/>
              <w:bottom w:val="single" w:sz="4" w:space="0" w:color="auto"/>
              <w:right w:val="single" w:sz="4" w:space="0" w:color="auto"/>
            </w:tcBorders>
            <w:noWrap/>
            <w:vAlign w:val="center"/>
          </w:tcPr>
          <w:p>
            <w:r>
              <w:t>系统名称</w:t>
            </w:r>
          </w:p>
        </w:tc>
        <w:tc>
          <w:tcPr>
            <w:tcW w:w="1794" w:type="pct"/>
            <w:tcBorders>
              <w:top w:val="single" w:sz="4" w:space="0" w:color="auto"/>
              <w:left w:val="single" w:sz="4" w:space="0" w:color="auto"/>
              <w:bottom w:val="single" w:sz="4" w:space="0" w:color="auto"/>
              <w:right w:val="single" w:sz="4" w:space="0" w:color="auto"/>
            </w:tcBorders>
            <w:noWrap/>
            <w:vAlign w:val="center"/>
          </w:tcPr>
          <w:p>
            <w:r>
              <w:t>指标</w:t>
            </w:r>
          </w:p>
        </w:tc>
        <w:tc>
          <w:tcPr>
            <w:tcW w:w="2269" w:type="pct"/>
            <w:tcBorders>
              <w:top w:val="single" w:sz="4" w:space="0" w:color="auto"/>
              <w:left w:val="single" w:sz="4" w:space="0" w:color="auto"/>
              <w:bottom w:val="single" w:sz="4" w:space="0" w:color="auto"/>
              <w:right w:val="single" w:sz="4" w:space="0" w:color="auto"/>
            </w:tcBorders>
          </w:tcPr>
          <w:p>
            <w:r>
              <w:t>指标要求</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val="restart"/>
            <w:tcBorders>
              <w:top w:val="single" w:sz="4" w:space="0" w:color="auto"/>
              <w:left w:val="single" w:sz="4" w:space="0" w:color="auto"/>
              <w:right w:val="single" w:sz="4" w:space="0" w:color="auto"/>
            </w:tcBorders>
            <w:noWrap/>
            <w:vAlign w:val="center"/>
          </w:tcPr>
          <w:p>
            <w:r>
              <w:t>总体指标</w:t>
            </w:r>
          </w:p>
        </w:tc>
        <w:tc>
          <w:tcPr>
            <w:tcW w:w="1794" w:type="pct"/>
            <w:tcBorders>
              <w:top w:val="single" w:sz="4" w:space="0" w:color="auto"/>
              <w:left w:val="single" w:sz="4" w:space="0" w:color="auto"/>
              <w:bottom w:val="single" w:sz="4" w:space="0" w:color="auto"/>
              <w:right w:val="single" w:sz="4" w:space="0" w:color="auto"/>
            </w:tcBorders>
            <w:noWrap/>
            <w:vAlign w:val="center"/>
          </w:tcPr>
          <w:p>
            <w:bookmarkStart w:id="61" w:name="_Hlk212917123"/>
            <w:r>
              <w:t>#</w:t>
            </w:r>
            <w:bookmarkEnd w:id="61"/>
            <w:r>
              <w:t>探测高度</w:t>
            </w:r>
          </w:p>
        </w:tc>
        <w:tc>
          <w:tcPr>
            <w:tcW w:w="2269" w:type="pct"/>
            <w:tcBorders>
              <w:top w:val="single" w:sz="4" w:space="0" w:color="auto"/>
              <w:left w:val="single" w:sz="4" w:space="0" w:color="auto"/>
              <w:bottom w:val="single" w:sz="4" w:space="0" w:color="auto"/>
              <w:right w:val="single" w:sz="4" w:space="0" w:color="auto"/>
            </w:tcBorders>
            <w:vAlign w:val="center"/>
          </w:tcPr>
          <w:p>
            <w:r>
              <w:t xml:space="preserve">≥5km </w:t>
            </w:r>
          </w:p>
        </w:tc>
      </w:tr>
      <w:tr>
        <w:tblPrEx>
          <w:tblW w:w="5000" w:type="pct"/>
          <w:jc w:val="center"/>
          <w:tblLayout w:type="fixed"/>
          <w:tblCellMar>
            <w:top w:w="0" w:type="dxa"/>
            <w:left w:w="108" w:type="dxa"/>
            <w:bottom w:w="0" w:type="dxa"/>
            <w:right w:w="108" w:type="dxa"/>
          </w:tblCellMar>
        </w:tblPrEx>
        <w:trPr>
          <w:trHeight w:val="140"/>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#时间分辨率</w:t>
            </w:r>
          </w:p>
        </w:tc>
        <w:tc>
          <w:tcPr>
            <w:tcW w:w="2269" w:type="pct"/>
            <w:tcBorders>
              <w:top w:val="single" w:sz="4" w:space="0" w:color="auto"/>
              <w:left w:val="single" w:sz="4" w:space="0" w:color="auto"/>
              <w:bottom w:val="single" w:sz="4" w:space="0" w:color="auto"/>
              <w:right w:val="single" w:sz="4" w:space="0" w:color="auto"/>
            </w:tcBorders>
            <w:vAlign w:val="center"/>
          </w:tcPr>
          <w:p>
            <w:r>
              <w:t>30s-30min，可调</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#空间分辨率</w:t>
            </w:r>
          </w:p>
        </w:tc>
        <w:tc>
          <w:tcPr>
            <w:tcW w:w="2269" w:type="pct"/>
            <w:tcBorders>
              <w:top w:val="single" w:sz="4" w:space="0" w:color="auto"/>
              <w:left w:val="single" w:sz="4" w:space="0" w:color="auto"/>
              <w:bottom w:val="single" w:sz="4" w:space="0" w:color="auto"/>
              <w:right w:val="single" w:sz="4" w:space="0" w:color="auto"/>
            </w:tcBorders>
            <w:vAlign w:val="center"/>
          </w:tcPr>
          <w:p>
            <w:r>
              <w:t>7.5～100m可选或可调</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bookmarkStart w:id="62" w:name="_Hlk212916363"/>
            <w:r>
              <w:t>#</w:t>
            </w:r>
            <w:bookmarkEnd w:id="62"/>
            <w:r>
              <w:t>臭氧探测精度</w:t>
            </w:r>
          </w:p>
        </w:tc>
        <w:tc>
          <w:tcPr>
            <w:tcW w:w="2269" w:type="pct"/>
            <w:tcBorders>
              <w:top w:val="single" w:sz="4" w:space="0" w:color="auto"/>
              <w:left w:val="single" w:sz="4" w:space="0" w:color="auto"/>
              <w:bottom w:val="single" w:sz="4" w:space="0" w:color="auto"/>
              <w:right w:val="single" w:sz="4" w:space="0" w:color="auto"/>
            </w:tcBorders>
            <w:vAlign w:val="center"/>
          </w:tcPr>
          <w:p>
            <w:r>
              <w:t>≤0.5ppbv</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#探测盲区</w:t>
            </w:r>
          </w:p>
        </w:tc>
        <w:tc>
          <w:tcPr>
            <w:tcW w:w="2269" w:type="pct"/>
            <w:tcBorders>
              <w:top w:val="single" w:sz="4" w:space="0" w:color="auto"/>
              <w:left w:val="single" w:sz="4" w:space="0" w:color="auto"/>
              <w:bottom w:val="single" w:sz="4" w:space="0" w:color="auto"/>
              <w:right w:val="single" w:sz="4" w:space="0" w:color="auto"/>
            </w:tcBorders>
            <w:vAlign w:val="center"/>
          </w:tcPr>
          <w:p>
            <w:r>
              <w:t>≤75m</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雷达几何因子作用距离</w:t>
            </w:r>
          </w:p>
        </w:tc>
        <w:tc>
          <w:tcPr>
            <w:tcW w:w="2269" w:type="pct"/>
            <w:tcBorders>
              <w:top w:val="single" w:sz="4" w:space="0" w:color="auto"/>
              <w:left w:val="single" w:sz="4" w:space="0" w:color="auto"/>
              <w:bottom w:val="single" w:sz="4" w:space="0" w:color="auto"/>
              <w:right w:val="single" w:sz="4" w:space="0" w:color="auto"/>
            </w:tcBorders>
            <w:vAlign w:val="center"/>
          </w:tcPr>
          <w:p>
            <w:r>
              <w:t>≤500m</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系统线性度</w:t>
            </w:r>
          </w:p>
        </w:tc>
        <w:tc>
          <w:tcPr>
            <w:tcW w:w="2269" w:type="pct"/>
            <w:tcBorders>
              <w:top w:val="single" w:sz="4" w:space="0" w:color="auto"/>
              <w:left w:val="single" w:sz="4" w:space="0" w:color="auto"/>
              <w:bottom w:val="single" w:sz="4" w:space="0" w:color="auto"/>
              <w:right w:val="single" w:sz="4" w:space="0" w:color="auto"/>
            </w:tcBorders>
            <w:vAlign w:val="center"/>
          </w:tcPr>
          <w:p>
            <w:r>
              <w:t>≥95%</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 xml:space="preserve">脉宽 </w:t>
            </w:r>
          </w:p>
        </w:tc>
        <w:tc>
          <w:tcPr>
            <w:tcW w:w="2269" w:type="pct"/>
            <w:tcBorders>
              <w:top w:val="single" w:sz="4" w:space="0" w:color="auto"/>
              <w:left w:val="single" w:sz="4" w:space="0" w:color="auto"/>
              <w:bottom w:val="single" w:sz="4" w:space="0" w:color="auto"/>
              <w:right w:val="single" w:sz="4" w:space="0" w:color="auto"/>
            </w:tcBorders>
            <w:vAlign w:val="center"/>
          </w:tcPr>
          <w:p>
            <w:r>
              <w:t>≤6ns</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bottom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#偏振度</w:t>
            </w:r>
          </w:p>
        </w:tc>
        <w:tc>
          <w:tcPr>
            <w:tcW w:w="2269" w:type="pct"/>
            <w:tcBorders>
              <w:top w:val="single" w:sz="4" w:space="0" w:color="auto"/>
              <w:left w:val="single" w:sz="4" w:space="0" w:color="auto"/>
              <w:bottom w:val="single" w:sz="4" w:space="0" w:color="auto"/>
              <w:right w:val="single" w:sz="4" w:space="0" w:color="auto"/>
            </w:tcBorders>
            <w:vAlign w:val="center"/>
          </w:tcPr>
          <w:p>
            <w:r>
              <w:t>≥100:1</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val="restart"/>
            <w:tcBorders>
              <w:top w:val="single" w:sz="4" w:space="0" w:color="auto"/>
              <w:left w:val="single" w:sz="4" w:space="0" w:color="auto"/>
              <w:right w:val="single" w:sz="4" w:space="0" w:color="auto"/>
            </w:tcBorders>
            <w:noWrap/>
            <w:vAlign w:val="center"/>
          </w:tcPr>
          <w:p>
            <w:r>
              <w:t>激光发射单元</w:t>
            </w:r>
          </w:p>
        </w:tc>
        <w:tc>
          <w:tcPr>
            <w:tcW w:w="1794" w:type="pct"/>
            <w:tcBorders>
              <w:top w:val="single" w:sz="4" w:space="0" w:color="auto"/>
              <w:left w:val="single" w:sz="4" w:space="0" w:color="auto"/>
              <w:bottom w:val="single" w:sz="4" w:space="0" w:color="auto"/>
              <w:right w:val="single" w:sz="4" w:space="0" w:color="auto"/>
            </w:tcBorders>
            <w:noWrap/>
            <w:vAlign w:val="center"/>
          </w:tcPr>
          <w:p>
            <w:r>
              <w:t>#发射波长</w:t>
            </w:r>
          </w:p>
        </w:tc>
        <w:tc>
          <w:tcPr>
            <w:tcW w:w="2269" w:type="pct"/>
            <w:tcBorders>
              <w:top w:val="single" w:sz="4" w:space="0" w:color="auto"/>
              <w:left w:val="single" w:sz="4" w:space="0" w:color="auto"/>
              <w:bottom w:val="single" w:sz="4" w:space="0" w:color="auto"/>
              <w:right w:val="single" w:sz="4" w:space="0" w:color="auto"/>
            </w:tcBorders>
            <w:vAlign w:val="center"/>
          </w:tcPr>
          <w:p>
            <w:r>
              <w:t>280nm/295nm/560nm/590nm等多波段</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#波长偏差</w:t>
            </w:r>
          </w:p>
        </w:tc>
        <w:tc>
          <w:tcPr>
            <w:tcW w:w="2269" w:type="pct"/>
            <w:tcBorders>
              <w:top w:val="single" w:sz="4" w:space="0" w:color="auto"/>
              <w:left w:val="single" w:sz="4" w:space="0" w:color="auto"/>
              <w:bottom w:val="single" w:sz="4" w:space="0" w:color="auto"/>
              <w:right w:val="single" w:sz="4" w:space="0" w:color="auto"/>
            </w:tcBorders>
            <w:vAlign w:val="center"/>
          </w:tcPr>
          <w:p>
            <w:r>
              <w:t>≤0.2nm</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#激光输出能量不稳定度</w:t>
            </w:r>
          </w:p>
        </w:tc>
        <w:tc>
          <w:tcPr>
            <w:tcW w:w="2269" w:type="pct"/>
            <w:tcBorders>
              <w:top w:val="single" w:sz="4" w:space="0" w:color="auto"/>
              <w:left w:val="single" w:sz="4" w:space="0" w:color="auto"/>
              <w:bottom w:val="single" w:sz="4" w:space="0" w:color="auto"/>
              <w:right w:val="single" w:sz="4" w:space="0" w:color="auto"/>
            </w:tcBorders>
            <w:vAlign w:val="center"/>
          </w:tcPr>
          <w:p>
            <w:r>
              <w:t>在±3%范围内</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激光器</w:t>
            </w:r>
          </w:p>
        </w:tc>
        <w:tc>
          <w:tcPr>
            <w:tcW w:w="2269" w:type="pct"/>
            <w:tcBorders>
              <w:top w:val="single" w:sz="4" w:space="0" w:color="auto"/>
              <w:left w:val="single" w:sz="4" w:space="0" w:color="auto"/>
              <w:bottom w:val="single" w:sz="4" w:space="0" w:color="auto"/>
              <w:right w:val="single" w:sz="4" w:space="0" w:color="auto"/>
            </w:tcBorders>
            <w:vAlign w:val="center"/>
          </w:tcPr>
          <w:p>
            <w:r>
              <w:t>Nd:YAG激光器</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#脉冲能量</w:t>
            </w:r>
          </w:p>
        </w:tc>
        <w:tc>
          <w:tcPr>
            <w:tcW w:w="2269" w:type="pct"/>
            <w:tcBorders>
              <w:top w:val="single" w:sz="4" w:space="0" w:color="auto"/>
              <w:left w:val="single" w:sz="4" w:space="0" w:color="auto"/>
              <w:bottom w:val="single" w:sz="4" w:space="0" w:color="auto"/>
              <w:right w:val="single" w:sz="4" w:space="0" w:color="auto"/>
            </w:tcBorders>
            <w:vAlign w:val="center"/>
          </w:tcPr>
          <w:p>
            <w:r>
              <w:t>≥20mJ</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#激光重复频率</w:t>
            </w:r>
          </w:p>
        </w:tc>
        <w:tc>
          <w:tcPr>
            <w:tcW w:w="2269" w:type="pct"/>
            <w:tcBorders>
              <w:top w:val="single" w:sz="4" w:space="0" w:color="auto"/>
              <w:left w:val="single" w:sz="4" w:space="0" w:color="auto"/>
              <w:bottom w:val="single" w:sz="4" w:space="0" w:color="auto"/>
              <w:right w:val="single" w:sz="4" w:space="0" w:color="auto"/>
            </w:tcBorders>
            <w:vAlign w:val="center"/>
          </w:tcPr>
          <w:p>
            <w:r>
              <w:t>≥100Hz</w:t>
            </w:r>
          </w:p>
        </w:tc>
      </w:tr>
      <w:tr>
        <w:tblPrEx>
          <w:tblW w:w="5000" w:type="pct"/>
          <w:jc w:val="center"/>
          <w:tblLayout w:type="fixed"/>
          <w:tblCellMar>
            <w:top w:w="0" w:type="dxa"/>
            <w:left w:w="108" w:type="dxa"/>
            <w:bottom w:w="0" w:type="dxa"/>
            <w:right w:w="108" w:type="dxa"/>
          </w:tblCellMar>
        </w:tblPrEx>
        <w:trPr>
          <w:trHeight w:val="315"/>
          <w:jc w:val="center"/>
        </w:trPr>
        <w:tc>
          <w:tcPr>
            <w:tcW w:w="937" w:type="pct"/>
            <w:vMerge/>
            <w:tcBorders>
              <w:left w:val="single" w:sz="4" w:space="0" w:color="auto"/>
              <w:bottom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拉曼管</w:t>
            </w:r>
          </w:p>
        </w:tc>
        <w:tc>
          <w:tcPr>
            <w:tcW w:w="2269" w:type="pct"/>
            <w:tcBorders>
              <w:top w:val="single" w:sz="4" w:space="0" w:color="auto"/>
              <w:left w:val="single" w:sz="4" w:space="0" w:color="auto"/>
              <w:bottom w:val="single" w:sz="4" w:space="0" w:color="auto"/>
              <w:right w:val="single" w:sz="4" w:space="0" w:color="auto"/>
            </w:tcBorders>
            <w:vAlign w:val="center"/>
          </w:tcPr>
          <w:p>
            <w:r>
              <w:t>固态拉曼</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val="restart"/>
            <w:tcBorders>
              <w:top w:val="single" w:sz="4" w:space="0" w:color="auto"/>
              <w:left w:val="single" w:sz="4" w:space="0" w:color="auto"/>
              <w:right w:val="single" w:sz="4" w:space="0" w:color="auto"/>
            </w:tcBorders>
            <w:noWrap/>
            <w:vAlign w:val="center"/>
          </w:tcPr>
          <w:p>
            <w:r>
              <w:t>光学接收单元</w:t>
            </w:r>
          </w:p>
        </w:tc>
        <w:tc>
          <w:tcPr>
            <w:tcW w:w="1794" w:type="pct"/>
            <w:tcBorders>
              <w:top w:val="single" w:sz="4" w:space="0" w:color="auto"/>
              <w:left w:val="single" w:sz="4" w:space="0" w:color="auto"/>
              <w:bottom w:val="single" w:sz="4" w:space="0" w:color="auto"/>
              <w:right w:val="single" w:sz="4" w:space="0" w:color="auto"/>
            </w:tcBorders>
            <w:noWrap/>
            <w:vAlign w:val="center"/>
          </w:tcPr>
          <w:p>
            <w:r>
              <w:t>#接收望远镜有效口径</w:t>
            </w:r>
          </w:p>
        </w:tc>
        <w:tc>
          <w:tcPr>
            <w:tcW w:w="2269" w:type="pct"/>
            <w:tcBorders>
              <w:top w:val="single" w:sz="4" w:space="0" w:color="auto"/>
              <w:left w:val="single" w:sz="4" w:space="0" w:color="auto"/>
              <w:bottom w:val="single" w:sz="4" w:space="0" w:color="auto"/>
              <w:right w:val="single" w:sz="4" w:space="0" w:color="auto"/>
            </w:tcBorders>
            <w:vAlign w:val="center"/>
          </w:tcPr>
          <w:p>
            <w:r>
              <w:t>≥200mm</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#接收通道</w:t>
            </w:r>
          </w:p>
        </w:tc>
        <w:tc>
          <w:tcPr>
            <w:tcW w:w="2269" w:type="pct"/>
            <w:tcBorders>
              <w:top w:val="single" w:sz="4" w:space="0" w:color="auto"/>
              <w:left w:val="single" w:sz="4" w:space="0" w:color="auto"/>
              <w:bottom w:val="single" w:sz="4" w:space="0" w:color="auto"/>
              <w:right w:val="single" w:sz="4" w:space="0" w:color="auto"/>
            </w:tcBorders>
            <w:vAlign w:val="center"/>
          </w:tcPr>
          <w:p>
            <w:r>
              <w:t>至少280nm、295nm两个通道</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探测器</w:t>
            </w:r>
          </w:p>
        </w:tc>
        <w:tc>
          <w:tcPr>
            <w:tcW w:w="2269" w:type="pct"/>
            <w:tcBorders>
              <w:top w:val="single" w:sz="4" w:space="0" w:color="auto"/>
              <w:left w:val="single" w:sz="4" w:space="0" w:color="auto"/>
              <w:bottom w:val="single" w:sz="4" w:space="0" w:color="auto"/>
              <w:right w:val="single" w:sz="4" w:space="0" w:color="auto"/>
            </w:tcBorders>
            <w:vAlign w:val="center"/>
          </w:tcPr>
          <w:p>
            <w:r>
              <w:t>光电倍增管</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bottom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#束散角</w:t>
            </w:r>
          </w:p>
        </w:tc>
        <w:tc>
          <w:tcPr>
            <w:tcW w:w="2269" w:type="pct"/>
            <w:tcBorders>
              <w:top w:val="single" w:sz="4" w:space="0" w:color="auto"/>
              <w:left w:val="single" w:sz="4" w:space="0" w:color="auto"/>
              <w:bottom w:val="single" w:sz="4" w:space="0" w:color="auto"/>
              <w:right w:val="single" w:sz="4" w:space="0" w:color="auto"/>
            </w:tcBorders>
            <w:vAlign w:val="center"/>
          </w:tcPr>
          <w:p>
            <w:r>
              <w:t>≤1mrad</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val="restart"/>
            <w:tcBorders>
              <w:top w:val="single" w:sz="4" w:space="0" w:color="auto"/>
              <w:left w:val="single" w:sz="4" w:space="0" w:color="auto"/>
              <w:right w:val="single" w:sz="4" w:space="0" w:color="auto"/>
            </w:tcBorders>
            <w:noWrap/>
            <w:vAlign w:val="center"/>
          </w:tcPr>
          <w:p>
            <w:r>
              <w:t>信号采集与处理单元</w:t>
            </w:r>
          </w:p>
        </w:tc>
        <w:tc>
          <w:tcPr>
            <w:tcW w:w="1794" w:type="pct"/>
            <w:tcBorders>
              <w:top w:val="single" w:sz="4" w:space="0" w:color="auto"/>
              <w:left w:val="single" w:sz="4" w:space="0" w:color="auto"/>
              <w:bottom w:val="single" w:sz="4" w:space="0" w:color="auto"/>
              <w:right w:val="single" w:sz="4" w:space="0" w:color="auto"/>
            </w:tcBorders>
            <w:noWrap/>
            <w:vAlign w:val="center"/>
          </w:tcPr>
          <w:p>
            <w:r>
              <w:t>采集方式</w:t>
            </w:r>
          </w:p>
        </w:tc>
        <w:tc>
          <w:tcPr>
            <w:tcW w:w="2269" w:type="pct"/>
            <w:tcBorders>
              <w:top w:val="single" w:sz="4" w:space="0" w:color="auto"/>
              <w:left w:val="single" w:sz="4" w:space="0" w:color="auto"/>
              <w:bottom w:val="single" w:sz="4" w:space="0" w:color="auto"/>
              <w:right w:val="single" w:sz="4" w:space="0" w:color="auto"/>
            </w:tcBorders>
            <w:vAlign w:val="center"/>
          </w:tcPr>
          <w:p>
            <w:r>
              <w:t>模拟采集</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模拟数字转换器</w:t>
            </w:r>
          </w:p>
        </w:tc>
        <w:tc>
          <w:tcPr>
            <w:tcW w:w="2269" w:type="pct"/>
            <w:tcBorders>
              <w:top w:val="single" w:sz="4" w:space="0" w:color="auto"/>
              <w:left w:val="single" w:sz="4" w:space="0" w:color="auto"/>
              <w:bottom w:val="single" w:sz="4" w:space="0" w:color="auto"/>
              <w:right w:val="single" w:sz="4" w:space="0" w:color="auto"/>
            </w:tcBorders>
            <w:vAlign w:val="center"/>
          </w:tcPr>
          <w:p>
            <w:r>
              <w:t>采样频率≥20MHz；转换精度≥16bits</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主频</w:t>
            </w:r>
          </w:p>
        </w:tc>
        <w:tc>
          <w:tcPr>
            <w:tcW w:w="2269" w:type="pct"/>
            <w:tcBorders>
              <w:top w:val="single" w:sz="4" w:space="0" w:color="auto"/>
              <w:left w:val="single" w:sz="4" w:space="0" w:color="auto"/>
              <w:bottom w:val="single" w:sz="4" w:space="0" w:color="auto"/>
              <w:right w:val="single" w:sz="4" w:space="0" w:color="auto"/>
            </w:tcBorders>
            <w:vAlign w:val="center"/>
          </w:tcPr>
          <w:p>
            <w:r>
              <w:t>≥2.0GHz</w:t>
            </w:r>
          </w:p>
        </w:tc>
      </w:tr>
      <w:tr>
        <w:tblPrEx>
          <w:tblW w:w="5000" w:type="pct"/>
          <w:jc w:val="center"/>
          <w:tblLayout w:type="fixed"/>
          <w:tblCellMar>
            <w:top w:w="0" w:type="dxa"/>
            <w:left w:w="108" w:type="dxa"/>
            <w:bottom w:w="0" w:type="dxa"/>
            <w:right w:w="108" w:type="dxa"/>
          </w:tblCellMar>
        </w:tblPrEx>
        <w:trPr>
          <w:trHeight w:val="353"/>
          <w:jc w:val="center"/>
        </w:trPr>
        <w:tc>
          <w:tcPr>
            <w:tcW w:w="937" w:type="pct"/>
            <w:vMerge/>
            <w:tcBorders>
              <w:left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内存</w:t>
            </w:r>
          </w:p>
        </w:tc>
        <w:tc>
          <w:tcPr>
            <w:tcW w:w="2269" w:type="pct"/>
            <w:tcBorders>
              <w:top w:val="single" w:sz="4" w:space="0" w:color="auto"/>
              <w:left w:val="single" w:sz="4" w:space="0" w:color="auto"/>
              <w:bottom w:val="single" w:sz="4" w:space="0" w:color="auto"/>
              <w:right w:val="single" w:sz="4" w:space="0" w:color="auto"/>
            </w:tcBorders>
            <w:vAlign w:val="center"/>
          </w:tcPr>
          <w:p>
            <w:r>
              <w:t>≥4GB</w:t>
            </w:r>
          </w:p>
        </w:tc>
      </w:tr>
      <w:tr>
        <w:tblPrEx>
          <w:tblW w:w="5000" w:type="pct"/>
          <w:jc w:val="center"/>
          <w:tblLayout w:type="fixed"/>
          <w:tblCellMar>
            <w:top w:w="0" w:type="dxa"/>
            <w:left w:w="108" w:type="dxa"/>
            <w:bottom w:w="0" w:type="dxa"/>
            <w:right w:w="108" w:type="dxa"/>
          </w:tblCellMar>
        </w:tblPrEx>
        <w:trPr>
          <w:trHeight w:val="60"/>
          <w:jc w:val="center"/>
        </w:trPr>
        <w:tc>
          <w:tcPr>
            <w:tcW w:w="937" w:type="pct"/>
            <w:vMerge/>
            <w:tcBorders>
              <w:left w:val="single" w:sz="4" w:space="0" w:color="auto"/>
              <w:bottom w:val="single" w:sz="4" w:space="0" w:color="auto"/>
              <w:right w:val="single" w:sz="4" w:space="0" w:color="auto"/>
            </w:tcBorders>
            <w:noWrap/>
            <w:vAlign w:val="center"/>
          </w:tcPr>
          <w:p/>
        </w:tc>
        <w:tc>
          <w:tcPr>
            <w:tcW w:w="1794" w:type="pct"/>
            <w:tcBorders>
              <w:top w:val="single" w:sz="4" w:space="0" w:color="auto"/>
              <w:left w:val="single" w:sz="4" w:space="0" w:color="auto"/>
              <w:bottom w:val="single" w:sz="4" w:space="0" w:color="auto"/>
              <w:right w:val="single" w:sz="4" w:space="0" w:color="auto"/>
            </w:tcBorders>
            <w:noWrap/>
            <w:vAlign w:val="center"/>
          </w:tcPr>
          <w:p>
            <w:r>
              <w:t>硬盘</w:t>
            </w:r>
          </w:p>
        </w:tc>
        <w:tc>
          <w:tcPr>
            <w:tcW w:w="2269" w:type="pct"/>
            <w:tcBorders>
              <w:top w:val="single" w:sz="4" w:space="0" w:color="auto"/>
              <w:left w:val="single" w:sz="4" w:space="0" w:color="auto"/>
              <w:bottom w:val="single" w:sz="4" w:space="0" w:color="auto"/>
              <w:right w:val="single" w:sz="4" w:space="0" w:color="auto"/>
            </w:tcBorders>
            <w:vAlign w:val="center"/>
          </w:tcPr>
          <w:p>
            <w:r>
              <w:t>≥500GB</w:t>
            </w:r>
          </w:p>
        </w:tc>
      </w:tr>
    </w:tbl>
    <w:p/>
    <w:p/>
    <w:p>
      <w:r>
        <w:rPr>
          <w:rFonts w:hint="eastAsia"/>
        </w:rPr>
        <w:t>3.3内置软件系统要求</w:t>
      </w:r>
    </w:p>
    <w:p>
      <w:r>
        <w:rPr>
          <w:rFonts w:hint="eastAsia"/>
        </w:rPr>
        <w:t>1)具备实时监控及预警功能；</w:t>
      </w:r>
    </w:p>
    <w:p>
      <w:r>
        <w:rPr>
          <w:rFonts w:hint="eastAsia"/>
        </w:rPr>
        <w:t>2)具备多路信号数据采集功能；</w:t>
      </w:r>
    </w:p>
    <w:p>
      <w:r>
        <w:rPr>
          <w:rFonts w:hint="eastAsia"/>
        </w:rPr>
        <w:t>3）具备多种数据产品生成、展示及保存功能；</w:t>
      </w:r>
    </w:p>
    <w:p>
      <w:r>
        <w:rPr>
          <w:rFonts w:hint="eastAsia"/>
        </w:rPr>
        <w:t>4）具备数据查询及导出功能；</w:t>
      </w:r>
    </w:p>
    <w:p>
      <w:r>
        <w:rPr>
          <w:rFonts w:hint="eastAsia"/>
        </w:rPr>
        <w:t>5)具备数据产品切换、分析对比功能.；</w:t>
      </w:r>
    </w:p>
    <w:p>
      <w:r>
        <w:rPr>
          <w:rFonts w:hint="eastAsia"/>
        </w:rPr>
        <w:t>3.4、配置要求</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3458"/>
        <w:gridCol w:w="1268"/>
        <w:gridCol w:w="314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53"/>
          <w:tblHeader/>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序号</w:t>
            </w:r>
          </w:p>
        </w:tc>
        <w:tc>
          <w:tcPr>
            <w:tcW w:w="2029" w:type="pct"/>
            <w:tcBorders>
              <w:top w:val="single" w:sz="4" w:space="0" w:color="auto"/>
              <w:left w:val="single" w:sz="4" w:space="0" w:color="auto"/>
              <w:bottom w:val="single" w:sz="4" w:space="0" w:color="auto"/>
              <w:right w:val="single" w:sz="4" w:space="0" w:color="auto"/>
            </w:tcBorders>
            <w:noWrap/>
            <w:vAlign w:val="center"/>
          </w:tcPr>
          <w:p>
            <w:r>
              <w:t>设备名称</w:t>
            </w:r>
          </w:p>
        </w:tc>
        <w:tc>
          <w:tcPr>
            <w:tcW w:w="744" w:type="pct"/>
            <w:tcBorders>
              <w:top w:val="single" w:sz="4" w:space="0" w:color="auto"/>
              <w:left w:val="single" w:sz="4" w:space="0" w:color="auto"/>
              <w:bottom w:val="single" w:sz="4" w:space="0" w:color="auto"/>
              <w:right w:val="single" w:sz="4" w:space="0" w:color="auto"/>
            </w:tcBorders>
            <w:vAlign w:val="center"/>
          </w:tcPr>
          <w:p>
            <w:r>
              <w:t>数量</w:t>
            </w:r>
          </w:p>
        </w:tc>
        <w:tc>
          <w:tcPr>
            <w:tcW w:w="1842" w:type="pct"/>
            <w:tcBorders>
              <w:top w:val="single" w:sz="4" w:space="0" w:color="auto"/>
              <w:left w:val="single" w:sz="4" w:space="0" w:color="auto"/>
              <w:bottom w:val="single" w:sz="4" w:space="0" w:color="auto"/>
              <w:right w:val="single" w:sz="4" w:space="0" w:color="auto"/>
            </w:tcBorders>
            <w:vAlign w:val="center"/>
          </w:tcPr>
          <w:p>
            <w:r>
              <w:t>备注</w:t>
            </w:r>
          </w:p>
        </w:tc>
      </w:tr>
      <w:tr>
        <w:tblPrEx>
          <w:tblW w:w="5000" w:type="pct"/>
          <w:jc w:val="center"/>
          <w:tblCellMar>
            <w:top w:w="0" w:type="dxa"/>
            <w:left w:w="108" w:type="dxa"/>
            <w:bottom w:w="0" w:type="dxa"/>
            <w:right w:w="108" w:type="dxa"/>
          </w:tblCellMar>
        </w:tblPrEx>
        <w:trPr>
          <w:trHeight w:val="353"/>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1</w:t>
            </w:r>
          </w:p>
        </w:tc>
        <w:tc>
          <w:tcPr>
            <w:tcW w:w="2029" w:type="pct"/>
            <w:tcBorders>
              <w:top w:val="single" w:sz="4" w:space="0" w:color="auto"/>
              <w:left w:val="single" w:sz="4" w:space="0" w:color="auto"/>
              <w:bottom w:val="single" w:sz="4" w:space="0" w:color="auto"/>
              <w:right w:val="single" w:sz="4" w:space="0" w:color="auto"/>
            </w:tcBorders>
            <w:noWrap/>
            <w:vAlign w:val="center"/>
          </w:tcPr>
          <w:p>
            <w:r>
              <w:t>激光雷达主机</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r>
              <w:t>含激光器及电源、光学接收单元、采集控制单元、探测单元等</w:t>
            </w:r>
          </w:p>
        </w:tc>
      </w:tr>
      <w:tr>
        <w:tblPrEx>
          <w:tblW w:w="5000" w:type="pct"/>
          <w:jc w:val="center"/>
          <w:tblCellMar>
            <w:top w:w="0" w:type="dxa"/>
            <w:left w:w="108" w:type="dxa"/>
            <w:bottom w:w="0" w:type="dxa"/>
            <w:right w:w="108" w:type="dxa"/>
          </w:tblCellMar>
        </w:tblPrEx>
        <w:trPr>
          <w:trHeight w:val="315"/>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2</w:t>
            </w:r>
          </w:p>
        </w:tc>
        <w:tc>
          <w:tcPr>
            <w:tcW w:w="2029" w:type="pct"/>
            <w:tcBorders>
              <w:top w:val="single" w:sz="4" w:space="0" w:color="auto"/>
              <w:left w:val="single" w:sz="4" w:space="0" w:color="auto"/>
              <w:bottom w:val="single" w:sz="4" w:space="0" w:color="auto"/>
              <w:right w:val="single" w:sz="4" w:space="0" w:color="auto"/>
            </w:tcBorders>
            <w:noWrap/>
            <w:vAlign w:val="center"/>
          </w:tcPr>
          <w:p>
            <w:r>
              <w:t>工控机组件</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tc>
      </w:tr>
      <w:tr>
        <w:tblPrEx>
          <w:tblW w:w="5000" w:type="pct"/>
          <w:jc w:val="center"/>
          <w:tblCellMar>
            <w:top w:w="0" w:type="dxa"/>
            <w:left w:w="108" w:type="dxa"/>
            <w:bottom w:w="0" w:type="dxa"/>
            <w:right w:w="108" w:type="dxa"/>
          </w:tblCellMar>
        </w:tblPrEx>
        <w:trPr>
          <w:trHeight w:val="380"/>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3</w:t>
            </w:r>
          </w:p>
        </w:tc>
        <w:tc>
          <w:tcPr>
            <w:tcW w:w="2029" w:type="pct"/>
            <w:tcBorders>
              <w:top w:val="single" w:sz="4" w:space="0" w:color="auto"/>
              <w:left w:val="single" w:sz="4" w:space="0" w:color="auto"/>
              <w:bottom w:val="single" w:sz="4" w:space="0" w:color="auto"/>
              <w:right w:val="single" w:sz="4" w:space="0" w:color="auto"/>
            </w:tcBorders>
            <w:noWrap/>
            <w:vAlign w:val="center"/>
          </w:tcPr>
          <w:p>
            <w:r>
              <w:t>臭氧激光雷达数据采集及分析系统</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tc>
      </w:tr>
      <w:tr>
        <w:tblPrEx>
          <w:tblW w:w="5000" w:type="pct"/>
          <w:jc w:val="center"/>
          <w:tblCellMar>
            <w:top w:w="0" w:type="dxa"/>
            <w:left w:w="108" w:type="dxa"/>
            <w:bottom w:w="0" w:type="dxa"/>
            <w:right w:w="108" w:type="dxa"/>
          </w:tblCellMar>
        </w:tblPrEx>
        <w:trPr>
          <w:trHeight w:val="330"/>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4</w:t>
            </w:r>
          </w:p>
        </w:tc>
        <w:tc>
          <w:tcPr>
            <w:tcW w:w="2029" w:type="pct"/>
            <w:tcBorders>
              <w:top w:val="single" w:sz="4" w:space="0" w:color="auto"/>
              <w:left w:val="single" w:sz="4" w:space="0" w:color="auto"/>
              <w:bottom w:val="single" w:sz="4" w:space="0" w:color="auto"/>
              <w:right w:val="single" w:sz="4" w:space="0" w:color="auto"/>
            </w:tcBorders>
            <w:noWrap/>
            <w:vAlign w:val="center"/>
          </w:tcPr>
          <w:p>
            <w:r>
              <w:t>臭氧激光雷达数据分析诊断平台</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tc>
      </w:tr>
      <w:tr>
        <w:tblPrEx>
          <w:tblW w:w="5000" w:type="pct"/>
          <w:jc w:val="center"/>
          <w:tblCellMar>
            <w:top w:w="0" w:type="dxa"/>
            <w:left w:w="108" w:type="dxa"/>
            <w:bottom w:w="0" w:type="dxa"/>
            <w:right w:w="108" w:type="dxa"/>
          </w:tblCellMar>
        </w:tblPrEx>
        <w:trPr>
          <w:trHeight w:val="315"/>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5</w:t>
            </w:r>
          </w:p>
        </w:tc>
        <w:tc>
          <w:tcPr>
            <w:tcW w:w="2029" w:type="pct"/>
            <w:tcBorders>
              <w:top w:val="single" w:sz="4" w:space="0" w:color="auto"/>
              <w:left w:val="single" w:sz="4" w:space="0" w:color="auto"/>
              <w:bottom w:val="single" w:sz="4" w:space="0" w:color="auto"/>
              <w:right w:val="single" w:sz="4" w:space="0" w:color="auto"/>
            </w:tcBorders>
            <w:noWrap/>
            <w:vAlign w:val="center"/>
          </w:tcPr>
          <w:p>
            <w:r>
              <w:t>UPS电源</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tc>
      </w:tr>
      <w:tr>
        <w:tblPrEx>
          <w:tblW w:w="5000" w:type="pct"/>
          <w:jc w:val="center"/>
          <w:tblCellMar>
            <w:top w:w="0" w:type="dxa"/>
            <w:left w:w="108" w:type="dxa"/>
            <w:bottom w:w="0" w:type="dxa"/>
            <w:right w:w="108" w:type="dxa"/>
          </w:tblCellMar>
        </w:tblPrEx>
        <w:trPr>
          <w:trHeight w:val="315"/>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6</w:t>
            </w:r>
          </w:p>
        </w:tc>
        <w:tc>
          <w:tcPr>
            <w:tcW w:w="2029" w:type="pct"/>
            <w:tcBorders>
              <w:top w:val="single" w:sz="4" w:space="0" w:color="auto"/>
              <w:left w:val="single" w:sz="4" w:space="0" w:color="auto"/>
              <w:bottom w:val="single" w:sz="4" w:space="0" w:color="auto"/>
              <w:right w:val="single" w:sz="4" w:space="0" w:color="auto"/>
            </w:tcBorders>
            <w:noWrap/>
            <w:vAlign w:val="center"/>
          </w:tcPr>
          <w:p>
            <w:r>
              <w:t>带光学玻璃天窗</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r>
              <w:t>口径不小于350mm，满足站房顶部安装使用</w:t>
            </w:r>
          </w:p>
        </w:tc>
      </w:tr>
      <w:tr>
        <w:tblPrEx>
          <w:tblW w:w="5000" w:type="pct"/>
          <w:jc w:val="center"/>
          <w:tblCellMar>
            <w:top w:w="0" w:type="dxa"/>
            <w:left w:w="108" w:type="dxa"/>
            <w:bottom w:w="0" w:type="dxa"/>
            <w:right w:w="108" w:type="dxa"/>
          </w:tblCellMar>
        </w:tblPrEx>
        <w:trPr>
          <w:trHeight w:val="330"/>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7</w:t>
            </w:r>
          </w:p>
        </w:tc>
        <w:tc>
          <w:tcPr>
            <w:tcW w:w="2029" w:type="pct"/>
            <w:tcBorders>
              <w:top w:val="single" w:sz="4" w:space="0" w:color="auto"/>
              <w:left w:val="single" w:sz="4" w:space="0" w:color="auto"/>
              <w:bottom w:val="single" w:sz="4" w:space="0" w:color="auto"/>
              <w:right w:val="single" w:sz="4" w:space="0" w:color="auto"/>
            </w:tcBorders>
            <w:noWrap/>
            <w:vAlign w:val="center"/>
          </w:tcPr>
          <w:p>
            <w:r>
              <w:t>维修组合工具包</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r>
              <w:t>日常运维、维修使用</w:t>
            </w:r>
          </w:p>
        </w:tc>
      </w:tr>
      <w:tr>
        <w:tblPrEx>
          <w:tblW w:w="5000" w:type="pct"/>
          <w:jc w:val="center"/>
          <w:tblCellMar>
            <w:top w:w="0" w:type="dxa"/>
            <w:left w:w="108" w:type="dxa"/>
            <w:bottom w:w="0" w:type="dxa"/>
            <w:right w:w="108" w:type="dxa"/>
          </w:tblCellMar>
        </w:tblPrEx>
        <w:trPr>
          <w:trHeight w:val="321"/>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8</w:t>
            </w:r>
          </w:p>
        </w:tc>
        <w:tc>
          <w:tcPr>
            <w:tcW w:w="2029" w:type="pct"/>
            <w:tcBorders>
              <w:top w:val="single" w:sz="4" w:space="0" w:color="auto"/>
              <w:left w:val="single" w:sz="4" w:space="0" w:color="auto"/>
              <w:bottom w:val="single" w:sz="4" w:space="0" w:color="auto"/>
              <w:right w:val="single" w:sz="4" w:space="0" w:color="auto"/>
            </w:tcBorders>
            <w:noWrap/>
            <w:vAlign w:val="center"/>
          </w:tcPr>
          <w:p>
            <w:r>
              <w:t>操作说明书</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r>
              <w:t>臭氧激光雷达说明书</w:t>
            </w:r>
          </w:p>
        </w:tc>
      </w:tr>
      <w:tr>
        <w:tblPrEx>
          <w:tblW w:w="5000" w:type="pct"/>
          <w:jc w:val="center"/>
          <w:tblCellMar>
            <w:top w:w="0" w:type="dxa"/>
            <w:left w:w="108" w:type="dxa"/>
            <w:bottom w:w="0" w:type="dxa"/>
            <w:right w:w="108" w:type="dxa"/>
          </w:tblCellMar>
        </w:tblPrEx>
        <w:trPr>
          <w:trHeight w:val="315"/>
          <w:jc w:val="center"/>
        </w:trPr>
        <w:tc>
          <w:tcPr>
            <w:tcW w:w="385" w:type="pct"/>
            <w:tcBorders>
              <w:top w:val="single" w:sz="4" w:space="0" w:color="auto"/>
              <w:left w:val="single" w:sz="4" w:space="0" w:color="auto"/>
              <w:bottom w:val="single" w:sz="4" w:space="0" w:color="auto"/>
              <w:right w:val="single" w:sz="4" w:space="0" w:color="auto"/>
            </w:tcBorders>
            <w:noWrap/>
            <w:vAlign w:val="center"/>
          </w:tcPr>
          <w:p>
            <w:r>
              <w:t>9</w:t>
            </w:r>
          </w:p>
        </w:tc>
        <w:tc>
          <w:tcPr>
            <w:tcW w:w="2029" w:type="pct"/>
            <w:tcBorders>
              <w:top w:val="single" w:sz="4" w:space="0" w:color="auto"/>
              <w:left w:val="single" w:sz="4" w:space="0" w:color="auto"/>
              <w:bottom w:val="single" w:sz="4" w:space="0" w:color="auto"/>
              <w:right w:val="single" w:sz="4" w:space="0" w:color="auto"/>
            </w:tcBorders>
            <w:noWrap/>
            <w:vAlign w:val="center"/>
          </w:tcPr>
          <w:p>
            <w:r>
              <w:t>专用方舱</w:t>
            </w:r>
          </w:p>
        </w:tc>
        <w:tc>
          <w:tcPr>
            <w:tcW w:w="744" w:type="pct"/>
            <w:tcBorders>
              <w:top w:val="single" w:sz="4" w:space="0" w:color="auto"/>
              <w:left w:val="single" w:sz="4" w:space="0" w:color="auto"/>
              <w:bottom w:val="single" w:sz="4" w:space="0" w:color="auto"/>
              <w:right w:val="single" w:sz="4" w:space="0" w:color="auto"/>
            </w:tcBorders>
            <w:vAlign w:val="center"/>
          </w:tcPr>
          <w:p>
            <w:r>
              <w:t>1套</w:t>
            </w:r>
          </w:p>
        </w:tc>
        <w:tc>
          <w:tcPr>
            <w:tcW w:w="1842" w:type="pct"/>
            <w:tcBorders>
              <w:top w:val="single" w:sz="4" w:space="0" w:color="auto"/>
              <w:left w:val="single" w:sz="4" w:space="0" w:color="auto"/>
              <w:bottom w:val="single" w:sz="4" w:space="0" w:color="auto"/>
              <w:right w:val="single" w:sz="4" w:space="0" w:color="auto"/>
            </w:tcBorders>
            <w:vAlign w:val="center"/>
          </w:tcPr>
          <w:p>
            <w:r>
              <w:t>主要包含玻璃钢方舱主体、天窗吹扫装置、空调等</w:t>
            </w:r>
          </w:p>
        </w:tc>
      </w:tr>
    </w:tbl>
    <w:p>
      <w:r>
        <w:rPr>
          <w:rFonts w:hint="eastAsia"/>
        </w:rPr>
        <w:t>四．检验考核要求</w:t>
      </w:r>
    </w:p>
    <w:p>
      <w:r>
        <w:rPr>
          <w:rFonts w:hint="eastAsia"/>
        </w:rPr>
        <w:t xml:space="preserve">硬件设备建设、安装、调试完成，软件系统部署、调试完成后，中标方准备好所有相关材料，书面向采购方提出验收申请，采购方接到申请后10个工作日内，组织相关专家对采购项目进行验收，并在10个工作日内出具验收报告，如因第三方不可控原因导致工期延迟，中标方可视情况向采购方书面递交延期申请，采购方批复同意后，方可延期。 </w:t>
      </w:r>
    </w:p>
    <w:p>
      <w:r>
        <w:rPr>
          <w:rFonts w:hint="eastAsia"/>
        </w:rPr>
        <w:t xml:space="preserve">五、质保服务要求 </w:t>
      </w:r>
    </w:p>
    <w:p>
      <w:r>
        <w:rPr>
          <w:rFonts w:hint="eastAsia"/>
        </w:rPr>
        <w:t>（</w:t>
      </w:r>
      <w:r>
        <w:rPr>
          <w:rFonts w:hint="eastAsia"/>
          <w:highlight w:val="yellow"/>
        </w:rPr>
        <w:t>1）正式交付运行，并通过合同验收次日起质保期为8年。设备供应商对所有设备提供自验收合格后8年的免费维护维修服务*，并提供相关承诺函。</w:t>
      </w:r>
    </w:p>
    <w:p>
      <w:r>
        <w:rPr>
          <w:rFonts w:hint="eastAsia"/>
        </w:rPr>
        <w:t>（2）在质保期内，设备供应商服务时间应为 7×24小时，当投标产品或软件遭到损坏或出现故障时，要在用户报修之时起4小时内做出响应，并在48小时内到达现场，开展维修维护工作，视情况双方协商设备恢复正常运行时限。</w:t>
      </w:r>
    </w:p>
    <w:p>
      <w:r>
        <w:rPr>
          <w:rFonts w:hint="eastAsia"/>
        </w:rPr>
        <w:t>（3）正式交付运行，并通过合同验收次日起质保期为8年。维保包括设备维护维修、相关附属软件及附属设备维护维修，</w:t>
      </w:r>
      <w:r>
        <w:rPr>
          <w:rFonts w:hint="eastAsia"/>
          <w:highlight w:val="yellow"/>
        </w:rPr>
        <w:t>保证每年至少1次的现场巡检和4次远程维护检查</w:t>
      </w:r>
      <w:r>
        <w:rPr>
          <w:rFonts w:hint="eastAsia"/>
        </w:rPr>
        <w:t>，设备发生故障时在业务规定时间内完成维修、维护保障或更换组件，投标人应提供7（天）×24（小时）技术支持热线电话。</w:t>
      </w:r>
    </w:p>
    <w:p>
      <w:r>
        <w:rPr>
          <w:rFonts w:hint="eastAsia"/>
        </w:rPr>
        <w:t>六、日常运维服务要求</w:t>
      </w:r>
    </w:p>
    <w:p>
      <w:r>
        <w:rPr>
          <w:rFonts w:hint="eastAsia"/>
        </w:rPr>
        <w:t xml:space="preserve">按照业务运行规范要求执行，确保设备可稳定运行，主要工作包括：日常巡检、周巡检维护、季度巡检维护、年度巡检维护等。 </w:t>
      </w:r>
    </w:p>
    <w:p>
      <w:r>
        <w:rPr>
          <w:rFonts w:hint="eastAsia"/>
        </w:rPr>
        <w:t>（一）日常巡检内容</w:t>
      </w:r>
    </w:p>
    <w:p>
      <w:r>
        <w:t>1)每天定时查看仪器运行情况，查看是否出现报警，数据是否中断或异常，若有异常情况，应及时到现场处理；</w:t>
      </w:r>
    </w:p>
    <w:p>
      <w:r>
        <w:t>2)若警示激光器温度异常，应及时检修；</w:t>
      </w:r>
    </w:p>
    <w:p>
      <w:r>
        <w:t>3)定期导出数据，清理磁盘和操作系统；</w:t>
      </w:r>
    </w:p>
    <w:p>
      <w:r>
        <w:t>4)若有电力中断，应在断电前关闭设备，来电后确保设备重新启动；</w:t>
      </w:r>
    </w:p>
    <w:p>
      <w:r>
        <w:t>5)夏季和冬季，应格外注意方舱空调运行情况，及时排除故障；</w:t>
      </w:r>
    </w:p>
    <w:p>
      <w:r>
        <w:t>6)雨雪天气后，应及时清除积雪，查看方舱是否漏水，查看方舱内是否结露，以便及时处理相应问题</w:t>
      </w:r>
      <w:r>
        <w:rPr>
          <w:rFonts w:hint="eastAsia"/>
        </w:rPr>
        <w:t>。</w:t>
      </w:r>
    </w:p>
    <w:p>
      <w:r>
        <w:rPr>
          <w:rFonts w:hint="eastAsia"/>
        </w:rPr>
        <w:t>（二）周巡检维护</w:t>
      </w:r>
    </w:p>
    <w:p>
      <w:r>
        <w:rPr>
          <w:rFonts w:hint="eastAsia"/>
        </w:rPr>
        <w:t>每周对激光雷达进行一次维护，检查设备的运行环境、运行状态和清洁光学窗口等，具体如下：</w:t>
      </w:r>
    </w:p>
    <w:p>
      <w:r>
        <w:rPr>
          <w:rFonts w:hint="eastAsia"/>
        </w:rPr>
        <w:t>1）每周检查并清洁天窗；</w:t>
      </w:r>
    </w:p>
    <w:p>
      <w:r>
        <w:rPr>
          <w:rFonts w:hint="eastAsia"/>
        </w:rPr>
        <w:t>2）每周检查方舱运行环境是否符合要求；</w:t>
      </w:r>
    </w:p>
    <w:p>
      <w:r>
        <w:rPr>
          <w:rFonts w:hint="eastAsia"/>
        </w:rPr>
        <w:t>3）每周检查供电系统是否正常；</w:t>
      </w:r>
    </w:p>
    <w:p>
      <w:r>
        <w:rPr>
          <w:rFonts w:hint="eastAsia"/>
        </w:rPr>
        <w:t>4）每周检查设备通讯系统是否正常；</w:t>
      </w:r>
    </w:p>
    <w:p>
      <w:r>
        <w:rPr>
          <w:rFonts w:hint="eastAsia"/>
        </w:rPr>
        <w:t>5）每周检查空调等辅助设施是否运行正常；</w:t>
      </w:r>
    </w:p>
    <w:p>
      <w:r>
        <w:rPr>
          <w:rFonts w:hint="eastAsia"/>
        </w:rPr>
        <w:t>6）每周检查工控机、软件运行是否正常；</w:t>
      </w:r>
    </w:p>
    <w:p>
      <w:r>
        <w:rPr>
          <w:rFonts w:hint="eastAsia"/>
        </w:rPr>
        <w:t>7）每周擦洗清洁方舱天窗玻璃，先用湿毛巾擦拭，再用纸巾擦干，以玻璃上没有明显痕迹，不残留纸屑为准；</w:t>
      </w:r>
    </w:p>
    <w:p>
      <w:r>
        <w:rPr>
          <w:rFonts w:hint="eastAsia"/>
        </w:rPr>
        <w:t>（三）季度巡检维护</w:t>
      </w:r>
    </w:p>
    <w:p>
      <w:r>
        <w:rPr>
          <w:rFonts w:hint="eastAsia"/>
        </w:rPr>
        <w:t>每季度对激光雷达进行一次维护，对方舱内外环境进行清洁、对核心光学部件进行检查和清洁，开展设备季度测试，及UPS充放电及季度数据备份等。具体如下：</w:t>
      </w:r>
    </w:p>
    <w:p>
      <w:r>
        <w:rPr>
          <w:rFonts w:hint="eastAsia"/>
        </w:rPr>
        <w:t>1）对方舱内外环境进行清洁；</w:t>
      </w:r>
    </w:p>
    <w:p>
      <w:r>
        <w:rPr>
          <w:rFonts w:hint="eastAsia"/>
        </w:rPr>
        <w:t>2）对望远镜接收系统上的积尘进行清洁；</w:t>
      </w:r>
    </w:p>
    <w:p>
      <w:r>
        <w:rPr>
          <w:rFonts w:hint="eastAsia"/>
        </w:rPr>
        <w:t>3）检查发射系统镜片是否有损坏；</w:t>
      </w:r>
    </w:p>
    <w:p>
      <w:r>
        <w:rPr>
          <w:rFonts w:hint="eastAsia"/>
        </w:rPr>
        <w:t>4）对UPS的进行充放电；</w:t>
      </w:r>
    </w:p>
    <w:p>
      <w:r>
        <w:rPr>
          <w:rFonts w:hint="eastAsia"/>
        </w:rPr>
        <w:t>5）检查一次空调过滤网，保持滤网表面清洁。</w:t>
      </w:r>
    </w:p>
    <w:p>
      <w:r>
        <w:rPr>
          <w:rFonts w:hint="eastAsia"/>
        </w:rPr>
        <w:t>（四）年度巡检维护</w:t>
      </w:r>
    </w:p>
    <w:p>
      <w:r>
        <w:rPr>
          <w:rFonts w:hint="eastAsia"/>
        </w:rPr>
        <w:t>每年对激光雷达进行一次巡检和维护，包含设备功能检查、电气及结构检测、辅助设备配件维修更换、方舱及配套设施维修等，具体如下：</w:t>
      </w:r>
    </w:p>
    <w:p>
      <w:r>
        <w:rPr>
          <w:rFonts w:hint="eastAsia"/>
        </w:rPr>
        <w:t>1）对观测仪设备运行参数进行检查；</w:t>
      </w:r>
    </w:p>
    <w:p>
      <w:r>
        <w:rPr>
          <w:rFonts w:hint="eastAsia"/>
        </w:rPr>
        <w:t>2）检查激光能量是否正常；</w:t>
      </w:r>
    </w:p>
    <w:p>
      <w:r>
        <w:rPr>
          <w:rFonts w:hint="eastAsia"/>
        </w:rPr>
        <w:t>3）检查工控机硬盘空间是否充足；</w:t>
      </w:r>
    </w:p>
    <w:p>
      <w:r>
        <w:rPr>
          <w:rFonts w:hint="eastAsia"/>
        </w:rPr>
        <w:t>4）检查天窗加热器是否需要更换；</w:t>
      </w:r>
    </w:p>
    <w:p>
      <w:r>
        <w:rPr>
          <w:rFonts w:hint="eastAsia"/>
        </w:rPr>
        <w:t>5）拆洗空调过滤网；</w:t>
      </w:r>
    </w:p>
    <w:p>
      <w:r>
        <w:rPr>
          <w:rFonts w:hint="eastAsia"/>
        </w:rPr>
        <w:t>6）系统运行安全隐患检查；</w:t>
      </w:r>
    </w:p>
    <w:p>
      <w:r>
        <w:rPr>
          <w:rFonts w:hint="eastAsia"/>
        </w:rPr>
        <w:t>7）设备老化部件更换，预防性维修、维护。</w:t>
      </w:r>
    </w:p>
    <w:p>
      <w:r>
        <w:rPr>
          <w:rFonts w:hint="eastAsia"/>
        </w:rPr>
        <w:t>七、售后服务要求</w:t>
      </w:r>
    </w:p>
    <w:p>
      <w:r>
        <w:rPr>
          <w:rFonts w:hint="eastAsia"/>
        </w:rPr>
        <w:t>设备供应商需提供详细售后服务方案，包括设备售后服务组织机构、人员组成、技术支持文档等。其中，售后服务组织机构设置合理，售后服务团队人员至少4人组成，包含项目经理1人，技术团队至少3人，人员技术能力强，技术文档内容全面。</w:t>
      </w:r>
    </w:p>
    <w:p>
      <w:r>
        <w:rPr>
          <w:rFonts w:hint="eastAsia"/>
        </w:rPr>
        <w:t>八、培训要求</w:t>
      </w:r>
    </w:p>
    <w:p>
      <w:pPr>
        <w:rPr>
          <w:highlight w:val="yellow"/>
        </w:rPr>
      </w:pPr>
      <w:r>
        <w:rPr>
          <w:rFonts w:hint="eastAsia"/>
          <w:highlight w:val="yellow"/>
        </w:rPr>
        <w:t>设备供应商对每套投标产品提供至少2次技术培训，培训课时不少于8个课时，培训人数不少于2人。培训内容包括设备安装、使用、日常维护、观测原理及产品应用，培训时间及地点双方协商确定。书面承诺培训讲师具有中级以上职称或从事该设备技术工作至少2年。</w:t>
      </w:r>
    </w:p>
    <w:p>
      <w:r>
        <w:rPr>
          <w:rFonts w:hint="eastAsia"/>
        </w:rPr>
        <w:t>九、其它商务要求</w:t>
      </w:r>
    </w:p>
    <w:p>
      <w:r>
        <w:rPr>
          <w:rFonts w:hint="eastAsia"/>
        </w:rPr>
        <w:t xml:space="preserve">（1）生产、运输、安装、调试：服务期间所使用的监测设备的生产、运输、安装和调试等，由中标人负责。 </w:t>
      </w:r>
    </w:p>
    <w:p>
      <w:r>
        <w:rPr>
          <w:rFonts w:hint="eastAsia"/>
        </w:rPr>
        <w:t>（2）交货日期：合同签订后90天内交货, ，30天内完成安装调试并具备验收条件。</w:t>
      </w:r>
    </w:p>
    <w:p>
      <w:r>
        <w:rPr>
          <w:rFonts w:hint="eastAsia"/>
        </w:rPr>
        <w:t>（3）交货地点：福建省内。</w:t>
      </w:r>
    </w:p>
    <w:p/>
    <w:p>
      <w:pPr>
        <w:spacing w:line="560" w:lineRule="exact"/>
        <w:ind w:left="365" w:leftChars="174"/>
        <w:rPr>
          <w:rFonts w:ascii="仿宋" w:eastAsia="仿宋" w:hAnsi="仿宋" w:cs="仿宋"/>
          <w:sz w:val="28"/>
          <w:szCs w:val="28"/>
        </w:rPr>
      </w:pPr>
      <w:r>
        <w:rPr>
          <w:rFonts w:ascii="仿宋" w:eastAsia="仿宋" w:hAnsi="仿宋" w:cs="仿宋" w:hint="eastAsia"/>
          <w:sz w:val="28"/>
        </w:rPr>
        <w:t>六、其他要求</w:t>
      </w:r>
      <w:r>
        <w:rPr>
          <w:rFonts w:ascii="仿宋" w:eastAsia="仿宋" w:hAnsi="仿宋" w:cs="仿宋" w:hint="eastAsia"/>
          <w:sz w:val="28"/>
        </w:rPr>
        <w:br/>
      </w:r>
      <w:r>
        <w:rPr>
          <w:rFonts w:ascii="仿宋" w:eastAsia="仿宋" w:hAnsi="仿宋" w:cs="仿宋" w:hint="eastAsia"/>
          <w:sz w:val="28"/>
        </w:rPr>
        <w:t>详见采购需求-其他技术及商务需求。</w:t>
      </w:r>
      <w:bookmarkStart w:id="63" w:name="_Hlk168594784"/>
    </w:p>
    <w:bookmarkEnd w:id="63"/>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采购需求（其他技术及商务需求）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一、项目概况及总体要求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本项目来源于福建省智慧气象保障工程综合能力建设项目，同时也是《福建省“十四五”气象发展规划》中的建设内容。本项目于2022年完成立项，原项目名称“福建省智慧气象保障工程生态监测系统项目”主要在福建开展1部臭氧激光雷达、16套气现象实景智能观测仪、70套微型温室气体监测仪，用于加强福建省生态气象监测能力。2023年起，我省9地市（不含平潭）已陆续开展高精度温室气体浓度观测站点建设。截止2024年12月，全省已完成8个地市高精度温室气体观测站建设，1个地市在建，基本实现主要温室气体监测地市全覆盖。经评估论证，现有高精度站点技术指标优于原微型监测仪，结合卫星遥感与模型分析可满足全省温室气体监测、预报、评估需求。此外，经相关市场调研，目前市场无符合初步设计中微型温室气体监测仪技术指标设备，满足部分技术参数设备预算价格远超过原预算。结合上述原因，福建省大气探测技术保障中心根据项目建设实施需要，向福建省气象局观测与网络处、计划财务处申请对微型温室气体监测仪建设内容进行调整。福建省气象局于2025年3月13日召开项目审查会（会议纪要〔2025〕3号），审议并通过福建省智慧气象保障工程生态监测系统项目原建设内容中70套微型温室气体监测仪变更为更新2个海岛自动气象象站、更新罗源自动站实训操作平台1套、更新高精度温室气体监测站标气系统2套、更新凝结类天气现象自动观测传感器2个、地面观测场防雷安全改造2站，同时项目名称变更为“福建省智慧气象保障工程2025年综合观测站网更新改造项目”，计划总投资669万元，由福建省地方政府投资建设。</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二、售后服务要求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（1）设备供应商需提供详细技术服务方案，包括但不限于：设备安装建设规范、设备工作原理、设备部件结构组成、设备操作手册、设备运行维护手册、设备软件使用手册、相关产品算法说明文档等。</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（2）设备供应商需提供详细售后服务方案，包括设备售后服务组织机构、人员组成、技术支持文档等。其中，售后服务组织机构设置合理，人员技术能力强，技术文档内容全面。</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3）设备供应商对所有设备提供自验收合格后8年的质保服务，需提供设备质保承诺函原件（格式自拟）。保修期内因设备设计、质量出现问题，均由设备供应商即时无偿解决（包括更换器件）；设备试运行之日起六个月内，遇设备故障或数据明显异常、性能不达标等，中标人负责48小时内到站对故障设备进行测试和更换，确保设备正常投入业务运行。</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4）在质保期内，设备供应商服务时间应为7×24小时，当投标产品或软件遭到损坏或出现故障时，要在用户报修之时起4小时内做出响应，并在48小时内到达现场，开展维修维护工作，视情况双方协商设备恢复正常运行时限。</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（5）质保期过后，设备供应商仍有义务提供技术服务（包括提供设备维护、备件等）。</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（6）保证每年至少1次的现场巡检和4次远程维护检查，巡检时间及地点根据设备安装地点双方协商确定。</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三、培训要求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培训讲师具有中级以上职称或从事该设备技术工作至少2年。</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设备供应商对每套投标产品提供至少2次技术培训，培训课时不少于8个课时，培训人数不少于2人。培训内容包括设备安装、使用、日常维护、观测原理及产品应用，培训时间及地点双方协商确定。</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四、交货要求及履约地点</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中标供应商将所有设备运送至采购人福建省内指定地点（运输相关费用由供应商负责），并负责安装调试。</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 xml:space="preserve">   合同签订后90天内交货， 30天内完成安装调试并具备验收条件。</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 xml:space="preserve">    五、服务团队要求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售后服务团队人员至少4人组成，包含项目经理1人，技术团队至少3人。投标人应保证售后服务团队人员稳定，配备的项目经理未经采购人同意不得随意更换。</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六、投标产品软件兼容性要求</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设备可无缝接入省级通信系统，由省级通信系统上传至国家级通信系统，实现省级和国家级大数据云平台存储并提供业务应用，完全符合甲方相关要求和规范，保证其系统的兼容性和功能的完整性。</w:t>
      </w:r>
    </w:p>
    <w:p>
      <w:pPr>
        <w:spacing w:line="360" w:lineRule="auto"/>
        <w:jc w:val="both"/>
        <w:rPr>
          <w:rFonts w:ascii="宋体" w:eastAsia="宋体" w:hAnsi="宋体" w:cs="Times New Roman" w:hint="eastAsia"/>
          <w:szCs w:val="21"/>
          <w:highlight w:val="none"/>
        </w:rPr>
      </w:pPr>
      <w:r>
        <w:rPr>
          <w:rFonts w:ascii="宋体" w:eastAsia="宋体" w:hAnsi="宋体" w:cs="Times New Roman" w:hint="eastAsia"/>
          <w:szCs w:val="21"/>
          <w:highlight w:val="none"/>
        </w:rPr>
        <w:t>七、其他</w:t>
      </w:r>
    </w:p>
    <w:p>
      <w:pPr>
        <w:spacing w:line="360" w:lineRule="auto"/>
        <w:ind w:firstLine="420" w:firstLineChars="200"/>
        <w:rPr>
          <w:rFonts w:ascii="宋体" w:eastAsia="宋体" w:hAnsi="宋体" w:cs="Times New Roman" w:hint="eastAsia"/>
          <w:szCs w:val="21"/>
          <w:highlight w:val="none"/>
        </w:rPr>
      </w:pPr>
      <w:r>
        <w:rPr>
          <w:rFonts w:ascii="宋体" w:eastAsia="宋体" w:hAnsi="宋体" w:cs="Times New Roman" w:hint="eastAsia"/>
          <w:szCs w:val="21"/>
          <w:highlight w:val="none"/>
        </w:rPr>
        <w:t>检验考核要求</w:t>
      </w:r>
    </w:p>
    <w:p>
      <w:pPr>
        <w:spacing w:line="360" w:lineRule="auto"/>
        <w:ind w:firstLine="420" w:firstLineChars="200"/>
        <w:rPr>
          <w:rFonts w:ascii="宋体" w:eastAsia="宋体" w:hAnsi="宋体" w:cs="Times New Roman" w:hint="eastAsia"/>
          <w:szCs w:val="21"/>
          <w:highlight w:val="none"/>
        </w:rPr>
      </w:pPr>
      <w:r>
        <w:rPr>
          <w:rFonts w:ascii="宋体" w:eastAsia="宋体" w:hAnsi="宋体" w:cs="Times New Roman" w:hint="eastAsia"/>
          <w:szCs w:val="21"/>
          <w:highlight w:val="none"/>
        </w:rPr>
        <w:t>项目进入交付阶段后，根据可行性研究报告、招标文件、投标响应文件及合同中涉及的相关技术指标形成的验收方案，进行招标文件中涉及的设备的出厂/现场测试验收。</w:t>
      </w:r>
    </w:p>
    <w:p>
      <w:pPr>
        <w:spacing w:line="360" w:lineRule="auto"/>
        <w:ind w:firstLine="420" w:firstLineChars="200"/>
        <w:rPr>
          <w:rFonts w:ascii="宋体" w:eastAsia="宋体" w:hAnsi="宋体" w:cs="Times New Roman" w:hint="eastAsia"/>
          <w:szCs w:val="21"/>
          <w:highlight w:val="none"/>
        </w:rPr>
      </w:pPr>
      <w:r>
        <w:rPr>
          <w:rFonts w:ascii="宋体" w:eastAsia="宋体" w:hAnsi="宋体" w:cs="Times New Roman" w:hint="eastAsia"/>
          <w:szCs w:val="21"/>
          <w:highlight w:val="none"/>
        </w:rPr>
        <w:t>1、测试期间中标方必须在采购方代表参加的情况下，在工厂环境里验证相关的硬件能够完全正确运行和满足验收方案要求和技术指标，并形成出厂测试报告。如果未能通过出厂验收测试，验收将延期重新进行，由此增加的一切费用由中标方承担。出厂测试验收时，中标方应提供臭氧激光雷达详细的技术文档，包括但是不限于检测报告、电路图、技术说明书和使用说明书等各1份。</w:t>
      </w:r>
    </w:p>
    <w:p>
      <w:pPr>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现场测试验收应在采购方指定的建设场地对设备进行调试后，在采购方代表参加的情况下，依据验收方案中相关要求和技术指标对臭氧激光雷达进行现场验收测试并形成现场测试报告。如果未能通过现场验收测试，验收将延期重新进行，由此增加的一切费用由中标方承担。</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956"/>
        <w:gridCol w:w="688"/>
        <w:gridCol w:w="956"/>
        <w:gridCol w:w="1091"/>
        <w:gridCol w:w="688"/>
        <w:gridCol w:w="376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臭氧激光雷达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2,960,000.00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合同签订后90天内交货，30天内完成安装调试并具备验收条件</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2,960,000.00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9"/>
        <w:gridCol w:w="1812"/>
        <w:gridCol w:w="1161"/>
        <w:gridCol w:w="509"/>
        <w:gridCol w:w="1161"/>
        <w:gridCol w:w="967"/>
        <w:gridCol w:w="835"/>
        <w:gridCol w:w="15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遥感科(001043019004)</w:t>
            </w:r>
          </w:p>
        </w:tc>
        <w:tc>
          <w:tcPr/>
          <w:p>
            <w:r>
              <w:t>臭氧激光雷达</w:t>
            </w:r>
          </w:p>
        </w:tc>
        <w:tc>
          <w:tcPr/>
          <w:p>
            <w:r>
              <w:t>1</w:t>
            </w:r>
          </w:p>
        </w:tc>
        <w:tc>
          <w:tcPr/>
          <w:p>
            <w:r>
              <w:t>2960000.00</w:t>
            </w:r>
          </w:p>
        </w:tc>
        <w:tc>
          <w:tcPr/>
          <w:p>
            <w:r>
              <w:t xml:space="preserve">2960000.00  </w:t>
            </w:r>
          </w:p>
        </w:tc>
        <w:tc>
          <w:tcPr/>
          <w:p>
            <w:r>
              <w:t>福建省内</w:t>
            </w:r>
          </w:p>
        </w:tc>
        <w:tc>
          <w:tcPr/>
          <w:p>
            <w:r>
              <w:t>余安安13960886100</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8179B">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8179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32656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8179B">
            <w:pPr>
              <w:rPr>
                <w:sz w:val="18"/>
                <w:szCs w:val="18"/>
              </w:rPr>
            </w:pPr>
            <w:r>
              <w:rPr>
                <w:rFonts w:hint="eastAsia"/>
                <w:sz w:val="18"/>
                <w:szCs w:val="18"/>
              </w:rPr>
              <w:t>序号</w:t>
            </w:r>
          </w:p>
        </w:tc>
        <w:tc>
          <w:tcPr>
            <w:tcW w:w="898" w:type="dxa"/>
            <w:vAlign w:val="center"/>
          </w:tcPr>
          <w:p w:rsidR="0018179B">
            <w:pPr>
              <w:jc w:val="center"/>
              <w:rPr>
                <w:sz w:val="18"/>
                <w:szCs w:val="18"/>
              </w:rPr>
            </w:pPr>
            <w:r>
              <w:rPr>
                <w:rFonts w:hint="eastAsia"/>
                <w:sz w:val="18"/>
                <w:szCs w:val="18"/>
              </w:rPr>
              <w:t>对应</w:t>
            </w:r>
          </w:p>
          <w:p w:rsidR="0018179B">
            <w:pPr>
              <w:jc w:val="center"/>
              <w:rPr>
                <w:sz w:val="18"/>
                <w:szCs w:val="18"/>
              </w:rPr>
            </w:pPr>
            <w:r>
              <w:rPr>
                <w:rFonts w:hint="eastAsia"/>
                <w:sz w:val="18"/>
                <w:szCs w:val="18"/>
              </w:rPr>
              <w:t>条款号</w:t>
            </w:r>
          </w:p>
        </w:tc>
        <w:tc>
          <w:tcPr>
            <w:tcW w:w="7347" w:type="dxa"/>
            <w:vAlign w:val="center"/>
          </w:tcPr>
          <w:p w:rsidR="0018179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326562">
        <w:tblPrEx>
          <w:tblW w:w="8789" w:type="dxa"/>
          <w:tblLayout w:type="fixed"/>
          <w:tblLook w:val="04A0"/>
        </w:tblPrEx>
        <w:trPr>
          <w:cantSplit/>
        </w:trPr>
        <w:tc>
          <w:tcPr>
            <w:tcW w:w="8789" w:type="dxa"/>
            <w:gridSpan w:val="3"/>
            <w:vAlign w:val="center"/>
          </w:tcPr>
          <w:p w:rsidR="0018179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326562">
        <w:tblPrEx>
          <w:tblW w:w="8789" w:type="dxa"/>
          <w:tblLayout w:type="fixed"/>
          <w:tblLook w:val="04A0"/>
        </w:tblPrEx>
        <w:trPr>
          <w:cantSplit/>
        </w:trPr>
        <w:tc>
          <w:tcPr>
            <w:tcW w:w="544" w:type="dxa"/>
            <w:vAlign w:val="center"/>
          </w:tcPr>
          <w:p w:rsidR="0018179B">
            <w:pPr>
              <w:numPr>
                <w:ilvl w:val="0"/>
                <w:numId w:val="13"/>
              </w:numPr>
              <w:rPr>
                <w:rFonts w:ascii="宋体" w:hAnsi="宋体"/>
                <w:sz w:val="18"/>
                <w:szCs w:val="18"/>
              </w:rPr>
            </w:pPr>
          </w:p>
        </w:tc>
        <w:tc>
          <w:tcPr>
            <w:tcW w:w="898" w:type="dxa"/>
            <w:vAlign w:val="center"/>
          </w:tcPr>
          <w:p w:rsidR="0018179B">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8179B">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326562">
        <w:tblPrEx>
          <w:tblW w:w="8789" w:type="dxa"/>
          <w:tblLayout w:type="fixed"/>
          <w:tblLook w:val="04A0"/>
        </w:tblPrEx>
        <w:trPr>
          <w:cantSplit/>
        </w:trPr>
        <w:tc>
          <w:tcPr>
            <w:tcW w:w="8789" w:type="dxa"/>
            <w:gridSpan w:val="3"/>
            <w:vAlign w:val="center"/>
          </w:tcPr>
          <w:p w:rsidR="0018179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326562">
        <w:tblPrEx>
          <w:tblW w:w="8789" w:type="dxa"/>
          <w:tblLayout w:type="fixed"/>
          <w:tblLook w:val="04A0"/>
        </w:tblPrEx>
        <w:trPr>
          <w:cantSplit/>
        </w:trPr>
        <w:tc>
          <w:tcPr>
            <w:tcW w:w="544" w:type="dxa"/>
            <w:vAlign w:val="center"/>
          </w:tcPr>
          <w:p w:rsidR="0018179B">
            <w:pPr>
              <w:numPr>
                <w:ilvl w:val="0"/>
                <w:numId w:val="13"/>
              </w:numPr>
              <w:rPr>
                <w:rFonts w:ascii="宋体" w:hAnsi="宋体"/>
                <w:sz w:val="18"/>
                <w:szCs w:val="18"/>
              </w:rPr>
            </w:pPr>
          </w:p>
        </w:tc>
        <w:tc>
          <w:tcPr>
            <w:tcW w:w="898" w:type="dxa"/>
            <w:vAlign w:val="center"/>
          </w:tcPr>
          <w:p w:rsidR="0018179B">
            <w:pPr>
              <w:jc w:val="center"/>
              <w:rPr>
                <w:rFonts w:ascii="宋体" w:hAnsi="宋体" w:hint="eastAsia"/>
                <w:sz w:val="18"/>
                <w:szCs w:val="18"/>
              </w:rPr>
            </w:pPr>
            <w:r>
              <w:rPr>
                <w:rFonts w:ascii="宋体" w:hAnsi="宋体" w:hint="eastAsia"/>
                <w:sz w:val="18"/>
                <w:szCs w:val="18"/>
              </w:rPr>
              <w:t>五、</w:t>
            </w:r>
            <w:r>
              <w:rPr>
                <w:rFonts w:ascii="宋体" w:hAnsi="宋体"/>
                <w:sz w:val="18"/>
                <w:szCs w:val="18"/>
              </w:rPr>
              <w:t>质保服务要求</w:t>
            </w:r>
          </w:p>
        </w:tc>
        <w:tc>
          <w:tcPr>
            <w:tcW w:w="7347" w:type="dxa"/>
            <w:vAlign w:val="center"/>
          </w:tcPr>
          <w:p w:rsidR="0018179B">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，并提供相关承诺函</w:t>
            </w:r>
          </w:p>
        </w:tc>
      </w:tr>
    </w:tbl>
    <w:p w:rsidR="0018179B">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15个工作日内，甲方向乙方支付合同总金额的一定比例；验收合格之日起15个工作日内，甲方向乙方支付合同总金额的一定比例（各采购单位支付比例见第三节“合同价款支付时间</w:t>
      </w:r>
      <w:r>
        <w:rPr>
          <w:rFonts w:ascii="宋体" w:hAnsi="宋体" w:hint="eastAsia"/>
          <w:szCs w:val="21"/>
          <w:highlight w:val="none"/>
          <w:u w:val="single"/>
          <w:lang w:val="en-US" w:eastAsia="zh-CN"/>
        </w:rPr>
        <w:t>”）</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合同金额的</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hint="default"/>
                <w:szCs w:val="21"/>
                <w:highlight w:val="none"/>
              </w:rPr>
            </w:pPr>
            <w:r>
              <w:rPr>
                <w:rFonts w:ascii="宋体" w:hAnsi="宋体" w:hint="eastAsia"/>
                <w:szCs w:val="21"/>
                <w:highlight w:val="none"/>
                <w:lang w:eastAsia="zh-CN"/>
              </w:rPr>
              <w:t>合同签订后</w:t>
            </w:r>
            <w:r>
              <w:rPr>
                <w:rFonts w:ascii="宋体" w:hAnsi="宋体" w:hint="eastAsia"/>
                <w:szCs w:val="21"/>
                <w:highlight w:val="none"/>
                <w:lang w:val="en-US" w:eastAsia="zh-CN"/>
              </w:rPr>
              <w:t>15个工作日内，甲方收到乙方开具的合同金额90%的发票后，向乙方支付合同总金额的90%；验收合格之日起15个工作日</w:t>
            </w:r>
            <w:r>
              <w:rPr>
                <w:rFonts w:ascii="宋体" w:hAnsi="宋体" w:hint="eastAsia"/>
                <w:szCs w:val="21"/>
                <w:highlight w:val="none"/>
                <w:lang w:val="en-US" w:eastAsia="zh-CN"/>
              </w:rPr>
              <w:t>内，甲方收到乙方开具的合同金额10%的发票后，向乙方支付合同总金额的10%。</w:t>
            </w: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179B"/>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uiPriority w:val="99"/>
    <w:semiHidden/>
    <w:unhideWhenUsed/>
    <w:qFormat/>
    <w:pPr>
      <w:ind w:firstLine="420" w:firstLineChars="200"/>
    </w:pPr>
    <w:rPr>
      <w:rFonts w:asciiTheme="minorHAnsi" w:eastAsiaTheme="minorEastAsia" w:hAnsiTheme="minorHAnsi" w:cstheme="minorBidi"/>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