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地基遥感垂直观测系统建设项目-拉曼和米散射气溶胶激光雷达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ZQCD-25174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浙江省大气探测技术保障中心；武汉市气象局；厦门市气象灾害防御技术中心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地基遥感垂直观测系统建设项目-拉曼和米散射气溶胶激光雷达</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ZQCD-25174</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合同签订后180天内交货，完成安装调试并具备验收条件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浙江杭州；湖北武汉；福建厦门</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2025年07月30日 00:00:00</w:t>
      </w:r>
      <w:bookmarkEnd w:id="26"/>
      <w:r>
        <w:rPr>
          <w:rFonts w:ascii="宋体" w:hint="eastAsia"/>
          <w:szCs w:val="21"/>
          <w:highlight w:val="none"/>
        </w:rPr>
        <w:t>至</w:t>
      </w:r>
      <w:bookmarkStart w:id="27" w:name="项目公告_signUpLastTime"/>
      <w:r>
        <w:rPr>
          <w:rFonts w:ascii="宋体" w:hint="eastAsia"/>
          <w:szCs w:val="21"/>
          <w:highlight w:val="none"/>
        </w:rPr>
        <w:t>2025年08月08日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2025年08月20日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北京市海淀区中关村南大街46号中国气象局北区7号楼2层小会议室（科技大楼前草坪西侧），届时请投标人的法定代表人或其授权的投标人授权代表准时到场参加。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浙江省大气探测技术保障中心；武汉市气象局；厦门市气象灾害防御技术中心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王聆勤</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0571-86683278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浙江省杭州市钱塘区下沙11号大街8号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浙江省大气探测技术保障中心；武汉市气象局；厦门市气象灾害防御技术中心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不允许（仅针对以下产品：拉曼和米散射气溶胶激光雷达不允许代理商投标）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进口产品制造商授权书</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必须，以下产品需要提供至投标截止日仍有效的《气象专用技术装备使用许可证》：拉曼和米散射气溶胶激光雷达</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标的所属行业：属于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是，中标服务费：8.1万元。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1,455.000000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1,455.000000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货物的供应、运输、安装调试、后期培训及售后服务均由供货商负责</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销售合同必须包括拉曼和米散射气溶胶激光雷达，每提供1份合同得1分，最多得5分。否则不得分。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(3)</w:t>
            </w:r>
          </w:p>
        </w:tc>
        <w:tc>
          <w:tcPr/>
          <w:p>
            <w:r>
              <w:t>评审标准：</w:t>
            </w:r>
          </w:p>
          <w:p>
            <w:r>
              <w:t>针对本项目采购的拉曼和米散射气溶胶激光雷达，</w:t>
              <w:cr/>
              <w:t>承诺每提前10天交货的得1分，最多得3分。否则不得分。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针对拉曼和米散射气溶胶激光雷达设备，每提供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针对拉曼和米散射气溶胶激光雷达设备，测试报告应涵盖高温测试、低温测试、恒定湿热测试、电磁兼容性测试、噪音测试、振动和运输测试等内容，每包含一项得0.5分，最多得3分。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3.1气溶胶激光观测仪（三波长）基本要求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气溶胶激光观测仪（三波长）以三波长激光器为光源，同时发射355nm，532nm和1064nm的激光光束，光束通过扩束镜扩束整形后经过反射镜反射进入大气中。望远镜系统对视场内的激光光束的米散射和拉曼散射信息进行接收，通过光电转换和信号采集处理后经过相应的雷达反演算法，通过计算得到气溶胶消光系数、气溶胶后向散射系数、气溶胶粒子退偏振比、云信息、光学厚度、污染物混合层高度、能见度、颗粒物浓度廓线、水汽混合比廓线等数据产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3.2技术指标要求</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表3-1 气溶胶激光观测仪（三波长）主要性能指标要求</w:t>
      </w:r>
    </w:p>
    <w:tbl>
      <w:tblPr>
        <w:tblStyle w:val="TableNormal"/>
        <w:tblW w:w="49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172"/>
        <w:gridCol w:w="2480"/>
        <w:gridCol w:w="5268"/>
      </w:tblGrid>
      <w:tr>
        <w:tblPrEx>
          <w:tblW w:w="49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25"/>
          <w:tblHeader/>
          <w:jc w:val="center"/>
        </w:trPr>
        <w:tc>
          <w:tcPr>
            <w:tcW w:w="1180"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系统名称</w:t>
            </w:r>
          </w:p>
        </w:tc>
        <w:tc>
          <w:tcPr>
            <w:tcW w:w="2496"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指标</w:t>
            </w:r>
          </w:p>
        </w:tc>
        <w:tc>
          <w:tcPr>
            <w:tcW w:w="5303" w:type="dxa"/>
            <w:vAlign w:val="center"/>
          </w:tcPr>
          <w:p>
            <w:pPr>
              <w:pStyle w:val="a2"/>
              <w:spacing w:line="240" w:lineRule="auto"/>
              <w:rPr>
                <w:rFonts w:ascii="仿宋" w:eastAsia="仿宋" w:hAnsi="仿宋" w:cs="仿宋" w:hint="eastAsia"/>
                <w:b/>
                <w:color w:val="auto"/>
                <w:kern w:val="0"/>
                <w:sz w:val="24"/>
                <w:szCs w:val="24"/>
                <w:lang w:eastAsia="en-US"/>
              </w:rPr>
            </w:pPr>
            <w:r>
              <w:rPr>
                <w:rFonts w:ascii="仿宋" w:eastAsia="仿宋" w:hAnsi="仿宋" w:cs="仿宋" w:hint="eastAsia"/>
                <w:b/>
                <w:color w:val="auto"/>
                <w:kern w:val="0"/>
                <w:sz w:val="24"/>
                <w:szCs w:val="24"/>
                <w:lang w:eastAsia="en-US"/>
              </w:rPr>
              <w:t>指标要求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工作波长</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355nm，532nm，1064nm</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highlight w:val="yellow"/>
                <w:lang w:eastAsia="en-US"/>
              </w:rPr>
              <w:t>#激光能量</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1mJ@1064nm</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0.5mJ@532nm</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0.3mJ@355nm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脉冲宽度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50ns</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发射激光脉冲线宽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0.2 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发射激光的偏振比</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100:1</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激光发散角</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1mrad</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望远镜类型</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采用透射式或反射式望远镜</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工作波长</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300~2000nm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望远镜口径</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≥Φ</w:t>
            </w:r>
            <w:r>
              <w:rPr>
                <w:rFonts w:ascii="仿宋" w:eastAsia="仿宋" w:hAnsi="仿宋" w:cs="仿宋" w:hint="eastAsia"/>
                <w:bCs/>
                <w:color w:val="auto"/>
                <w:kern w:val="0"/>
                <w:sz w:val="24"/>
                <w:szCs w:val="24"/>
                <w:lang w:eastAsia="en-US"/>
              </w:rPr>
              <w:t>250mm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接收视场角</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1mrad</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接收通道</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355nm垂直，355nm平行，532nm垂直，532nm平行，1064nm，386nm氮分子拉曼，407nm水汽分子拉曼，607nm氮分子拉曼</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光电转换和数据采集系统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光电探测器类型</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APD/ PMT</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光电探测器模式</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模拟或光子计数</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数据采集器采样频率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 MHz</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采样位数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模拟通道：</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12bit（有效位）</w:t>
            </w:r>
          </w:p>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光子计数通道：200 M c/s</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干涉滤光片带宽抑制</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OD4</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滤光片带宽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1nm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#不同波长之间的串扰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#偏振平行到偏振垂直的串扰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 </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#米散射到拉曼散射通道的串扰</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0.01% </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性能指标</w:t>
            </w:r>
          </w:p>
        </w:tc>
        <w:tc>
          <w:tcPr>
            <w:tcW w:w="2496" w:type="dxa"/>
            <w:vAlign w:val="center"/>
          </w:tcPr>
          <w:p>
            <w:pPr>
              <w:pStyle w:val="a2"/>
              <w:spacing w:line="240" w:lineRule="auto"/>
              <w:rPr>
                <w:rFonts w:ascii="仿宋" w:eastAsia="仿宋" w:hAnsi="仿宋" w:cs="仿宋" w:hint="eastAsia"/>
                <w:bCs/>
                <w:color w:val="auto"/>
                <w:kern w:val="0"/>
                <w:sz w:val="24"/>
                <w:szCs w:val="24"/>
                <w:highlight w:val="yellow"/>
                <w:lang w:eastAsia="en-US"/>
              </w:rPr>
            </w:pPr>
            <w:r>
              <w:rPr>
                <w:rFonts w:ascii="仿宋" w:eastAsia="仿宋" w:hAnsi="仿宋" w:cs="仿宋" w:hint="eastAsia"/>
                <w:bCs/>
                <w:color w:val="auto"/>
                <w:kern w:val="0"/>
                <w:sz w:val="24"/>
                <w:szCs w:val="24"/>
                <w:highlight w:val="yellow"/>
                <w:lang w:eastAsia="en-US"/>
              </w:rPr>
              <w:t>#有效探测范围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晴空干洁大气下，夜间</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10km，白天</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5km</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连续工作时间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可24小时连续工作</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bookmarkStart w:id="61" w:name="OLE_LINK4"/>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空间分辨率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7.5m及其倍数</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时间分辨率</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1-30min可调</w:t>
            </w:r>
          </w:p>
        </w:tc>
      </w:tr>
      <w:bookmarkEnd w:id="61"/>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数据产品种类</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气溶胶消光系数、气溶胶后向散射系数、气溶胶粒子退偏振比、云信息、光学厚度、污染物混合层高度、能见度、颗粒物浓度廓线</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距离测量精度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不大于其空间分辨率</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#气溶胶后向散射系数精度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米散射：0.5-2 km：不大于20%，满足后向散射系数&gt;1</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10-7时，2-5 km：不大于40%（不计入激光雷达比误差）</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#气溶胶后向散射系数精度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拉曼散射：0.5-2 km：不大于25%，2-5 km：不大于30%</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#气溶胶消光系数测量精度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米散射：0.5-2 km：不大于20%，满足后向散射系数&gt;1</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10-7时，2-5 km：不大于40%（不计入激光雷达比误差）</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highlight w:val="yellow"/>
              </w:rPr>
            </w:pPr>
            <w:r>
              <w:rPr>
                <w:rFonts w:ascii="仿宋" w:eastAsia="仿宋" w:hAnsi="仿宋" w:cs="仿宋" w:hint="eastAsia"/>
                <w:bCs/>
                <w:color w:val="auto"/>
                <w:kern w:val="0"/>
                <w:sz w:val="24"/>
                <w:szCs w:val="24"/>
                <w:highlight w:val="yellow"/>
              </w:rPr>
              <w:t>#气溶胶消光系数测量精度</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拉曼散射：0.5-2 km：不大于30%， 2-5 km：不大于40%；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数据格式</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按照中国气象局统一要求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标校项目</w:t>
            </w:r>
          </w:p>
          <w:p>
            <w:pPr>
              <w:pStyle w:val="a2"/>
              <w:spacing w:line="240" w:lineRule="auto"/>
              <w:jc w:val="both"/>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系统线性度</w:t>
            </w:r>
          </w:p>
        </w:tc>
        <w:tc>
          <w:tcPr>
            <w:tcW w:w="5303" w:type="dxa"/>
            <w:vAlign w:val="bottom"/>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95%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接收横截面四象限均匀性</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2 km~5km：至少有三个象限的平均相对偏差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20%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偏振通道增益比</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偏振系统光轴一致性：相对偏差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Merge/>
            <w:vAlign w:val="center"/>
          </w:tcPr>
          <w:p>
            <w:pPr>
              <w:pStyle w:val="a2"/>
              <w:spacing w:line="240" w:lineRule="auto"/>
              <w:rPr>
                <w:rFonts w:ascii="仿宋" w:eastAsia="仿宋" w:hAnsi="仿宋" w:cs="仿宋" w:hint="eastAsia"/>
                <w:bCs/>
                <w:color w:val="auto"/>
                <w:kern w:val="0"/>
                <w:sz w:val="24"/>
                <w:szCs w:val="24"/>
              </w:rPr>
            </w:pP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增益比稳定性：相对偏差</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大气瑞利信号拟合一致性</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15%</w:t>
            </w:r>
          </w:p>
        </w:tc>
      </w:tr>
      <w:tr>
        <w:tblPrEx>
          <w:tblW w:w="4954" w:type="pct"/>
          <w:jc w:val="center"/>
          <w:tblCellMar>
            <w:top w:w="0" w:type="dxa"/>
            <w:left w:w="108" w:type="dxa"/>
            <w:bottom w:w="0" w:type="dxa"/>
            <w:right w:w="108" w:type="dxa"/>
          </w:tblCellMar>
          <w:tblLook w:val="0000"/>
        </w:tblPrEx>
        <w:trPr>
          <w:trHeight w:val="641"/>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重叠因子（与标准雷达比）</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0.2 km~0.5km：平均相对偏差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50%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距离平方校正信号</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0.5 km~2km：平均相对偏差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0.5 km~2km：平均标准偏差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10%；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 xml:space="preserve">2 km~5km：平均相对偏差 </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20%，</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2 km~5km：平均标准偏差</w:t>
            </w: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 xml:space="preserve"> 20%。</w:t>
            </w:r>
          </w:p>
        </w:tc>
      </w:tr>
      <w:tr>
        <w:tblPrEx>
          <w:tblW w:w="4954" w:type="pct"/>
          <w:jc w:val="center"/>
          <w:tblCellMar>
            <w:top w:w="0" w:type="dxa"/>
            <w:left w:w="108" w:type="dxa"/>
            <w:bottom w:w="0" w:type="dxa"/>
            <w:right w:w="108" w:type="dxa"/>
          </w:tblCellMar>
          <w:tblLook w:val="0000"/>
        </w:tblPrEx>
        <w:trPr>
          <w:trHeight w:val="1273"/>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自动标定系统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标定内容</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校准光信号的动态范围大于10</w:t>
            </w:r>
            <w:r>
              <w:rPr>
                <w:rFonts w:ascii="仿宋" w:eastAsia="仿宋" w:hAnsi="仿宋" w:cs="仿宋" w:hint="eastAsia"/>
                <w:bCs/>
                <w:color w:val="auto"/>
                <w:kern w:val="0"/>
                <w:sz w:val="24"/>
                <w:szCs w:val="24"/>
                <w:vertAlign w:val="superscript"/>
              </w:rPr>
              <w:t>4</w:t>
            </w:r>
            <w:r>
              <w:rPr>
                <w:rFonts w:ascii="仿宋" w:eastAsia="仿宋" w:hAnsi="仿宋" w:cs="仿宋" w:hint="eastAsia"/>
                <w:bCs/>
                <w:color w:val="auto"/>
                <w:kern w:val="0"/>
                <w:sz w:val="24"/>
                <w:szCs w:val="24"/>
              </w:rPr>
              <w:t>，能够对激光雷达的动态范围、信噪比、偏振通道的串扰、偏振增益比等进行校正，同时能够模拟晴空、有云和沙尘等多种天气条件下的大气回波信号。</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数据质控系统</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数据质控和反演</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可以实现对激光雷达数据进行预处理、异常数据剔除、数据分级、实时反演，可实现原始数据质量控制、反演结果质量控制等工作。</w:t>
            </w:r>
          </w:p>
        </w:tc>
      </w:tr>
      <w:tr>
        <w:tblPrEx>
          <w:tblW w:w="4954" w:type="pct"/>
          <w:jc w:val="center"/>
          <w:tblCellMar>
            <w:top w:w="0" w:type="dxa"/>
            <w:left w:w="108" w:type="dxa"/>
            <w:bottom w:w="0" w:type="dxa"/>
            <w:right w:w="108" w:type="dxa"/>
          </w:tblCellMar>
          <w:tblLook w:val="0000"/>
        </w:tblPrEx>
        <w:trPr>
          <w:trHeight w:val="989"/>
          <w:tblHeader/>
          <w:jc w:val="center"/>
        </w:trPr>
        <w:tc>
          <w:tcPr>
            <w:tcW w:w="1180"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标准输出控制单元</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bookmarkStart w:id="62" w:name="OLE_LINK3"/>
            <w:r>
              <w:rPr>
                <w:rFonts w:ascii="仿宋" w:eastAsia="仿宋" w:hAnsi="仿宋" w:cs="仿宋" w:hint="eastAsia"/>
                <w:bCs/>
                <w:color w:val="auto"/>
                <w:kern w:val="0"/>
                <w:sz w:val="24"/>
                <w:szCs w:val="24"/>
                <w:highlight w:val="yellow"/>
                <w:lang w:eastAsia="en-US"/>
              </w:rPr>
              <w:t>#</w:t>
            </w:r>
            <w:bookmarkEnd w:id="62"/>
            <w:r>
              <w:rPr>
                <w:rFonts w:ascii="仿宋" w:eastAsia="仿宋" w:hAnsi="仿宋" w:cs="仿宋" w:hint="eastAsia"/>
                <w:bCs/>
                <w:color w:val="auto"/>
                <w:kern w:val="0"/>
                <w:sz w:val="24"/>
                <w:szCs w:val="24"/>
                <w:highlight w:val="yellow"/>
                <w:lang w:eastAsia="en-US"/>
              </w:rPr>
              <w:t>监控和控制内容</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具备雷达及附属设备监测、维护维修痕迹管理、远程控制、雷达性能在线分析及产品前期质控等功能。</w:t>
            </w:r>
          </w:p>
        </w:tc>
      </w:tr>
      <w:tr>
        <w:tblPrEx>
          <w:tblW w:w="4954" w:type="pct"/>
          <w:jc w:val="center"/>
          <w:tblCellMar>
            <w:top w:w="0" w:type="dxa"/>
            <w:left w:w="108" w:type="dxa"/>
            <w:bottom w:w="0" w:type="dxa"/>
            <w:right w:w="108" w:type="dxa"/>
          </w:tblCellMar>
          <w:tblLook w:val="0000"/>
        </w:tblPrEx>
        <w:trPr>
          <w:trHeight w:val="956"/>
          <w:tblHeader/>
          <w:jc w:val="center"/>
        </w:trPr>
        <w:tc>
          <w:tcPr>
            <w:tcW w:w="1180" w:type="dxa"/>
            <w:vMerge w:val="restart"/>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设备</w:t>
            </w: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电磁兼容性要求</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产品通过电快速瞬变脉冲群抗扰度测试、浪涌抗扰度测试、静电放电抗扰度测试、电压暂降和短时中断抗扰度测试，满足产品电磁兼容性要求。</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平均无故障运行时间</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1000h</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lang w:eastAsia="en-US"/>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工作温度</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舱外装置：-40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~+50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，舱内装置：+10</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~30</w:t>
            </w:r>
            <w:r>
              <w:rPr>
                <w:rFonts w:ascii="仿宋" w:eastAsia="仿宋" w:hAnsi="仿宋" w:cs="仿宋" w:hint="eastAsia"/>
                <w:bCs/>
                <w:color w:val="auto"/>
                <w:kern w:val="0"/>
                <w:sz w:val="24"/>
                <w:szCs w:val="24"/>
              </w:rPr>
              <w:t>℃</w:t>
            </w:r>
          </w:p>
        </w:tc>
      </w:tr>
      <w:tr>
        <w:tblPrEx>
          <w:tblW w:w="4954" w:type="pct"/>
          <w:jc w:val="center"/>
          <w:tblCellMar>
            <w:top w:w="0" w:type="dxa"/>
            <w:left w:w="108" w:type="dxa"/>
            <w:bottom w:w="0" w:type="dxa"/>
            <w:right w:w="108" w:type="dxa"/>
          </w:tblCellMar>
          <w:tblLook w:val="0000"/>
        </w:tblPrEx>
        <w:trPr>
          <w:trHeight w:val="325"/>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电源要求</w:t>
            </w:r>
          </w:p>
        </w:tc>
        <w:tc>
          <w:tcPr>
            <w:tcW w:w="5303" w:type="dxa"/>
            <w:vAlign w:val="center"/>
          </w:tcPr>
          <w:p>
            <w:pPr>
              <w:pStyle w:val="a2"/>
              <w:spacing w:line="240" w:lineRule="auto"/>
              <w:jc w:val="left"/>
              <w:rPr>
                <w:rFonts w:ascii="仿宋" w:eastAsia="仿宋" w:hAnsi="仿宋" w:cs="仿宋" w:hint="eastAsia"/>
                <w:bCs/>
                <w:color w:val="auto"/>
                <w:kern w:val="0"/>
                <w:sz w:val="24"/>
                <w:szCs w:val="24"/>
              </w:rPr>
            </w:pPr>
            <w:r>
              <w:rPr>
                <w:rFonts w:ascii="仿宋" w:eastAsia="仿宋" w:hAnsi="仿宋" w:cs="仿宋" w:hint="eastAsia"/>
                <w:bCs/>
                <w:color w:val="auto"/>
                <w:kern w:val="0"/>
                <w:sz w:val="24"/>
                <w:szCs w:val="24"/>
              </w:rPr>
              <w:t>单相，AC220 V</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15%，50 Hz</w:t>
            </w:r>
            <w:r>
              <w:rPr>
                <w:rFonts w:ascii="仿宋" w:eastAsia="仿宋" w:hAnsi="仿宋" w:cs="仿宋" w:hint="eastAsia"/>
                <w:bCs/>
                <w:color w:val="auto"/>
                <w:kern w:val="0"/>
                <w:sz w:val="24"/>
                <w:szCs w:val="24"/>
              </w:rPr>
              <w:t>±</w:t>
            </w:r>
            <w:r>
              <w:rPr>
                <w:rFonts w:ascii="仿宋" w:eastAsia="仿宋" w:hAnsi="仿宋" w:cs="仿宋" w:hint="eastAsia"/>
                <w:bCs/>
                <w:color w:val="auto"/>
                <w:kern w:val="0"/>
                <w:sz w:val="24"/>
                <w:szCs w:val="24"/>
              </w:rPr>
              <w:t>5%</w:t>
            </w:r>
          </w:p>
        </w:tc>
      </w:tr>
      <w:tr>
        <w:tblPrEx>
          <w:tblW w:w="4954" w:type="pct"/>
          <w:jc w:val="center"/>
          <w:tblCellMar>
            <w:top w:w="0" w:type="dxa"/>
            <w:left w:w="108" w:type="dxa"/>
            <w:bottom w:w="0" w:type="dxa"/>
            <w:right w:w="108" w:type="dxa"/>
          </w:tblCellMar>
          <w:tblLook w:val="0000"/>
        </w:tblPrEx>
        <w:trPr>
          <w:trHeight w:val="337"/>
          <w:tblHeader/>
          <w:jc w:val="center"/>
        </w:trPr>
        <w:tc>
          <w:tcPr>
            <w:tcW w:w="1180" w:type="dxa"/>
            <w:vMerge/>
            <w:vAlign w:val="center"/>
          </w:tcPr>
          <w:p>
            <w:pPr>
              <w:pStyle w:val="a2"/>
              <w:spacing w:line="240" w:lineRule="auto"/>
              <w:rPr>
                <w:rFonts w:ascii="仿宋" w:eastAsia="仿宋" w:hAnsi="仿宋" w:cs="仿宋" w:hint="eastAsia"/>
                <w:bCs/>
                <w:color w:val="auto"/>
                <w:kern w:val="0"/>
                <w:sz w:val="24"/>
                <w:szCs w:val="24"/>
              </w:rPr>
            </w:pPr>
          </w:p>
        </w:tc>
        <w:tc>
          <w:tcPr>
            <w:tcW w:w="2496" w:type="dxa"/>
            <w:vAlign w:val="center"/>
          </w:tcPr>
          <w:p>
            <w:pPr>
              <w:pStyle w:val="a2"/>
              <w:spacing w:line="240" w:lineRule="auto"/>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激光器寿命</w:t>
            </w:r>
          </w:p>
        </w:tc>
        <w:tc>
          <w:tcPr>
            <w:tcW w:w="5303" w:type="dxa"/>
            <w:vAlign w:val="center"/>
          </w:tcPr>
          <w:p>
            <w:pPr>
              <w:pStyle w:val="a2"/>
              <w:spacing w:line="240" w:lineRule="auto"/>
              <w:jc w:val="left"/>
              <w:rPr>
                <w:rFonts w:ascii="仿宋" w:eastAsia="仿宋" w:hAnsi="仿宋" w:cs="仿宋" w:hint="eastAsia"/>
                <w:bCs/>
                <w:color w:val="auto"/>
                <w:kern w:val="0"/>
                <w:sz w:val="24"/>
                <w:szCs w:val="24"/>
                <w:lang w:eastAsia="en-US"/>
              </w:rPr>
            </w:pPr>
            <w:r>
              <w:rPr>
                <w:rFonts w:ascii="仿宋" w:eastAsia="仿宋" w:hAnsi="仿宋" w:cs="仿宋" w:hint="eastAsia"/>
                <w:bCs/>
                <w:color w:val="auto"/>
                <w:kern w:val="0"/>
                <w:sz w:val="24"/>
                <w:szCs w:val="24"/>
                <w:lang w:eastAsia="en-US"/>
              </w:rPr>
              <w:t>≥</w:t>
            </w:r>
            <w:r>
              <w:rPr>
                <w:rFonts w:ascii="仿宋" w:eastAsia="仿宋" w:hAnsi="仿宋" w:cs="仿宋" w:hint="eastAsia"/>
                <w:bCs/>
                <w:color w:val="auto"/>
                <w:kern w:val="0"/>
                <w:sz w:val="24"/>
                <w:szCs w:val="24"/>
                <w:lang w:eastAsia="en-US"/>
              </w:rPr>
              <w:t>3000 H</w:t>
            </w:r>
          </w:p>
        </w:tc>
      </w:tr>
    </w:tbl>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3.3气溶胶激光观测仪（三波长）内置软件包要求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3.3.1气溶胶激光观测仪（三波长）采集控制软件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（1）采集控制：能够采集355nm，532nm，1064nm等多路信号，可选择将不同通道的信号全部显示或单独显示，能够对信号曲线进行缩放。</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（2）参数设置：能够对站点信息、数据存储路径、采集时间间隔、每组采集脉冲数进行设置。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（3）状态显示：界面上可实时显示激光器、采集卡模块工作状态；可显示采集日志和系统错误提示信息。</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（4）软件自恢复：软件具有自动恢复监测功能，能够在设备故障重启后使用上一次有效监测模式进行监测。</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3.3.2气溶胶激光观测仪（三波长）数据分析软件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（1）数据展示：实时展示雷达当前24小时采集的数据结果。</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（2）数据产品：气溶胶消光系数、气溶胶后向散射系数、气溶胶粒子退偏振比、云信息、光学厚度、污染物混合层高度、能见度、颗粒物浓度等。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（3）数据导入：可将历史数据进行导入加载，反演展示。</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（4）参数设置：可实现对数据路径、位置信息、算法参数等参数的配置。</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3.4、配置要求</w:t>
      </w:r>
    </w:p>
    <w:tbl>
      <w:tblPr>
        <w:tblStyle w:val="TableNormal"/>
        <w:tblW w:w="43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342"/>
        <w:gridCol w:w="6565"/>
      </w:tblGrid>
      <w:tr>
        <w:tblPrEx>
          <w:tblW w:w="43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spacing w:before="42"/>
              <w:ind w:left="107"/>
              <w:jc w:val="center"/>
              <w:rPr>
                <w:rFonts w:ascii="仿宋" w:eastAsia="仿宋" w:hAnsi="仿宋" w:cs="仿宋" w:hint="eastAsia"/>
                <w:b/>
                <w:sz w:val="24"/>
                <w:szCs w:val="24"/>
                <w:lang w:eastAsia="zh-CN"/>
              </w:rPr>
            </w:pPr>
            <w:r>
              <w:rPr>
                <w:rFonts w:ascii="仿宋" w:eastAsia="仿宋" w:hAnsi="仿宋" w:cs="仿宋" w:hint="eastAsia"/>
                <w:b/>
                <w:sz w:val="24"/>
                <w:szCs w:val="24"/>
                <w:lang w:eastAsia="zh-CN"/>
              </w:rPr>
              <w:t>编号</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spacing w:before="42"/>
              <w:ind w:left="107"/>
              <w:jc w:val="center"/>
              <w:rPr>
                <w:rFonts w:ascii="仿宋" w:eastAsia="仿宋" w:hAnsi="仿宋" w:cs="仿宋" w:hint="eastAsia"/>
                <w:b/>
                <w:sz w:val="24"/>
                <w:szCs w:val="24"/>
                <w:lang w:eastAsia="zh-CN"/>
              </w:rPr>
            </w:pPr>
            <w:r>
              <w:rPr>
                <w:rFonts w:ascii="仿宋" w:eastAsia="仿宋" w:hAnsi="仿宋" w:cs="仿宋" w:hint="eastAsia"/>
                <w:b/>
                <w:sz w:val="24"/>
                <w:szCs w:val="24"/>
                <w:lang w:eastAsia="zh-CN"/>
              </w:rPr>
              <w:t>项目</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1</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气溶胶激光观测仪（三波长）主机</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2</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气溶胶激光观测仪（三波长）内置软件包</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3</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观测天窗及其附属件</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4</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备用电源（UPS）及其附属件</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5</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工具包</w:t>
            </w:r>
          </w:p>
        </w:tc>
      </w:tr>
      <w:tr>
        <w:tblPrEx>
          <w:tblW w:w="4363" w:type="pct"/>
          <w:jc w:val="center"/>
          <w:tblCellMar>
            <w:top w:w="0" w:type="dxa"/>
            <w:left w:w="108" w:type="dxa"/>
            <w:bottom w:w="0" w:type="dxa"/>
            <w:right w:w="108" w:type="dxa"/>
          </w:tblCellMar>
          <w:tblLook w:val="0000"/>
        </w:tblPrEx>
        <w:trPr>
          <w:jc w:val="center"/>
        </w:trPr>
        <w:tc>
          <w:tcPr>
            <w:tcW w:w="1342"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6</w:t>
            </w:r>
          </w:p>
        </w:tc>
        <w:tc>
          <w:tcPr>
            <w:tcW w:w="6565" w:type="dxa"/>
            <w:tcBorders>
              <w:top w:val="single" w:sz="4" w:space="0" w:color="auto"/>
              <w:left w:val="single" w:sz="4" w:space="0" w:color="auto"/>
              <w:bottom w:val="single" w:sz="4" w:space="0" w:color="auto"/>
              <w:right w:val="single" w:sz="4" w:space="0" w:color="auto"/>
            </w:tcBorders>
            <w:vAlign w:val="center"/>
          </w:tcPr>
          <w:p>
            <w:pPr>
              <w:pStyle w:val="TableParagraph"/>
              <w:autoSpaceDE w:val="0"/>
              <w:autoSpaceDN w:val="0"/>
              <w:adjustRightInd w:val="0"/>
              <w:snapToGrid w:val="0"/>
              <w:jc w:val="center"/>
              <w:rPr>
                <w:rFonts w:ascii="仿宋" w:eastAsia="仿宋" w:hAnsi="仿宋" w:cs="仿宋" w:hint="eastAsia"/>
                <w:bCs/>
                <w:sz w:val="24"/>
                <w:szCs w:val="24"/>
                <w:lang w:eastAsia="zh-CN"/>
              </w:rPr>
            </w:pPr>
            <w:r>
              <w:rPr>
                <w:rFonts w:ascii="仿宋" w:eastAsia="仿宋" w:hAnsi="仿宋" w:cs="仿宋" w:hint="eastAsia"/>
                <w:bCs/>
                <w:sz w:val="24"/>
                <w:szCs w:val="24"/>
                <w:lang w:eastAsia="zh-CN"/>
              </w:rPr>
              <w:t>包装箱</w:t>
            </w:r>
          </w:p>
        </w:tc>
      </w:tr>
    </w:tbl>
    <w:p>
      <w:pPr>
        <w:ind w:firstLine="560" w:firstLineChars="200"/>
        <w:rPr>
          <w:rFonts w:ascii="仿宋" w:eastAsia="仿宋" w:hAnsi="仿宋" w:cs="仿宋"/>
          <w:sz w:val="28"/>
          <w:szCs w:val="20"/>
        </w:rPr>
      </w:pPr>
      <w:r>
        <w:rPr>
          <w:rFonts w:ascii="仿宋" w:eastAsia="仿宋" w:hAnsi="仿宋" w:cs="仿宋" w:hint="eastAsia"/>
          <w:sz w:val="28"/>
          <w:szCs w:val="28"/>
        </w:rPr>
        <w:t>四、</w:t>
      </w:r>
      <w:r>
        <w:rPr>
          <w:rFonts w:ascii="仿宋" w:eastAsia="仿宋" w:hAnsi="仿宋" w:cs="仿宋" w:hint="eastAsia"/>
          <w:sz w:val="28"/>
          <w:szCs w:val="20"/>
        </w:rPr>
        <w:t>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（1）正式交付运行，并通过合同验收次日起质保期为8年。</w:t>
      </w:r>
      <w:r>
        <w:rPr>
          <w:rFonts w:ascii="仿宋" w:eastAsia="仿宋" w:hAnsi="仿宋" w:cs="仿宋" w:hint="eastAsia"/>
          <w:sz w:val="28"/>
          <w:szCs w:val="20"/>
          <w:highlight w:val="yellow"/>
        </w:rPr>
        <w:t>设备供应商对所有设备提供自验收合格后8年的免费维护维修服务*，</w:t>
      </w:r>
      <w:r>
        <w:rPr>
          <w:rFonts w:ascii="仿宋" w:eastAsia="仿宋" w:hAnsi="仿宋" w:cs="仿宋" w:hint="eastAsia"/>
          <w:sz w:val="28"/>
          <w:szCs w:val="20"/>
        </w:rPr>
        <w:t>并提供相关承诺函。按照业务运行规范要求执行，确保设备可稳定运行，主要工作包括：汛前巡检、周维护、月维护、年维护等巡检巡查工作，以及关键器件及系统故障的维修等。故障维修和巡检巡查等需按照《2022年度补短板工程新上设备建设及质保指导意见（地基遥感垂直观测系统）》要求执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 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24小时，当投标产品或软件遭到损坏或出现故障时，要在用户报修之时起4小时内做出响应，并在48小时内到达现场，开展维修维护工作，视情况双方协商设备恢复正常运行时限。</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正式交付运行，并通过合同验收次日起质保期为8年。维保包括设备维护维修、相关附属软件及附属设备维护维修，保证每年至少1次的现场巡检和4次远程维护检查，设备发生故障时在业务规定时间内完成维修、维护保障或更换组件，投标人应提供7（天）</w:t>
      </w:r>
      <w:r>
        <w:rPr>
          <w:rFonts w:ascii="仿宋" w:eastAsia="仿宋" w:hAnsi="仿宋" w:cs="仿宋" w:hint="eastAsia"/>
          <w:sz w:val="28"/>
          <w:szCs w:val="20"/>
        </w:rPr>
        <w:t>×</w:t>
      </w:r>
      <w:r>
        <w:rPr>
          <w:rFonts w:ascii="仿宋" w:eastAsia="仿宋" w:hAnsi="仿宋" w:cs="仿宋" w:hint="eastAsia"/>
          <w:sz w:val="28"/>
          <w:szCs w:val="20"/>
        </w:rPr>
        <w:t>24（小时）技术支持热线电话。</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参照《拉曼和米散射气溶胶激光雷达功能需求书》《拉曼和米散射气溶胶激光雷达测试大纲》和《地基遥感垂直观测系统测试大纲》以及中国气象局最新业务管理规定等有关文件要求开展检验考核。</w:t>
      </w:r>
    </w:p>
    <w:p>
      <w:pPr>
        <w:spacing w:line="560" w:lineRule="exact"/>
        <w:ind w:left="365" w:leftChars="174"/>
        <w:rPr>
          <w:rFonts w:ascii="仿宋" w:eastAsia="仿宋" w:hAnsi="仿宋" w:cs="仿宋" w:hint="eastAsia"/>
          <w:sz w:val="28"/>
          <w:szCs w:val="28"/>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详见采购需求-其他技术及商务需求。</w:t>
      </w:r>
      <w:bookmarkStart w:id="63" w:name="_Hlk168594784"/>
    </w:p>
    <w:p>
      <w:pPr>
        <w:spacing w:line="560" w:lineRule="exact"/>
        <w:ind w:firstLine="560" w:firstLineChars="200"/>
        <w:rPr>
          <w:rFonts w:ascii="仿宋" w:eastAsia="仿宋" w:hAnsi="仿宋" w:cs="仿宋" w:hint="eastAsia"/>
          <w:sz w:val="28"/>
          <w:szCs w:val="20"/>
        </w:rPr>
      </w:pPr>
      <w:bookmarkEnd w:id="63"/>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spacing w:line="560" w:lineRule="exact"/>
        <w:outlineLvl w:val="1"/>
        <w:rPr>
          <w:rFonts w:ascii="黑体" w:eastAsia="黑体" w:hAnsi="黑体" w:hint="eastAsia"/>
          <w:bCs/>
          <w:snapToGrid w:val="0"/>
          <w:kern w:val="0"/>
          <w:sz w:val="44"/>
          <w:szCs w:val="44"/>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75"/>
        <w:gridCol w:w="1697"/>
        <w:gridCol w:w="615"/>
        <w:gridCol w:w="856"/>
        <w:gridCol w:w="976"/>
        <w:gridCol w:w="615"/>
        <w:gridCol w:w="3427"/>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4" w:name="货物一览表_index"/>
            <w:r>
              <w:rPr>
                <w:rFonts w:asciiTheme="minorEastAsia" w:eastAsiaTheme="minorEastAsia" w:hAnsiTheme="minorEastAsia" w:cstheme="minorEastAsia" w:hint="eastAsia"/>
                <w:kern w:val="0"/>
                <w:szCs w:val="21"/>
              </w:rPr>
              <w:t>序号</w:t>
            </w:r>
            <w:bookmarkEnd w:id="64"/>
          </w:p>
        </w:tc>
        <w:tc>
          <w:tcPr>
            <w:tcW w:w="1135" w:type="dxa"/>
          </w:tcPr>
          <w:p>
            <w:pPr>
              <w:autoSpaceDE w:val="0"/>
              <w:jc w:val="center"/>
              <w:rPr>
                <w:rFonts w:asciiTheme="minorEastAsia" w:hAnsiTheme="minorEastAsia" w:cstheme="minorEastAsia"/>
                <w:kern w:val="0"/>
                <w:szCs w:val="21"/>
              </w:rPr>
            </w:pPr>
            <w:bookmarkStart w:id="65" w:name="货物一览表_goodsName"/>
            <w:r>
              <w:rPr>
                <w:rFonts w:asciiTheme="minorEastAsia" w:eastAsiaTheme="minorEastAsia" w:hAnsiTheme="minorEastAsia" w:cstheme="minorEastAsia" w:hint="eastAsia"/>
                <w:kern w:val="0"/>
                <w:szCs w:val="21"/>
              </w:rPr>
              <w:t>设备名称</w:t>
            </w:r>
            <w:bookmarkEnd w:id="65"/>
          </w:p>
        </w:tc>
        <w:tc>
          <w:tcPr>
            <w:tcW w:w="965" w:type="dxa"/>
          </w:tcPr>
          <w:p>
            <w:pPr>
              <w:autoSpaceDE w:val="0"/>
              <w:jc w:val="center"/>
              <w:rPr>
                <w:rFonts w:asciiTheme="minorEastAsia" w:hAnsiTheme="minorEastAsia" w:cstheme="minorEastAsia"/>
                <w:kern w:val="0"/>
                <w:szCs w:val="21"/>
              </w:rPr>
            </w:pPr>
            <w:bookmarkStart w:id="66" w:name="货物一览表_nums"/>
            <w:r>
              <w:rPr>
                <w:rFonts w:asciiTheme="minorEastAsia" w:eastAsiaTheme="minorEastAsia" w:hAnsiTheme="minorEastAsia" w:cstheme="minorEastAsia" w:hint="eastAsia"/>
                <w:kern w:val="0"/>
                <w:szCs w:val="21"/>
              </w:rPr>
              <w:t>采购数量</w:t>
            </w:r>
            <w:bookmarkEnd w:id="66"/>
          </w:p>
        </w:tc>
        <w:tc>
          <w:tcPr>
            <w:tcW w:w="1062" w:type="dxa"/>
          </w:tcPr>
          <w:p>
            <w:pPr>
              <w:autoSpaceDE w:val="0"/>
              <w:jc w:val="center"/>
              <w:rPr>
                <w:rFonts w:asciiTheme="minorEastAsia" w:hAnsiTheme="minorEastAsia" w:cstheme="minorEastAsia"/>
                <w:kern w:val="0"/>
                <w:szCs w:val="21"/>
              </w:rPr>
            </w:pPr>
            <w:bookmarkStart w:id="67" w:name="货物一览表_units"/>
            <w:r>
              <w:rPr>
                <w:rFonts w:asciiTheme="minorEastAsia" w:eastAsiaTheme="minorEastAsia" w:hAnsiTheme="minorEastAsia" w:cstheme="minorEastAsia" w:hint="eastAsia"/>
                <w:kern w:val="0"/>
                <w:szCs w:val="21"/>
              </w:rPr>
              <w:t>计量单位</w:t>
            </w:r>
            <w:bookmarkEnd w:id="67"/>
          </w:p>
        </w:tc>
        <w:tc>
          <w:tcPr>
            <w:tcW w:w="1220" w:type="dxa"/>
          </w:tcPr>
          <w:p>
            <w:pPr>
              <w:autoSpaceDE w:val="0"/>
              <w:jc w:val="center"/>
              <w:rPr>
                <w:rFonts w:asciiTheme="minorEastAsia" w:hAnsiTheme="minorEastAsia" w:cstheme="minorEastAsia"/>
                <w:kern w:val="0"/>
                <w:szCs w:val="21"/>
              </w:rPr>
            </w:pPr>
            <w:bookmarkStart w:id="68" w:name="货物一览表_procurementBudget"/>
            <w:r>
              <w:rPr>
                <w:rFonts w:asciiTheme="minorEastAsia" w:eastAsiaTheme="minorEastAsia" w:hAnsiTheme="minorEastAsia" w:cstheme="minorEastAsia" w:hint="eastAsia"/>
                <w:kern w:val="0"/>
                <w:szCs w:val="21"/>
              </w:rPr>
              <w:t>采购预算（元）</w:t>
            </w:r>
            <w:bookmarkEnd w:id="68"/>
          </w:p>
        </w:tc>
        <w:tc>
          <w:tcPr>
            <w:tcW w:w="1329" w:type="dxa"/>
          </w:tcPr>
          <w:p>
            <w:pPr>
              <w:autoSpaceDE w:val="0"/>
              <w:jc w:val="center"/>
              <w:rPr>
                <w:rFonts w:asciiTheme="minorEastAsia" w:hAnsiTheme="minorEastAsia" w:cstheme="minorEastAsia" w:hint="eastAsia"/>
                <w:kern w:val="0"/>
                <w:szCs w:val="21"/>
              </w:rPr>
            </w:pPr>
            <w:bookmarkStart w:id="69"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9"/>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70" w:name="货物一览表_remark"/>
            <w:r>
              <w:rPr>
                <w:rFonts w:asciiTheme="minorEastAsia" w:eastAsiaTheme="minorEastAsia" w:hAnsiTheme="minorEastAsia" w:cstheme="minorEastAsia" w:hint="eastAsia"/>
                <w:kern w:val="0"/>
                <w:szCs w:val="21"/>
              </w:rPr>
              <w:t>备注</w:t>
            </w:r>
            <w:bookmarkEnd w:id="70"/>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拉曼和米散射气溶胶激光雷达</w:t>
            </w:r>
          </w:p>
        </w:tc>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14,550,000.00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r>
              <w:t>含8年维保、巡检、维护。其中浙江一套含辅助设备及建筑安装</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14,550,000.00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54"/>
        <w:gridCol w:w="579"/>
        <w:gridCol w:w="1148"/>
        <w:gridCol w:w="254"/>
        <w:gridCol w:w="579"/>
        <w:gridCol w:w="483"/>
        <w:gridCol w:w="417"/>
        <w:gridCol w:w="480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1"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省大探中心</w:t>
            </w:r>
          </w:p>
        </w:tc>
        <w:tc>
          <w:tcPr/>
          <w:p>
            <w:r>
              <w:t>拉曼和米散射气溶胶激光雷达</w:t>
            </w:r>
          </w:p>
        </w:tc>
        <w:tc>
          <w:tcPr/>
          <w:p>
            <w:r>
              <w:t>1</w:t>
            </w:r>
          </w:p>
        </w:tc>
        <w:tc>
          <w:tcPr/>
          <w:p>
            <w:r>
              <w:t>4950000.00</w:t>
            </w:r>
          </w:p>
        </w:tc>
        <w:tc>
          <w:tcPr/>
          <w:p>
            <w:r>
              <w:t xml:space="preserve">4950000.00  </w:t>
            </w:r>
          </w:p>
        </w:tc>
        <w:tc>
          <w:tcPr/>
          <w:p>
            <w:r>
              <w:t>浙江杭州</w:t>
            </w:r>
          </w:p>
        </w:tc>
        <w:tc>
          <w:tcPr/>
          <w:p>
            <w:r>
              <w:t>含8年维保、巡检、维护，含辅助设备（供电、防雷、通信等）和建筑安装（浙江省大气探测技术保障中心，王聆勤，13957172494）</w:t>
            </w:r>
          </w:p>
        </w:tc>
      </w:tr>
      <w:tr>
        <w:tblPrEx>
          <w:tblW w:w="5000" w:type="pct"/>
          <w:tblCellMar>
            <w:left w:w="108" w:type="dxa"/>
            <w:right w:w="108" w:type="dxa"/>
          </w:tblCellMar>
        </w:tblPrEx>
        <w:tc>
          <w:tcPr/>
          <w:p>
            <w:r>
              <w:t>2</w:t>
            </w:r>
          </w:p>
        </w:tc>
        <w:tc>
          <w:tcPr/>
          <w:p>
            <w:r>
              <w:t>灾防中心</w:t>
            </w:r>
          </w:p>
        </w:tc>
        <w:tc>
          <w:tcPr/>
          <w:p>
            <w:r>
              <w:t>拉曼和米散射气溶胶激光雷达</w:t>
            </w:r>
          </w:p>
        </w:tc>
        <w:tc>
          <w:tcPr/>
          <w:p>
            <w:r>
              <w:t>1</w:t>
            </w:r>
          </w:p>
        </w:tc>
        <w:tc>
          <w:tcPr/>
          <w:p>
            <w:r>
              <w:t>4800000.00</w:t>
            </w:r>
          </w:p>
        </w:tc>
        <w:tc>
          <w:tcPr/>
          <w:p>
            <w:r>
              <w:t xml:space="preserve">4800000.00 </w:t>
            </w:r>
          </w:p>
        </w:tc>
        <w:tc>
          <w:tcPr/>
          <w:p>
            <w:r>
              <w:t>福建厦门</w:t>
            </w:r>
          </w:p>
        </w:tc>
        <w:tc>
          <w:tcPr/>
          <w:p>
            <w:r>
              <w:t>含8年维保、巡检、维护（厦门市气象灾害防御技术中心，陈赛，15105972580）</w:t>
            </w:r>
          </w:p>
        </w:tc>
      </w:tr>
      <w:tr>
        <w:tblPrEx>
          <w:tblW w:w="5000" w:type="pct"/>
          <w:tblCellMar>
            <w:left w:w="108" w:type="dxa"/>
            <w:right w:w="108" w:type="dxa"/>
          </w:tblCellMar>
        </w:tblPrEx>
        <w:tc>
          <w:tcPr/>
          <w:p>
            <w:r>
              <w:t>3</w:t>
            </w:r>
          </w:p>
        </w:tc>
        <w:tc>
          <w:tcPr/>
          <w:p>
            <w:r>
              <w:t>武汉市局</w:t>
            </w:r>
          </w:p>
        </w:tc>
        <w:tc>
          <w:tcPr/>
          <w:p>
            <w:r>
              <w:t>拉曼和米散射气溶胶激光雷达</w:t>
            </w:r>
          </w:p>
        </w:tc>
        <w:tc>
          <w:tcPr/>
          <w:p>
            <w:r>
              <w:t>1</w:t>
            </w:r>
          </w:p>
        </w:tc>
        <w:tc>
          <w:tcPr/>
          <w:p>
            <w:r>
              <w:t>4800000.00</w:t>
            </w:r>
          </w:p>
        </w:tc>
        <w:tc>
          <w:tcPr/>
          <w:p>
            <w:r>
              <w:t xml:space="preserve">4800000.00  </w:t>
            </w:r>
          </w:p>
        </w:tc>
        <w:tc>
          <w:tcPr/>
          <w:p>
            <w:r>
              <w:t>湖北武汉</w:t>
            </w:r>
          </w:p>
        </w:tc>
        <w:tc>
          <w:tcPr/>
          <w:p>
            <w:r>
              <w:t>含8年维保、巡检、维护（武汉市气象局，柳戊弼，13317187832）</w:t>
            </w:r>
          </w:p>
        </w:tc>
      </w:tr>
    </w:tbl>
    <w:p w:rsidR="00A77B3E"/>
    <w:p>
      <w:pPr>
        <w:spacing w:line="360" w:lineRule="auto"/>
        <w:rPr>
          <w:rFonts w:ascii="宋体" w:hAnsi="宋体"/>
          <w:szCs w:val="21"/>
        </w:rPr>
      </w:pPr>
      <w:bookmarkEnd w:id="71"/>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sz w:val="28"/>
          <w:szCs w:val="20"/>
        </w:rPr>
      </w:pPr>
      <w:r>
        <w:rPr>
          <w:rFonts w:ascii="仿宋" w:eastAsia="仿宋" w:hAnsi="仿宋" w:cs="仿宋"/>
          <w:sz w:val="28"/>
          <w:szCs w:val="20"/>
        </w:rPr>
        <w:t>本项目拟组建大气气溶胶要素的地基遥感探空系统，基于多种探测模式获取更多的气溶胶层、云层细节，反演大气光学参数、粒子谱等物理参数，并确定激光雷达比，精确测量PBL层、气溶胶层等目标层的精确位置，并判断各层物质的组成及其物理性质。依托现有的岸基探空站，在浙江杭州、湖北武汉、福建厦门分别布设1部拉曼和米散射气溶胶激光雷达，实现与各类设备优势互补和同址协同观测，改进数值天气预报模式、提高短临天气预报水平</w:t>
      </w:r>
      <w:r>
        <w:rPr>
          <w:rFonts w:ascii="仿宋" w:eastAsia="仿宋" w:hAnsi="仿宋" w:cs="仿宋" w:hint="eastAsia"/>
          <w:sz w:val="28"/>
          <w:szCs w:val="20"/>
        </w:rPr>
        <w:t>。</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设备供应商对每套投标产品提供至少2次技术培训，培训课时</w:t>
      </w:r>
      <w:r>
        <w:rPr>
          <w:rFonts w:ascii="仿宋" w:eastAsia="仿宋" w:hAnsi="仿宋" w:cs="仿宋"/>
          <w:sz w:val="28"/>
          <w:szCs w:val="20"/>
        </w:rPr>
        <w:t>不少于1</w:t>
      </w:r>
      <w:r>
        <w:rPr>
          <w:rFonts w:ascii="仿宋" w:eastAsia="仿宋" w:hAnsi="仿宋" w:cs="仿宋" w:hint="eastAsia"/>
          <w:sz w:val="28"/>
          <w:szCs w:val="20"/>
        </w:rPr>
        <w:t>个</w:t>
      </w:r>
      <w:r>
        <w:rPr>
          <w:rFonts w:ascii="仿宋" w:eastAsia="仿宋" w:hAnsi="仿宋" w:cs="仿宋"/>
          <w:sz w:val="28"/>
          <w:szCs w:val="20"/>
        </w:rPr>
        <w:t>课时（每课时为1小时），培训人数不少于1</w:t>
      </w:r>
      <w:r>
        <w:rPr>
          <w:rFonts w:ascii="仿宋" w:eastAsia="仿宋" w:hAnsi="仿宋" w:cs="仿宋" w:hint="eastAsia"/>
          <w:sz w:val="28"/>
          <w:szCs w:val="20"/>
        </w:rPr>
        <w:t>人</w:t>
      </w:r>
      <w:r>
        <w:rPr>
          <w:rFonts w:ascii="仿宋" w:eastAsia="仿宋" w:hAnsi="仿宋" w:cs="仿宋"/>
          <w:sz w:val="28"/>
          <w:szCs w:val="20"/>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sz w:val="28"/>
          <w:szCs w:val="20"/>
        </w:rPr>
        <w:t>浙江杭州</w:t>
      </w:r>
      <w:r>
        <w:rPr>
          <w:rFonts w:ascii="仿宋" w:eastAsia="仿宋" w:hAnsi="仿宋" w:cs="仿宋" w:hint="eastAsia"/>
          <w:sz w:val="28"/>
          <w:szCs w:val="20"/>
        </w:rPr>
        <w:t>、</w:t>
      </w:r>
      <w:r>
        <w:rPr>
          <w:rFonts w:ascii="仿宋" w:eastAsia="仿宋" w:hAnsi="仿宋" w:cs="仿宋"/>
          <w:sz w:val="28"/>
          <w:szCs w:val="20"/>
        </w:rPr>
        <w:t>湖北武汉</w:t>
      </w:r>
      <w:r>
        <w:rPr>
          <w:rFonts w:ascii="仿宋" w:eastAsia="仿宋" w:hAnsi="仿宋" w:cs="仿宋" w:hint="eastAsia"/>
          <w:sz w:val="28"/>
          <w:szCs w:val="20"/>
        </w:rPr>
        <w:t>、</w:t>
      </w:r>
      <w:r>
        <w:rPr>
          <w:rFonts w:ascii="仿宋" w:eastAsia="仿宋" w:hAnsi="仿宋" w:cs="仿宋"/>
          <w:sz w:val="28"/>
          <w:szCs w:val="20"/>
        </w:rPr>
        <w:t>福建厦门</w:t>
      </w:r>
      <w:r>
        <w:rPr>
          <w:rFonts w:ascii="仿宋" w:eastAsia="仿宋" w:hAnsi="仿宋" w:cs="仿宋" w:hint="eastAsia"/>
          <w:sz w:val="28"/>
          <w:szCs w:val="20"/>
        </w:rPr>
        <w:t>（运输相关费用由供应商负责），并负责安装调试。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w:t>
      </w:r>
      <w:r>
        <w:rPr>
          <w:rFonts w:ascii="仿宋" w:eastAsia="仿宋" w:hAnsi="仿宋" w:cs="仿宋"/>
          <w:sz w:val="28"/>
          <w:szCs w:val="20"/>
        </w:rPr>
        <w:t>8</w:t>
      </w:r>
      <w:r>
        <w:rPr>
          <w:rFonts w:ascii="仿宋" w:eastAsia="仿宋" w:hAnsi="仿宋" w:cs="仿宋" w:hint="eastAsia"/>
          <w:sz w:val="28"/>
          <w:szCs w:val="20"/>
        </w:rPr>
        <w:t>0天内完成供货、安装调试并具备验收条件。</w:t>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w:t>
      </w:r>
      <w:r>
        <w:rPr>
          <w:rFonts w:ascii="仿宋" w:eastAsia="仿宋" w:hAnsi="仿宋" w:cs="仿宋"/>
          <w:sz w:val="28"/>
          <w:szCs w:val="20"/>
        </w:rPr>
        <w:t>软件兼容性强，设备数据传输模式、数据格式、数据通讯协议满足国家局下发的《拉曼和米散射气溶胶激光雷达功能规格需求书》，设备观测数据通过内网可以接入天擎平台，完全符合甲方相关要求和规范，保证其系统的兼容性和功能的完整性</w:t>
      </w:r>
      <w:r>
        <w:rPr>
          <w:rFonts w:ascii="仿宋" w:eastAsia="仿宋" w:hAnsi="仿宋" w:cs="仿宋" w:hint="eastAsia"/>
          <w:sz w:val="28"/>
          <w:szCs w:val="20"/>
        </w:rPr>
        <w:t>。</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sz w:val="28"/>
          <w:szCs w:val="20"/>
        </w:rPr>
      </w:pPr>
      <w:r>
        <w:rPr>
          <w:rFonts w:ascii="仿宋" w:eastAsia="仿宋" w:hAnsi="仿宋" w:cs="仿宋"/>
          <w:sz w:val="28"/>
          <w:szCs w:val="20"/>
        </w:rPr>
        <w:t>无。</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rPr>
      </w:pPr>
      <w:bookmarkStart w:id="72"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hint="eastAsia"/>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600"/>
      </w:tblPr>
      <w:tblGrid>
        <w:gridCol w:w="544"/>
        <w:gridCol w:w="898"/>
        <w:gridCol w:w="7347"/>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600"/>
        </w:tblPrEx>
        <w:trPr>
          <w:cantSplit/>
          <w:trHeight w:val="746"/>
        </w:trPr>
        <w:tc>
          <w:tcPr>
            <w:tcW w:w="544" w:type="dxa"/>
            <w:vAlign w:val="center"/>
          </w:tcPr>
          <w:p>
            <w:pPr>
              <w:rPr>
                <w:rFonts w:hint="eastAsia"/>
                <w:sz w:val="18"/>
                <w:szCs w:val="18"/>
              </w:rPr>
            </w:pPr>
            <w:r>
              <w:rPr>
                <w:rFonts w:hint="eastAsia"/>
                <w:sz w:val="18"/>
                <w:szCs w:val="18"/>
              </w:rPr>
              <w:t>序号</w:t>
            </w:r>
          </w:p>
        </w:tc>
        <w:tc>
          <w:tcPr>
            <w:tcW w:w="898" w:type="dxa"/>
            <w:vAlign w:val="center"/>
          </w:tcPr>
          <w:p>
            <w:pPr>
              <w:jc w:val="center"/>
              <w:rPr>
                <w:rFonts w:hint="eastAsia"/>
                <w:sz w:val="18"/>
                <w:szCs w:val="18"/>
              </w:rPr>
            </w:pPr>
            <w:r>
              <w:rPr>
                <w:rFonts w:hint="eastAsia"/>
                <w:sz w:val="18"/>
                <w:szCs w:val="18"/>
              </w:rPr>
              <w:t>对应</w:t>
            </w:r>
          </w:p>
          <w:p>
            <w:pPr>
              <w:jc w:val="center"/>
              <w:rPr>
                <w:rFonts w:hint="eastAsia"/>
                <w:sz w:val="18"/>
                <w:szCs w:val="18"/>
              </w:rPr>
            </w:pPr>
            <w:r>
              <w:rPr>
                <w:rFonts w:hint="eastAsia"/>
                <w:sz w:val="18"/>
                <w:szCs w:val="18"/>
              </w:rPr>
              <w:t>条款号</w:t>
            </w:r>
          </w:p>
        </w:tc>
        <w:tc>
          <w:tcPr>
            <w:tcW w:w="7347" w:type="dxa"/>
            <w:vAlign w:val="center"/>
          </w:tcPr>
          <w:p>
            <w:pPr>
              <w:jc w:val="center"/>
              <w:rPr>
                <w:rFonts w:hint="eastAsia"/>
                <w:sz w:val="18"/>
                <w:szCs w:val="18"/>
              </w:rPr>
            </w:pPr>
            <w:r>
              <w:rPr>
                <w:rFonts w:hint="eastAsia"/>
                <w:sz w:val="18"/>
                <w:szCs w:val="18"/>
              </w:rPr>
              <w:t>内 容</w:t>
            </w:r>
          </w:p>
        </w:tc>
      </w:tr>
      <w:tr>
        <w:tblPrEx>
          <w:tblLayout w:type="fixed"/>
          <w:tblCellMar>
            <w:top w:w="0" w:type="dxa"/>
            <w:left w:w="108" w:type="dxa"/>
            <w:bottom w:w="0" w:type="dxa"/>
            <w:right w:w="108" w:type="dxa"/>
          </w:tblCellMar>
          <w:tblLook w:val="0600"/>
        </w:tblPrEx>
        <w:trPr>
          <w:cantSplit/>
        </w:trPr>
        <w:tc>
          <w:tcPr>
            <w:tcW w:w="8789" w:type="dxa"/>
            <w:gridSpan w:val="3"/>
            <w:vAlign w:val="center"/>
          </w:tcPr>
          <w:p>
            <w:pPr>
              <w:jc w:val="center"/>
              <w:rPr>
                <w:rFonts w:hint="eastAsia"/>
                <w:b/>
                <w:sz w:val="18"/>
                <w:szCs w:val="18"/>
              </w:rPr>
            </w:pPr>
            <w:r>
              <w:rPr>
                <w:rFonts w:hint="eastAsia"/>
                <w:b/>
                <w:sz w:val="18"/>
                <w:szCs w:val="18"/>
              </w:rPr>
              <w:t>第五章 投标人须知专用部分</w:t>
            </w:r>
          </w:p>
        </w:tc>
      </w:tr>
      <w:tr>
        <w:tblPrEx>
          <w:tblLayout w:type="fixed"/>
          <w:tblCellMar>
            <w:top w:w="0" w:type="dxa"/>
            <w:left w:w="108" w:type="dxa"/>
            <w:bottom w:w="0" w:type="dxa"/>
            <w:right w:w="108" w:type="dxa"/>
          </w:tblCellMar>
          <w:tblLook w:val="0600"/>
        </w:tblPrEx>
        <w:trPr>
          <w:cantSplit/>
        </w:trPr>
        <w:tc>
          <w:tcPr>
            <w:tcW w:w="544" w:type="dxa"/>
            <w:vAlign w:val="center"/>
          </w:tcPr>
          <w:p>
            <w:pPr>
              <w:numPr>
                <w:ilvl w:val="0"/>
                <w:numId w:val="13"/>
              </w:numPr>
              <w:rPr>
                <w:rFonts w:ascii="宋体" w:hAnsi="宋体" w:hint="eastAsia"/>
                <w:sz w:val="18"/>
                <w:szCs w:val="18"/>
              </w:rPr>
            </w:pPr>
          </w:p>
        </w:tc>
        <w:tc>
          <w:tcPr>
            <w:tcW w:w="898" w:type="dxa"/>
            <w:tcBorders>
              <w:left w:val="single" w:sz="4" w:space="0" w:color="auto"/>
            </w:tcBorders>
            <w:vAlign w:val="center"/>
          </w:tcPr>
          <w:p>
            <w:pPr>
              <w:jc w:val="center"/>
              <w:rPr>
                <w:rFonts w:ascii="宋体" w:hAnsi="宋体" w:hint="eastAsia"/>
                <w:sz w:val="18"/>
                <w:szCs w:val="18"/>
              </w:rPr>
            </w:pPr>
            <w:r>
              <w:rPr>
                <w:rFonts w:ascii="宋体" w:hAnsi="宋体" w:hint="eastAsia"/>
                <w:sz w:val="18"/>
                <w:szCs w:val="18"/>
              </w:rPr>
              <w:t>5</w:t>
            </w:r>
            <w:r>
              <w:rPr>
                <w:rFonts w:ascii="宋体" w:hAnsi="宋体"/>
                <w:sz w:val="18"/>
                <w:szCs w:val="18"/>
              </w:rPr>
              <w:t>.7</w:t>
            </w:r>
          </w:p>
        </w:tc>
        <w:tc>
          <w:tcPr>
            <w:tcW w:w="7347" w:type="dxa"/>
            <w:tcBorders>
              <w:left w:val="single" w:sz="4" w:space="0" w:color="auto"/>
            </w:tcBorders>
          </w:tcPr>
          <w:p>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投标</w:t>
            </w:r>
            <w:r>
              <w:rPr>
                <w:rFonts w:ascii="宋体" w:hAnsi="宋体" w:cs="微软雅黑"/>
                <w:b/>
                <w:color w:val="0000FF"/>
                <w:kern w:val="0"/>
                <w:sz w:val="18"/>
                <w:szCs w:val="18"/>
              </w:rPr>
              <w:t>产品需要取得拉曼和米散射气溶胶激光雷达</w:t>
            </w:r>
            <w:r>
              <w:rPr>
                <w:rFonts w:ascii="宋体" w:hAnsi="宋体" w:cs="微软雅黑"/>
                <w:b/>
                <w:color w:val="0000FF"/>
                <w:kern w:val="0"/>
                <w:sz w:val="18"/>
                <w:szCs w:val="18"/>
              </w:rPr>
              <w:t>《气象专用技术装备使用许可证》</w:t>
            </w:r>
          </w:p>
        </w:tc>
      </w:tr>
      <w:tr>
        <w:tblPrEx>
          <w:tblLayout w:type="fixed"/>
          <w:tblCellMar>
            <w:top w:w="0" w:type="dxa"/>
            <w:left w:w="108" w:type="dxa"/>
            <w:bottom w:w="0" w:type="dxa"/>
            <w:right w:w="108" w:type="dxa"/>
          </w:tblCellMar>
          <w:tblLook w:val="0600"/>
        </w:tblPrEx>
        <w:trPr>
          <w:cantSplit/>
        </w:trPr>
        <w:tc>
          <w:tcPr>
            <w:tcW w:w="544" w:type="dxa"/>
            <w:vAlign w:val="center"/>
          </w:tcPr>
          <w:p>
            <w:pPr>
              <w:numPr>
                <w:ilvl w:val="0"/>
                <w:numId w:val="13"/>
              </w:numPr>
              <w:rPr>
                <w:rFonts w:ascii="宋体" w:hAnsi="宋体" w:hint="eastAsia"/>
                <w:sz w:val="18"/>
                <w:szCs w:val="18"/>
              </w:rPr>
            </w:pPr>
          </w:p>
        </w:tc>
        <w:tc>
          <w:tcPr>
            <w:tcW w:w="898" w:type="dxa"/>
            <w:tcBorders>
              <w:left w:val="single" w:sz="4" w:space="0" w:color="auto"/>
            </w:tcBorders>
            <w:vAlign w:val="center"/>
          </w:tcPr>
          <w:p>
            <w:pPr>
              <w:jc w:val="center"/>
              <w:rPr>
                <w:rFonts w:ascii="宋体" w:hAnsi="宋体" w:hint="eastAsia"/>
                <w:sz w:val="18"/>
                <w:szCs w:val="18"/>
              </w:rPr>
            </w:pPr>
            <w:r>
              <w:rPr>
                <w:rFonts w:ascii="宋体" w:hAnsi="宋体"/>
                <w:sz w:val="18"/>
                <w:szCs w:val="18"/>
              </w:rPr>
              <w:t>……</w:t>
            </w:r>
          </w:p>
        </w:tc>
        <w:tc>
          <w:tcPr>
            <w:tcW w:w="7347" w:type="dxa"/>
            <w:tcBorders>
              <w:left w:val="single" w:sz="4" w:space="0" w:color="auto"/>
            </w:tcBorders>
            <w:vAlign w:val="center"/>
          </w:tcPr>
          <w:p>
            <w:pPr>
              <w:rPr>
                <w:rFonts w:cs="微软雅黑" w:hint="eastAsia"/>
                <w:b/>
                <w:color w:val="0000FF"/>
                <w:kern w:val="0"/>
                <w:sz w:val="18"/>
                <w:szCs w:val="18"/>
              </w:rPr>
            </w:pPr>
            <w:r>
              <w:rPr>
                <w:rFonts w:cs="微软雅黑"/>
                <w:b/>
                <w:color w:val="0000FF"/>
                <w:kern w:val="0"/>
                <w:sz w:val="18"/>
                <w:szCs w:val="18"/>
              </w:rPr>
              <w:t>……</w:t>
            </w:r>
          </w:p>
        </w:tc>
      </w:tr>
      <w:tr>
        <w:tblPrEx>
          <w:tblLayout w:type="fixed"/>
          <w:tblCellMar>
            <w:top w:w="0" w:type="dxa"/>
            <w:left w:w="108" w:type="dxa"/>
            <w:bottom w:w="0" w:type="dxa"/>
            <w:right w:w="108" w:type="dxa"/>
          </w:tblCellMar>
          <w:tblLook w:val="0600"/>
        </w:tblPrEx>
        <w:trPr>
          <w:cantSplit/>
        </w:trPr>
        <w:tc>
          <w:tcPr>
            <w:tcW w:w="544" w:type="dxa"/>
            <w:vAlign w:val="center"/>
          </w:tcPr>
          <w:p>
            <w:pPr>
              <w:numPr>
                <w:ilvl w:val="0"/>
                <w:numId w:val="13"/>
              </w:numPr>
              <w:rPr>
                <w:rFonts w:ascii="宋体" w:hAnsi="宋体" w:hint="eastAsia"/>
                <w:sz w:val="18"/>
                <w:szCs w:val="18"/>
              </w:rPr>
            </w:pPr>
          </w:p>
        </w:tc>
        <w:tc>
          <w:tcPr>
            <w:tcW w:w="898" w:type="dxa"/>
            <w:tcBorders>
              <w:left w:val="single" w:sz="4" w:space="0" w:color="auto"/>
            </w:tcBorders>
            <w:vAlign w:val="center"/>
          </w:tcPr>
          <w:p>
            <w:pPr>
              <w:jc w:val="center"/>
              <w:rPr>
                <w:rFonts w:ascii="宋体" w:hAnsi="宋体" w:hint="eastAsia"/>
                <w:sz w:val="18"/>
                <w:szCs w:val="18"/>
              </w:rPr>
            </w:pPr>
            <w:r>
              <w:rPr>
                <w:rFonts w:ascii="宋体" w:hAnsi="宋体"/>
                <w:sz w:val="18"/>
                <w:szCs w:val="18"/>
              </w:rPr>
              <w:t>……</w:t>
            </w:r>
          </w:p>
        </w:tc>
        <w:tc>
          <w:tcPr>
            <w:tcW w:w="7347" w:type="dxa"/>
            <w:tcBorders>
              <w:left w:val="single" w:sz="4" w:space="0" w:color="auto"/>
            </w:tcBorders>
            <w:vAlign w:val="center"/>
          </w:tcPr>
          <w:p>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b/>
                <w:color w:val="0000FF"/>
                <w:kern w:val="0"/>
                <w:sz w:val="18"/>
                <w:szCs w:val="18"/>
              </w:rPr>
              <w:t>……</w:t>
            </w:r>
          </w:p>
        </w:tc>
      </w:tr>
      <w:tr>
        <w:tblPrEx>
          <w:tblLayout w:type="fixed"/>
          <w:tblCellMar>
            <w:top w:w="0" w:type="dxa"/>
            <w:left w:w="108" w:type="dxa"/>
            <w:bottom w:w="0" w:type="dxa"/>
            <w:right w:w="108" w:type="dxa"/>
          </w:tblCellMar>
          <w:tblLook w:val="0600"/>
        </w:tblPrEx>
        <w:trPr>
          <w:cantSplit/>
        </w:trPr>
        <w:tc>
          <w:tcPr>
            <w:tcW w:w="544" w:type="dxa"/>
            <w:vAlign w:val="center"/>
          </w:tcPr>
          <w:p>
            <w:pPr>
              <w:numPr>
                <w:ilvl w:val="0"/>
                <w:numId w:val="13"/>
              </w:numPr>
              <w:rPr>
                <w:rFonts w:ascii="宋体" w:hAnsi="宋体" w:hint="eastAsia"/>
                <w:sz w:val="18"/>
                <w:szCs w:val="18"/>
              </w:rPr>
            </w:pPr>
          </w:p>
        </w:tc>
        <w:tc>
          <w:tcPr>
            <w:tcW w:w="898" w:type="dxa"/>
            <w:tcBorders>
              <w:left w:val="single" w:sz="4" w:space="0" w:color="auto"/>
            </w:tcBorders>
            <w:vAlign w:val="center"/>
          </w:tcPr>
          <w:p>
            <w:pPr>
              <w:jc w:val="center"/>
              <w:rPr>
                <w:rFonts w:ascii="宋体" w:hAnsi="宋体" w:hint="eastAsia"/>
                <w:sz w:val="18"/>
                <w:szCs w:val="18"/>
              </w:rPr>
            </w:pPr>
            <w:r>
              <w:rPr>
                <w:rFonts w:ascii="宋体" w:hAnsi="宋体"/>
                <w:sz w:val="18"/>
                <w:szCs w:val="18"/>
              </w:rPr>
              <w:t>……</w:t>
            </w:r>
          </w:p>
        </w:tc>
        <w:tc>
          <w:tcPr>
            <w:tcW w:w="7347" w:type="dxa"/>
            <w:tcBorders>
              <w:left w:val="single" w:sz="4" w:space="0" w:color="auto"/>
            </w:tcBorders>
            <w:vAlign w:val="center"/>
          </w:tcPr>
          <w:p>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b/>
                <w:color w:val="0000FF"/>
                <w:kern w:val="0"/>
                <w:sz w:val="18"/>
                <w:szCs w:val="18"/>
              </w:rPr>
              <w:t>……</w:t>
            </w:r>
          </w:p>
        </w:tc>
      </w:tr>
      <w:tr>
        <w:tblPrEx>
          <w:tblLayout w:type="fixed"/>
          <w:tblCellMar>
            <w:top w:w="0" w:type="dxa"/>
            <w:left w:w="108" w:type="dxa"/>
            <w:bottom w:w="0" w:type="dxa"/>
            <w:right w:w="108" w:type="dxa"/>
          </w:tblCellMar>
          <w:tblLook w:val="0600"/>
        </w:tblPrEx>
        <w:trPr>
          <w:cantSplit/>
        </w:trPr>
        <w:tc>
          <w:tcPr>
            <w:tcW w:w="544" w:type="dxa"/>
            <w:vAlign w:val="center"/>
          </w:tcPr>
          <w:p>
            <w:pPr>
              <w:numPr>
                <w:ilvl w:val="0"/>
                <w:numId w:val="13"/>
              </w:numPr>
              <w:rPr>
                <w:rFonts w:ascii="宋体" w:hAnsi="宋体" w:hint="eastAsia"/>
                <w:sz w:val="18"/>
                <w:szCs w:val="18"/>
              </w:rPr>
            </w:pPr>
          </w:p>
        </w:tc>
        <w:tc>
          <w:tcPr>
            <w:tcW w:w="898" w:type="dxa"/>
            <w:tcBorders>
              <w:left w:val="single" w:sz="4" w:space="0" w:color="auto"/>
            </w:tcBorders>
            <w:vAlign w:val="center"/>
          </w:tcPr>
          <w:p>
            <w:pPr>
              <w:jc w:val="center"/>
              <w:rPr>
                <w:rFonts w:ascii="宋体" w:hAnsi="宋体" w:hint="eastAsia"/>
                <w:sz w:val="18"/>
                <w:szCs w:val="18"/>
              </w:rPr>
            </w:pPr>
            <w:r>
              <w:rPr>
                <w:rFonts w:ascii="宋体" w:hAnsi="宋体"/>
                <w:sz w:val="18"/>
                <w:szCs w:val="18"/>
              </w:rPr>
              <w:t>……</w:t>
            </w:r>
          </w:p>
        </w:tc>
        <w:tc>
          <w:tcPr>
            <w:tcW w:w="7347" w:type="dxa"/>
            <w:tcBorders>
              <w:left w:val="single" w:sz="4" w:space="0" w:color="auto"/>
            </w:tcBorders>
            <w:vAlign w:val="center"/>
          </w:tcPr>
          <w:p>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tblPrEx>
          <w:tblLayout w:type="fixed"/>
          <w:tblCellMar>
            <w:top w:w="0" w:type="dxa"/>
            <w:left w:w="108" w:type="dxa"/>
            <w:bottom w:w="0" w:type="dxa"/>
            <w:right w:w="108" w:type="dxa"/>
          </w:tblCellMar>
          <w:tblLook w:val="0600"/>
        </w:tblPrEx>
        <w:trPr>
          <w:cantSplit/>
        </w:trPr>
        <w:tc>
          <w:tcPr>
            <w:tcW w:w="8789" w:type="dxa"/>
            <w:gridSpan w:val="3"/>
            <w:vAlign w:val="center"/>
          </w:tcPr>
          <w:p>
            <w:pPr>
              <w:jc w:val="center"/>
              <w:rPr>
                <w:rFonts w:hint="eastAsia"/>
                <w:sz w:val="18"/>
                <w:szCs w:val="18"/>
              </w:rPr>
            </w:pPr>
            <w:r>
              <w:rPr>
                <w:rFonts w:hint="eastAsia"/>
                <w:b/>
                <w:sz w:val="18"/>
                <w:szCs w:val="18"/>
              </w:rPr>
              <w:t>第七章  采购需求</w:t>
            </w:r>
          </w:p>
        </w:tc>
      </w:tr>
      <w:tr>
        <w:tblPrEx>
          <w:tblLayout w:type="fixed"/>
          <w:tblCellMar>
            <w:top w:w="0" w:type="dxa"/>
            <w:left w:w="108" w:type="dxa"/>
            <w:bottom w:w="0" w:type="dxa"/>
            <w:right w:w="108" w:type="dxa"/>
          </w:tblCellMar>
          <w:tblLook w:val="0600"/>
        </w:tblPrEx>
        <w:trPr>
          <w:cantSplit/>
        </w:trPr>
        <w:tc>
          <w:tcPr>
            <w:tcW w:w="544" w:type="dxa"/>
            <w:vAlign w:val="center"/>
          </w:tcPr>
          <w:p>
            <w:pPr>
              <w:numPr>
                <w:ilvl w:val="0"/>
                <w:numId w:val="13"/>
              </w:numPr>
              <w:rPr>
                <w:rFonts w:ascii="宋体" w:hAnsi="宋体" w:hint="eastAsia"/>
                <w:sz w:val="18"/>
                <w:szCs w:val="18"/>
              </w:rPr>
            </w:pPr>
          </w:p>
        </w:tc>
        <w:tc>
          <w:tcPr>
            <w:tcW w:w="898" w:type="dxa"/>
            <w:tcBorders>
              <w:left w:val="single" w:sz="4" w:space="0" w:color="auto"/>
            </w:tcBorders>
            <w:vAlign w:val="center"/>
          </w:tcPr>
          <w:p>
            <w:pPr>
              <w:jc w:val="center"/>
              <w:rPr>
                <w:rFonts w:ascii="宋体" w:hAnsi="宋体" w:hint="eastAsia"/>
                <w:sz w:val="18"/>
                <w:szCs w:val="18"/>
              </w:rPr>
            </w:pPr>
            <w:r>
              <w:rPr>
                <w:rFonts w:ascii="宋体" w:hAnsi="宋体"/>
                <w:sz w:val="18"/>
                <w:szCs w:val="18"/>
              </w:rPr>
              <w:t>采购需求书第4.3节质保期服务</w:t>
            </w:r>
          </w:p>
        </w:tc>
        <w:tc>
          <w:tcPr>
            <w:tcW w:w="7347" w:type="dxa"/>
            <w:tcBorders>
              <w:left w:val="single" w:sz="4" w:space="0" w:color="auto"/>
            </w:tcBorders>
            <w:vAlign w:val="center"/>
          </w:tcPr>
          <w:p>
            <w:pPr>
              <w:tabs>
                <w:tab w:val="left" w:pos="709"/>
              </w:tabs>
              <w:spacing w:line="360" w:lineRule="auto"/>
              <w:jc w:val="left"/>
              <w:rPr>
                <w:rFonts w:ascii="宋体" w:hAnsi="宋体" w:hint="eastAsia"/>
                <w:sz w:val="18"/>
                <w:szCs w:val="18"/>
              </w:rPr>
            </w:pPr>
            <w:r>
              <w:rPr>
                <w:rFonts w:ascii="宋体" w:hAnsi="宋体" w:cs="微软雅黑"/>
                <w:b/>
                <w:color w:val="0000FF"/>
                <w:kern w:val="0"/>
                <w:sz w:val="18"/>
                <w:szCs w:val="18"/>
              </w:rPr>
              <w:t>2.设备供应商对所有设备提供自检合格后8年的免费维修服务*，需要提供设备质保承诺函原件（格式自拟）。</w:t>
            </w:r>
          </w:p>
        </w:tc>
      </w:tr>
    </w:tbl>
    <w:p>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72"/>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left="0" w:firstLine="3066" w:firstLineChars="1460"/>
        <w:jc w:val="left"/>
        <w:rPr>
          <w:rFonts w:hint="eastAsia"/>
          <w:b/>
          <w:bCs/>
          <w:szCs w:val="21"/>
        </w:rPr>
      </w:pPr>
      <w:bookmarkStart w:id="73" w:name="采购公告合同部分_ZBGGHT"/>
      <w:r>
        <w:rPr>
          <w:rFonts w:hint="eastAsia"/>
          <w:b/>
          <w:bCs/>
          <w:szCs w:val="21"/>
        </w:rPr>
        <w:t xml:space="preserve"> 采购合同</w:t>
      </w:r>
    </w:p>
    <w:p>
      <w:pPr>
        <w:spacing w:line="360" w:lineRule="auto"/>
        <w:ind w:left="1680" w:firstLine="420"/>
        <w:jc w:val="left"/>
        <w:rPr>
          <w:rFonts w:hint="eastAsia"/>
          <w:b/>
          <w:bCs/>
          <w:szCs w:val="21"/>
        </w:rPr>
      </w:pPr>
      <w:r>
        <w:rPr>
          <w:rFonts w:hint="eastAsia"/>
          <w:b/>
          <w:bCs/>
          <w:szCs w:val="21"/>
        </w:rPr>
        <w:t>必须明确合同金额支付条件及支付比例</w:t>
      </w:r>
    </w:p>
    <w:p>
      <w:pPr>
        <w:pStyle w:val="BodyText"/>
        <w:spacing w:after="0"/>
        <w:jc w:val="center"/>
        <w:rPr>
          <w:rFonts w:ascii="宋体" w:hAnsi="宋体" w:cs="宋体"/>
          <w:b/>
          <w:bCs/>
          <w:spacing w:val="-20"/>
          <w:kern w:val="44"/>
          <w:sz w:val="48"/>
          <w:szCs w:val="48"/>
        </w:rPr>
      </w:pPr>
      <w:r>
        <w:rPr>
          <w:b/>
          <w:bCs/>
          <w:szCs w:val="21"/>
        </w:rPr>
        <w:br w:type="page"/>
      </w:r>
      <w:bookmarkStart w:id="74" w:name="_Toc3995"/>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pPr>
        <w:rPr>
          <w:rFonts w:ascii="宋体" w:hAnsi="宋体" w:cs="宋体"/>
          <w:b/>
          <w:bCs/>
          <w:spacing w:val="-20"/>
          <w:kern w:val="44"/>
          <w:sz w:val="40"/>
          <w:szCs w:val="40"/>
        </w:rPr>
      </w:pPr>
    </w:p>
    <w:p>
      <w:pPr>
        <w:rPr>
          <w:rFonts w:ascii="宋体" w:hAnsi="宋体" w:cs="宋体"/>
          <w:b/>
          <w:bCs/>
          <w:spacing w:val="-20"/>
          <w:kern w:val="44"/>
          <w:sz w:val="40"/>
          <w:szCs w:val="40"/>
        </w:rPr>
      </w:pPr>
    </w:p>
    <w:p>
      <w:pPr>
        <w:rPr>
          <w:rFonts w:ascii="宋体" w:hAnsi="宋体" w:cs="宋体"/>
          <w:b/>
          <w:bCs/>
          <w:spacing w:val="-20"/>
          <w:kern w:val="44"/>
          <w:sz w:val="40"/>
          <w:szCs w:val="40"/>
        </w:rPr>
      </w:pPr>
    </w:p>
    <w:p>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p>
      <w:pPr>
        <w:rPr>
          <w:rFonts w:eastAsia="黑体"/>
          <w:sz w:val="44"/>
          <w:szCs w:val="44"/>
        </w:rPr>
      </w:pPr>
      <w:r>
        <w:rPr>
          <w:rFonts w:eastAsia="黑体"/>
          <w:sz w:val="44"/>
          <w:szCs w:val="44"/>
        </w:rPr>
        <w:br w:type="page"/>
      </w:r>
    </w:p>
    <w:p>
      <w:pPr>
        <w:rPr>
          <w:rFonts w:eastAsia="黑体"/>
          <w:sz w:val="44"/>
          <w:szCs w:val="44"/>
        </w:rPr>
      </w:pPr>
    </w:p>
    <w:p>
      <w:pPr>
        <w:rPr>
          <w:rFonts w:eastAsia="黑体"/>
          <w:sz w:val="44"/>
          <w:szCs w:val="44"/>
        </w:rPr>
      </w:pPr>
    </w:p>
    <w:p>
      <w:pPr>
        <w:jc w:val="center"/>
        <w:rPr>
          <w:rFonts w:eastAsia="黑体"/>
          <w:sz w:val="44"/>
          <w:szCs w:val="44"/>
        </w:rPr>
      </w:pPr>
      <w:r>
        <w:rPr>
          <w:rFonts w:eastAsia="黑体" w:hint="eastAsia"/>
          <w:sz w:val="44"/>
          <w:szCs w:val="44"/>
        </w:rPr>
        <w:t>使 用 说 明</w:t>
      </w:r>
    </w:p>
    <w:p>
      <w:pPr>
        <w:ind w:firstLine="640" w:firstLineChars="200"/>
        <w:rPr>
          <w:rFonts w:ascii="仿宋_GB2312" w:eastAsia="仿宋_GB2312" w:hAnsi="仿宋_GB2312" w:cs="仿宋_GB2312"/>
          <w:sz w:val="32"/>
          <w:szCs w:val="32"/>
        </w:rPr>
      </w:pP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pPr>
        <w:ind w:firstLine="0"/>
        <w:rPr>
          <w:rFonts w:eastAsia="黑体"/>
          <w:sz w:val="44"/>
          <w:szCs w:val="44"/>
        </w:rPr>
        <w:sectPr>
          <w:pgSz w:w="11906" w:h="16838"/>
          <w:pgMar w:top="1440" w:right="1800" w:bottom="1440" w:left="1800" w:header="851" w:footer="992" w:gutter="0"/>
          <w:cols w:num="1" w:space="425"/>
          <w:docGrid w:type="lines" w:linePitch="312" w:charSpace="0"/>
        </w:sectPr>
      </w:pPr>
    </w:p>
    <w:p>
      <w:pPr>
        <w:pStyle w:val="Heading2"/>
        <w:numPr>
          <w:ilvl w:val="0"/>
          <w:numId w:val="0"/>
        </w:numPr>
        <w:adjustRightInd w:val="0"/>
        <w:snapToGrid w:val="0"/>
        <w:spacing w:line="400" w:lineRule="exact"/>
        <w:jc w:val="center"/>
        <w:rPr>
          <w:rFonts w:ascii="黑体" w:hAnsi="华文中宋"/>
          <w:b w:val="0"/>
          <w:bCs w:val="0"/>
          <w:sz w:val="28"/>
          <w:szCs w:val="28"/>
        </w:rPr>
      </w:pPr>
      <w:bookmarkStart w:id="75" w:name="_Toc22209"/>
      <w:bookmarkEnd w:id="74"/>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5"/>
    </w:p>
    <w:p>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tab/>
        <w:t xml:space="preserve">                                   文件约定的合同甲方）</w:t>
      </w:r>
    </w:p>
    <w:p>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pPr>
        <w:spacing w:line="400" w:lineRule="exact"/>
      </w:pP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left="0" w:firstLine="420" w:firstLineChars="200"/>
        <w:rPr>
          <w:rFonts w:ascii="宋体" w:hAnsi="宋体"/>
          <w:b/>
          <w:szCs w:val="21"/>
        </w:rPr>
      </w:pPr>
      <w:r>
        <w:rPr>
          <w:rFonts w:ascii="宋体" w:hAnsi="宋体" w:hint="eastAsia"/>
          <w:b/>
          <w:szCs w:val="21"/>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pPr>
        <w:pStyle w:val="BodyTextIndent"/>
        <w:tabs>
          <w:tab w:val="left" w:pos="999"/>
        </w:tabs>
        <w:adjustRightInd w:val="0"/>
        <w:snapToGrid w:val="0"/>
        <w:spacing w:after="0" w:line="400" w:lineRule="exact"/>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rPr>
        <w:t>/</w:t>
      </w:r>
      <w:r>
        <w:rPr>
          <w:rFonts w:ascii="宋体" w:hAnsi="宋体" w:hint="eastAsia"/>
          <w:szCs w:val="21"/>
        </w:rPr>
        <w:t>个</w:t>
      </w:r>
      <w:r>
        <w:rPr>
          <w:rFonts w:ascii="宋体" w:hAnsi="宋体"/>
          <w:szCs w:val="21"/>
        </w:rPr>
        <w:t>/</w:t>
      </w:r>
      <w:r>
        <w:rPr>
          <w:rFonts w:ascii="宋体" w:hAnsi="宋体" w:hint="eastAsia"/>
          <w:szCs w:val="21"/>
        </w:rPr>
        <w:t>架</w:t>
      </w:r>
      <w:r>
        <w:rPr>
          <w:rFonts w:ascii="宋体" w:hAnsi="宋体"/>
          <w:szCs w:val="21"/>
        </w:rPr>
        <w:t>/</w:t>
      </w:r>
      <w:r>
        <w:rPr>
          <w:rFonts w:ascii="宋体" w:hAnsi="宋体" w:hint="eastAsia"/>
          <w:szCs w:val="21"/>
        </w:rPr>
        <w:t>组等）：</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pPr>
        <w:adjustRightInd w:val="0"/>
        <w:snapToGrid w:val="0"/>
        <w:spacing w:line="400" w:lineRule="exact"/>
        <w:ind w:left="0" w:firstLine="420" w:firstLineChars="200"/>
        <w:rPr>
          <w:rFonts w:ascii="宋体" w:hAnsi="宋体" w:cs="宋体"/>
          <w:szCs w:val="21"/>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u w:val="single"/>
        </w:rPr>
        <w:t xml:space="preserve"> </w:t>
      </w:r>
      <w:r>
        <w:rPr>
          <w:rFonts w:ascii="宋体" w:hAnsi="宋体" w:cs="宋体"/>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hint="eastAsia"/>
          <w:szCs w:val="21"/>
          <w:u w:val="single"/>
        </w:rPr>
        <w:t xml:space="preserve">       </w:t>
      </w:r>
      <w:r>
        <w:rPr>
          <w:rFonts w:ascii="宋体" w:hAnsi="宋体" w:cs="宋体"/>
          <w:szCs w:val="21"/>
          <w:u w:val="single"/>
        </w:rPr>
        <w:t xml:space="preserve">   </w:t>
      </w:r>
    </w:p>
    <w:p>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pPr>
        <w:adjustRightInd w:val="0"/>
        <w:snapToGrid w:val="0"/>
        <w:spacing w:line="400" w:lineRule="exact"/>
        <w:ind w:left="0"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pPr>
        <w:adjustRightInd w:val="0"/>
        <w:snapToGrid w:val="0"/>
        <w:spacing w:line="400" w:lineRule="exact"/>
        <w:ind w:left="0"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rPr>
        <w:t xml:space="preserve">               </w:t>
      </w:r>
      <w:r>
        <w:rPr>
          <w:rFonts w:ascii="宋体" w:hAnsi="宋体" w:cs="宋体" w:hint="eastAsia"/>
          <w:kern w:val="0"/>
          <w:szCs w:val="21"/>
          <w:u w:val="single"/>
        </w:rPr>
        <w:t xml:space="preserve">    </w:t>
      </w:r>
    </w:p>
    <w:p>
      <w:pPr>
        <w:adjustRightInd w:val="0"/>
        <w:snapToGrid w:val="0"/>
        <w:spacing w:line="400" w:lineRule="exact"/>
        <w:ind w:left="0"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pPr>
        <w:pStyle w:val="AONormal"/>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pPr>
        <w:pStyle w:val="AONormal"/>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pPr>
        <w:pStyle w:val="AONormal"/>
        <w:adjustRightInd w:val="0"/>
        <w:snapToGrid w:val="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adjustRightInd w:val="0"/>
        <w:snapToGrid w:val="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pPr>
        <w:pStyle w:val="AONormal"/>
        <w:adjustRightInd w:val="0"/>
        <w:snapToGrid w:val="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pPr>
        <w:pStyle w:val="AONormal"/>
        <w:adjustRightInd w:val="0"/>
        <w:snapToGrid w:val="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pPr>
        <w:pStyle w:val="AONormal"/>
        <w:adjustRightInd w:val="0"/>
        <w:snapToGrid w:val="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pPr>
        <w:pStyle w:val="AONormal"/>
        <w:adjustRightInd w:val="0"/>
        <w:snapToGrid w:val="0"/>
        <w:ind w:left="0"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pPr>
        <w:pStyle w:val="AONormal"/>
        <w:adjustRightInd w:val="0"/>
        <w:snapToGrid w:val="0"/>
        <w:ind w:left="0"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pPr>
        <w:pStyle w:val="AONormal"/>
        <w:adjustRightInd w:val="0"/>
        <w:snapToGrid w:val="0"/>
        <w:ind w:left="0"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pPr>
        <w:pStyle w:val="AONormal"/>
        <w:adjustRightInd w:val="0"/>
        <w:snapToGrid w:val="0"/>
        <w:ind w:left="0" w:firstLine="220" w:firstLineChars="100"/>
        <w:rPr>
          <w:rFonts w:ascii="宋体" w:eastAsia="宋体" w:hAnsi="宋体" w:cs="Times New Roman"/>
          <w:kern w:val="2"/>
          <w:sz w:val="21"/>
        </w:rPr>
      </w:pPr>
      <w:r>
        <w:rPr>
          <w:rFonts w:ascii="宋体" w:hAnsi="宋体" w:hint="eastAsia"/>
        </w:rPr>
        <w:t xml:space="preserve"> （</w:t>
      </w:r>
      <w:r>
        <w:rPr>
          <w:rFonts w:ascii="宋体" w:hAnsi="宋体"/>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snapToGrid w:val="0"/>
        <w:spacing w:line="400" w:lineRule="exact"/>
      </w:pPr>
      <w:r>
        <w:rPr>
          <w:rFonts w:hint="eastAsia"/>
        </w:rPr>
        <w:t xml:space="preserve">         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pPr>
        <w:pStyle w:val="AONormal"/>
        <w:tabs>
          <w:tab w:val="left" w:pos="1340"/>
        </w:tabs>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pPr>
        <w:adjustRightInd w:val="0"/>
        <w:snapToGrid w:val="0"/>
        <w:spacing w:line="400" w:lineRule="exact"/>
        <w:ind w:left="0" w:firstLine="420" w:firstLineChars="200"/>
        <w:rPr>
          <w:rFonts w:ascii="宋体" w:hAnsi="宋体" w:cs="宋体"/>
          <w:szCs w:val="21"/>
        </w:rPr>
      </w:pPr>
      <w:r>
        <w:rPr>
          <w:rFonts w:ascii="宋体" w:hAnsi="宋体" w:cs="宋体" w:hint="eastAsia"/>
          <w:szCs w:val="21"/>
        </w:rPr>
        <w:t>（</w:t>
      </w:r>
      <w:r>
        <w:rPr>
          <w:rFonts w:ascii="宋体" w:hAnsi="宋体" w:cs="宋体"/>
          <w:szCs w:val="21"/>
        </w:rPr>
        <w:t>9</w:t>
      </w:r>
      <w:r>
        <w:rPr>
          <w:rFonts w:ascii="宋体" w:hAnsi="宋体" w:cs="宋体" w:hint="eastAsia"/>
          <w:szCs w:val="21"/>
        </w:rPr>
        <w:t>）是否涉及进口产品：</w:t>
      </w:r>
    </w:p>
    <w:p>
      <w:pPr>
        <w:adjustRightInd w:val="0"/>
        <w:snapToGrid w:val="0"/>
        <w:spacing w:line="400" w:lineRule="exact"/>
        <w:ind w:left="0"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pPr>
        <w:adjustRightInd w:val="0"/>
        <w:snapToGrid w:val="0"/>
        <w:spacing w:line="400" w:lineRule="exact"/>
        <w:ind w:left="0"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rPr>
        <w:t>0</w:t>
      </w:r>
      <w:r>
        <w:rPr>
          <w:rFonts w:ascii="宋体" w:hAnsi="宋体" w:hint="eastAsia"/>
          <w:szCs w:val="21"/>
        </w:rPr>
        <w:t>）是否涉及节能产品：</w:t>
      </w:r>
    </w:p>
    <w:p>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pStyle w:val="AONormal"/>
        <w:adjustRightInd w:val="0"/>
        <w:snapToGrid w:val="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pPr>
        <w:adjustRightInd w:val="0"/>
        <w:snapToGrid w:val="0"/>
        <w:spacing w:line="400" w:lineRule="exact"/>
        <w:ind w:left="0"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pPr>
        <w:numPr>
          <w:ilvl w:val="0"/>
          <w:numId w:val="5"/>
        </w:numPr>
        <w:adjustRightInd w:val="0"/>
        <w:snapToGrid w:val="0"/>
        <w:spacing w:line="400" w:lineRule="exact"/>
        <w:ind w:left="0" w:firstLine="420" w:firstLineChars="200"/>
        <w:rPr>
          <w:rFonts w:ascii="宋体" w:hAnsi="宋体"/>
          <w:b/>
          <w:szCs w:val="21"/>
        </w:rPr>
      </w:pPr>
      <w:r>
        <w:rPr>
          <w:rFonts w:ascii="宋体" w:hAnsi="宋体" w:hint="eastAsia"/>
          <w:b/>
          <w:szCs w:val="21"/>
        </w:rPr>
        <w:t>合同金额</w:t>
      </w:r>
    </w:p>
    <w:p>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（2）合同定价方式（采用组合定价方式的，可以勾选多项）：</w:t>
      </w:r>
    </w:p>
    <w:p>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pPr>
        <w:pStyle w:val="12"/>
        <w:spacing w:line="400" w:lineRule="exact"/>
      </w:pPr>
      <w:r>
        <w:rPr>
          <w:rFonts w:ascii="宋体" w:hAnsi="宋体" w:hint="eastAsia"/>
        </w:rPr>
        <w:t>（3）付款方式（按项目实际勾选填写）：</w:t>
      </w:r>
    </w:p>
    <w:p>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pPr>
        <w:snapToGrid w:val="0"/>
        <w:spacing w:line="400" w:lineRule="exact"/>
        <w:ind w:firstLine="630" w:firstLineChars="300"/>
      </w:pPr>
      <w:r>
        <w:rPr>
          <w:rFonts w:ascii="宋体" w:eastAsia="宋体" w:hAnsi="Wingdings" w:hint="eastAsia"/>
          <w:szCs w:val="21"/>
        </w:rPr>
        <w:t>√</w:t>
      </w:r>
      <w:r>
        <w:rPr>
          <w:rFonts w:ascii="宋体" w:hAnsi="宋体" w:hint="eastAsia"/>
          <w:szCs w:val="21"/>
        </w:rPr>
        <w:t>分期付款：</w:t>
      </w:r>
      <w:r>
        <w:rPr>
          <w:rFonts w:ascii="宋体" w:hAnsi="宋体" w:hint="eastAsia"/>
          <w:szCs w:val="21"/>
          <w:u w:val="single"/>
        </w:rPr>
        <w:t xml:space="preserve">  </w:t>
      </w:r>
      <w:r>
        <w:rPr>
          <w:rFonts w:ascii="宋体" w:hAnsi="宋体"/>
          <w:szCs w:val="21"/>
          <w:u w:val="single"/>
        </w:rPr>
        <w:t>合同生效后付款：双方签署合同后7个工作日内，向乙方支付合同总金额的80%，项目建设安装完成，运行结束后，验收（合同验收）合格，甲方向乙方支付合同总金额的20%</w:t>
      </w:r>
      <w:r>
        <w:rPr>
          <w:rFonts w:ascii="宋体" w:hAnsi="宋体" w:hint="eastAsia"/>
          <w:szCs w:val="21"/>
        </w:rPr>
        <w:t>，其中涉及预付款的：</w:t>
      </w:r>
      <w:r>
        <w:rPr>
          <w:rFonts w:ascii="宋体" w:hAnsi="宋体" w:hint="eastAsia"/>
          <w:szCs w:val="21"/>
          <w:u w:val="single"/>
        </w:rPr>
        <w:t xml:space="preserve"> （应明确预付款的支付比例和支付条件） </w:t>
      </w:r>
    </w:p>
    <w:p>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pPr>
        <w:numPr>
          <w:ilvl w:val="0"/>
          <w:numId w:val="5"/>
        </w:numPr>
        <w:adjustRightInd w:val="0"/>
        <w:snapToGrid w:val="0"/>
        <w:spacing w:line="400" w:lineRule="exact"/>
        <w:ind w:left="0" w:firstLine="420" w:firstLineChars="200"/>
        <w:rPr>
          <w:rFonts w:ascii="宋体" w:hAnsi="宋体"/>
          <w:b/>
          <w:szCs w:val="21"/>
          <w:u w:val="single"/>
        </w:rPr>
      </w:pPr>
      <w:r>
        <w:rPr>
          <w:rFonts w:ascii="宋体" w:hAnsi="宋体" w:hint="eastAsia"/>
          <w:b/>
          <w:szCs w:val="21"/>
        </w:rPr>
        <w:t>合同履行</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pPr>
        <w:pStyle w:val="AONormal"/>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pPr>
        <w:numPr>
          <w:ilvl w:val="0"/>
          <w:numId w:val="5"/>
        </w:numPr>
        <w:adjustRightInd w:val="0"/>
        <w:snapToGrid w:val="0"/>
        <w:spacing w:line="400" w:lineRule="exact"/>
        <w:ind w:left="0" w:firstLine="420" w:firstLineChars="200"/>
        <w:rPr>
          <w:rFonts w:ascii="宋体" w:hAnsi="宋体"/>
          <w:b/>
          <w:szCs w:val="21"/>
        </w:rPr>
      </w:pPr>
      <w:r>
        <w:rPr>
          <w:rFonts w:ascii="宋体" w:hAnsi="宋体" w:hint="eastAsia"/>
          <w:b/>
          <w:szCs w:val="21"/>
        </w:rPr>
        <w:t>合同验收</w:t>
      </w:r>
    </w:p>
    <w:p>
      <w:pPr>
        <w:numPr>
          <w:ilvl w:val="0"/>
          <w:numId w:val="7"/>
        </w:numPr>
        <w:adjustRightInd w:val="0"/>
        <w:snapToGrid w:val="0"/>
        <w:spacing w:line="400" w:lineRule="exact"/>
        <w:ind w:left="0"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rPr>
        <w:t>/</w:t>
      </w:r>
      <w:r>
        <w:rPr>
          <w:rFonts w:ascii="宋体" w:hAnsi="宋体" w:hint="eastAsia"/>
          <w:bCs/>
          <w:szCs w:val="21"/>
          <w:u w:val="single"/>
        </w:rPr>
        <w:t xml:space="preserve">分项验收的工作安排）  </w:t>
      </w:r>
    </w:p>
    <w:p>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w:t>
      </w:r>
    </w:p>
    <w:p>
      <w:pPr>
        <w:pStyle w:val="AONormal"/>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pPr>
        <w:numPr>
          <w:ilvl w:val="0"/>
          <w:numId w:val="5"/>
        </w:numPr>
        <w:adjustRightInd w:val="0"/>
        <w:snapToGrid w:val="0"/>
        <w:spacing w:line="400" w:lineRule="exact"/>
        <w:ind w:left="0" w:firstLine="420" w:firstLineChars="200"/>
        <w:rPr>
          <w:rFonts w:ascii="宋体" w:hAnsi="宋体"/>
          <w:b/>
          <w:szCs w:val="21"/>
        </w:rPr>
      </w:pPr>
      <w:r>
        <w:rPr>
          <w:rFonts w:ascii="宋体" w:hAnsi="宋体" w:hint="eastAsia"/>
          <w:b/>
          <w:szCs w:val="21"/>
        </w:rPr>
        <w:t>组成合同的文件</w:t>
      </w:r>
    </w:p>
    <w:p>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pPr>
        <w:pStyle w:val="AONormal"/>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pPr>
        <w:numPr>
          <w:ilvl w:val="0"/>
          <w:numId w:val="5"/>
        </w:numPr>
        <w:adjustRightInd w:val="0"/>
        <w:snapToGrid w:val="0"/>
        <w:spacing w:line="400" w:lineRule="exact"/>
        <w:ind w:left="0" w:firstLine="420" w:firstLineChars="200"/>
        <w:rPr>
          <w:rFonts w:ascii="宋体" w:hAnsi="宋体"/>
          <w:b/>
          <w:szCs w:val="21"/>
        </w:rPr>
      </w:pPr>
      <w:r>
        <w:rPr>
          <w:rFonts w:ascii="宋体" w:hAnsi="宋体" w:hint="eastAsia"/>
          <w:b/>
          <w:szCs w:val="21"/>
        </w:rPr>
        <w:t>合同生效</w:t>
      </w:r>
    </w:p>
    <w:p>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pPr>
        <w:numPr>
          <w:ilvl w:val="0"/>
          <w:numId w:val="5"/>
        </w:numPr>
        <w:adjustRightInd w:val="0"/>
        <w:snapToGrid w:val="0"/>
        <w:spacing w:line="400" w:lineRule="exact"/>
        <w:ind w:left="0" w:firstLine="420" w:firstLineChars="200"/>
        <w:rPr>
          <w:rFonts w:ascii="宋体" w:hAnsi="宋体"/>
          <w:b/>
          <w:szCs w:val="21"/>
        </w:rPr>
      </w:pPr>
      <w:r>
        <w:rPr>
          <w:rFonts w:ascii="宋体" w:hAnsi="宋体" w:hint="eastAsia"/>
          <w:b/>
          <w:szCs w:val="21"/>
        </w:rPr>
        <w:t>合同份数</w:t>
      </w:r>
    </w:p>
    <w:p>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
        <w:rPr>
          <w:rFonts w:hint="eastAsia"/>
        </w:rPr>
        <w:br w:type="page"/>
      </w:r>
    </w:p>
    <w:p>
      <w:pPr>
        <w:pStyle w:val="12"/>
      </w:pPr>
    </w:p>
    <w:tbl>
      <w:tblPr>
        <w:tblStyle w:val="TableNormal"/>
        <w:tblW w:w="4927" w:type="pct"/>
        <w:jc w:val="lef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Look w:val="0600"/>
      </w:tblPr>
      <w:tblGrid>
        <w:gridCol w:w="1891"/>
        <w:gridCol w:w="2412"/>
        <w:gridCol w:w="1978"/>
        <w:gridCol w:w="2117"/>
      </w:tblGrid>
      <w:tr>
        <w:tblPrEx>
          <w:tblW w:w="4927" w:type="pct"/>
          <w:jc w:val="lef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Look w:val="0600"/>
        </w:tblPrEx>
        <w:trPr>
          <w:trHeight w:val="490"/>
          <w:jc w:val="left"/>
        </w:trPr>
        <w:tc>
          <w:tcPr>
            <w:tcW w:w="2562" w:type="pct"/>
            <w:gridSpan w:val="2"/>
            <w:tcBorders>
              <w:bottom w:val="single" w:sz="2" w:space="0" w:color="auto"/>
              <w:right w:val="single" w:sz="2" w:space="0" w:color="auto"/>
            </w:tcBorders>
            <w:vAlign w:val="center"/>
          </w:tcPr>
          <w:p>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pPr>
              <w:adjustRightInd w:val="0"/>
              <w:snapToGrid w:val="0"/>
              <w:spacing w:line="300" w:lineRule="exact"/>
              <w:jc w:val="center"/>
            </w:pPr>
            <w:r>
              <w:rPr>
                <w:szCs w:val="21"/>
              </w:rPr>
              <w:t>乙方</w:t>
            </w:r>
            <w:r>
              <w:rPr>
                <w:rFonts w:hint="eastAsia"/>
                <w:szCs w:val="21"/>
              </w:rPr>
              <w:t>（供应商）</w:t>
            </w:r>
          </w:p>
        </w:tc>
      </w:tr>
      <w:tr>
        <w:tblPrEx>
          <w:tblW w:w="4927" w:type="pct"/>
          <w:jc w:val="left"/>
          <w:tblInd w:w="0" w:type="dxa"/>
          <w:tblCellMar>
            <w:top w:w="0" w:type="dxa"/>
            <w:left w:w="108" w:type="dxa"/>
            <w:bottom w:w="0" w:type="dxa"/>
            <w:right w:w="108" w:type="dxa"/>
          </w:tblCellMar>
          <w:tblLook w:val="0600"/>
        </w:tblPrEx>
        <w:trPr>
          <w:trHeight w:val="917"/>
          <w:jc w:val="left"/>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jc w:val="left"/>
          <w:tblInd w:w="0" w:type="dxa"/>
          <w:tblCellMar>
            <w:top w:w="0" w:type="dxa"/>
            <w:left w:w="108" w:type="dxa"/>
            <w:bottom w:w="0" w:type="dxa"/>
            <w:right w:w="108" w:type="dxa"/>
          </w:tblCellMar>
          <w:tblLook w:val="0600"/>
        </w:tblPrEx>
        <w:trPr>
          <w:trHeight w:val="1171"/>
          <w:jc w:val="left"/>
        </w:trPr>
        <w:tc>
          <w:tcPr>
            <w:tcW w:w="1126" w:type="pct"/>
            <w:vMerge w:val="restart"/>
            <w:tcBorders>
              <w:top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4927" w:type="pct"/>
          <w:jc w:val="left"/>
          <w:tblInd w:w="0" w:type="dxa"/>
          <w:tblCellMar>
            <w:top w:w="0" w:type="dxa"/>
            <w:left w:w="108" w:type="dxa"/>
            <w:bottom w:w="0" w:type="dxa"/>
            <w:right w:w="108" w:type="dxa"/>
          </w:tblCellMar>
          <w:tblLook w:val="0600"/>
        </w:tblPrEx>
        <w:trPr>
          <w:trHeight w:val="483"/>
          <w:jc w:val="left"/>
        </w:trPr>
        <w:tc>
          <w:tcPr>
            <w:tcW w:w="1126" w:type="pct"/>
            <w:vMerge/>
            <w:tcBorders>
              <w:bottom w:val="single" w:sz="2" w:space="0" w:color="auto"/>
              <w:right w:val="single" w:sz="2" w:space="0" w:color="auto"/>
            </w:tcBorders>
            <w:vAlign w:val="center"/>
          </w:tcPr>
          <w:p/>
        </w:tc>
        <w:tc>
          <w:tcPr>
            <w:tcW w:w="1436" w:type="pct"/>
            <w:vMerge/>
            <w:tcBorders>
              <w:left w:val="single" w:sz="2" w:space="0" w:color="auto"/>
              <w:bottom w:val="single" w:sz="2" w:space="0" w:color="auto"/>
              <w:right w:val="single" w:sz="2" w:space="0" w:color="auto"/>
            </w:tcBorders>
            <w:vAlign w:val="center"/>
          </w:tc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jc w:val="left"/>
          <w:tblInd w:w="0" w:type="dxa"/>
          <w:tblCellMar>
            <w:top w:w="0" w:type="dxa"/>
            <w:left w:w="108" w:type="dxa"/>
            <w:bottom w:w="0" w:type="dxa"/>
            <w:right w:w="108" w:type="dxa"/>
          </w:tblCellMar>
          <w:tblLook w:val="0600"/>
        </w:tblPrEx>
        <w:trPr>
          <w:trHeight w:val="483"/>
          <w:jc w:val="left"/>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jc w:val="left"/>
          <w:tblInd w:w="0" w:type="dxa"/>
          <w:tblCellMar>
            <w:top w:w="0" w:type="dxa"/>
            <w:left w:w="108" w:type="dxa"/>
            <w:bottom w:w="0" w:type="dxa"/>
            <w:right w:w="108" w:type="dxa"/>
          </w:tblCellMar>
          <w:tblLook w:val="0600"/>
        </w:tblPrEx>
        <w:trPr>
          <w:trHeight w:val="483"/>
          <w:jc w:val="left"/>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jc w:val="left"/>
          <w:tblInd w:w="0" w:type="dxa"/>
          <w:tblCellMar>
            <w:top w:w="0" w:type="dxa"/>
            <w:left w:w="108" w:type="dxa"/>
            <w:bottom w:w="0" w:type="dxa"/>
            <w:right w:w="108" w:type="dxa"/>
          </w:tblCellMar>
          <w:tblLook w:val="0600"/>
        </w:tblPrEx>
        <w:trPr>
          <w:trHeight w:val="483"/>
          <w:jc w:val="left"/>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jc w:val="left"/>
          <w:tblInd w:w="0" w:type="dxa"/>
          <w:tblCellMar>
            <w:top w:w="0" w:type="dxa"/>
            <w:left w:w="108" w:type="dxa"/>
            <w:bottom w:w="0" w:type="dxa"/>
            <w:right w:w="108" w:type="dxa"/>
          </w:tblCellMar>
          <w:tblLook w:val="0600"/>
        </w:tblPrEx>
        <w:trPr>
          <w:trHeight w:val="483"/>
          <w:jc w:val="left"/>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jc w:val="left"/>
          <w:tblInd w:w="0" w:type="dxa"/>
          <w:tblCellMar>
            <w:top w:w="0" w:type="dxa"/>
            <w:left w:w="108" w:type="dxa"/>
            <w:bottom w:w="0" w:type="dxa"/>
            <w:right w:w="108" w:type="dxa"/>
          </w:tblCellMar>
          <w:tblLook w:val="0600"/>
        </w:tblPrEx>
        <w:trPr>
          <w:trHeight w:val="483"/>
          <w:jc w:val="left"/>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jc w:val="left"/>
          <w:tblInd w:w="0" w:type="dxa"/>
          <w:tblCellMar>
            <w:top w:w="0" w:type="dxa"/>
            <w:left w:w="108" w:type="dxa"/>
            <w:bottom w:w="0" w:type="dxa"/>
            <w:right w:w="108" w:type="dxa"/>
          </w:tblCellMar>
          <w:tblLook w:val="0600"/>
        </w:tblPrEx>
        <w:trPr>
          <w:trHeight w:val="483"/>
          <w:jc w:val="left"/>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jc w:val="left"/>
          <w:tblInd w:w="0" w:type="dxa"/>
          <w:tblCellMar>
            <w:top w:w="0" w:type="dxa"/>
            <w:left w:w="108" w:type="dxa"/>
            <w:bottom w:w="0" w:type="dxa"/>
            <w:right w:w="108" w:type="dxa"/>
          </w:tblCellMar>
          <w:tblLook w:val="0600"/>
        </w:tblPrEx>
        <w:trPr>
          <w:trHeight w:val="483"/>
          <w:jc w:val="left"/>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jc w:val="left"/>
          <w:tblInd w:w="0" w:type="dxa"/>
          <w:tblCellMar>
            <w:top w:w="0" w:type="dxa"/>
            <w:left w:w="108" w:type="dxa"/>
            <w:bottom w:w="0" w:type="dxa"/>
            <w:right w:w="108" w:type="dxa"/>
          </w:tblCellMar>
          <w:tblLook w:val="0600"/>
        </w:tblPrEx>
        <w:trPr>
          <w:trHeight w:val="483"/>
          <w:jc w:val="left"/>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jc w:val="left"/>
          <w:tblInd w:w="0" w:type="dxa"/>
          <w:tblCellMar>
            <w:top w:w="0" w:type="dxa"/>
            <w:left w:w="108" w:type="dxa"/>
            <w:bottom w:w="0" w:type="dxa"/>
            <w:right w:w="108" w:type="dxa"/>
          </w:tblCellMar>
          <w:tblLook w:val="0600"/>
        </w:tblPrEx>
        <w:trPr>
          <w:trHeight w:val="483"/>
          <w:jc w:val="left"/>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jc w:val="left"/>
          <w:tblInd w:w="0" w:type="dxa"/>
          <w:tblCellMar>
            <w:top w:w="0" w:type="dxa"/>
            <w:left w:w="108" w:type="dxa"/>
            <w:bottom w:w="0" w:type="dxa"/>
            <w:right w:w="108" w:type="dxa"/>
          </w:tblCellMar>
          <w:tblLook w:val="0600"/>
        </w:tblPrEx>
        <w:trPr>
          <w:trHeight w:val="483"/>
          <w:jc w:val="left"/>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jc w:val="left"/>
          <w:tblInd w:w="0" w:type="dxa"/>
          <w:tblCellMar>
            <w:top w:w="0" w:type="dxa"/>
            <w:left w:w="108" w:type="dxa"/>
            <w:bottom w:w="0" w:type="dxa"/>
            <w:right w:w="108" w:type="dxa"/>
          </w:tblCellMar>
          <w:tblLook w:val="0600"/>
        </w:tblPrEx>
        <w:trPr>
          <w:trHeight w:val="586"/>
          <w:jc w:val="left"/>
        </w:trPr>
        <w:tc>
          <w:tcPr>
            <w:tcW w:w="5000" w:type="pct"/>
            <w:gridSpan w:val="4"/>
            <w:tcBorders>
              <w:top w:val="single" w:sz="2" w:space="0" w:color="auto"/>
            </w:tcBorders>
            <w:vAlign w:val="center"/>
          </w:tcPr>
          <w:p>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6" w:name="_Toc27624"/>
      <w:r>
        <w:rPr>
          <w:rFonts w:ascii="黑体" w:hAnsi="黑体" w:hint="eastAsia"/>
          <w:b w:val="0"/>
          <w:bCs w:val="0"/>
          <w:sz w:val="28"/>
          <w:szCs w:val="28"/>
        </w:rPr>
        <w:t>第二节 政府采购合同通用条款</w:t>
      </w:r>
      <w:bookmarkEnd w:id="76"/>
    </w:p>
    <w:p>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rPr>
        <w:t>其他</w:t>
      </w:r>
      <w:r>
        <w:rPr>
          <w:rFonts w:ascii="宋体" w:hAnsi="宋体" w:hint="eastAsia"/>
          <w:color w:val="000000"/>
          <w:szCs w:val="21"/>
        </w:rPr>
        <w:t>技术资料和材料等。</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rPr>
        <w:t>其他</w:t>
      </w:r>
      <w:r>
        <w:rPr>
          <w:rFonts w:ascii="宋体" w:hAnsi="宋体" w:hint="eastAsia"/>
          <w:color w:val="000000"/>
          <w:szCs w:val="21"/>
        </w:rPr>
        <w:t>义务。</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pPr>
        <w:numPr>
          <w:ilvl w:val="0"/>
          <w:numId w:val="8"/>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rPr>
        <w:t>其他</w:t>
      </w:r>
      <w:r>
        <w:rPr>
          <w:rFonts w:ascii="宋体" w:hAnsi="宋体" w:hint="eastAsia"/>
          <w:color w:val="000000"/>
          <w:szCs w:val="21"/>
        </w:rPr>
        <w:t>任何费用。</w:t>
      </w:r>
    </w:p>
    <w:p>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pPr>
        <w:pStyle w:val="AONormal"/>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pPr>
        <w:pStyle w:val="PlainText"/>
        <w:adjustRightInd w:val="0"/>
        <w:snapToGrid w:val="0"/>
        <w:spacing w:line="400" w:lineRule="exact"/>
        <w:ind w:firstLine="420" w:firstLineChars="200"/>
        <w:jc w:val="left"/>
        <w:rPr>
          <w:rFonts w:hAnsi="宋体"/>
          <w:b/>
        </w:rPr>
      </w:pPr>
      <w:r>
        <w:rPr>
          <w:rFonts w:hAnsi="宋体" w:hint="eastAsia"/>
        </w:rPr>
        <w:t>8.1 质量标准</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7"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7"/>
      <w:r>
        <w:rPr>
          <w:rFonts w:ascii="宋体" w:hAnsi="宋体" w:hint="eastAsia"/>
          <w:szCs w:val="21"/>
        </w:rPr>
        <w:t>。</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pPr>
        <w:numPr>
          <w:ilvl w:val="1"/>
          <w:numId w:val="10"/>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pPr>
        <w:spacing w:line="400" w:lineRule="exact"/>
        <w:ind w:left="0" w:firstLine="420" w:firstLineChars="200"/>
        <w:outlineLvl w:val="9"/>
      </w:pPr>
      <w:r>
        <w:rPr>
          <w:rFonts w:ascii="宋体" w:hAnsi="宋体" w:hint="eastAsia"/>
          <w:b w:val="0"/>
          <w:bCs w:val="0"/>
          <w:sz w:val="21"/>
          <w:szCs w:val="21"/>
        </w:rPr>
        <w:t xml:space="preserve">12.2 </w:t>
      </w:r>
      <w:r>
        <w:rPr>
          <w:rFonts w:ascii="宋体" w:eastAsia="宋体" w:hAnsi="宋体" w:hint="eastAsia"/>
          <w:b w:val="0"/>
          <w:bCs w:val="0"/>
          <w:sz w:val="21"/>
          <w:szCs w:val="21"/>
        </w:rPr>
        <w:t>对于满足合同约定支付条件的，甲方原则上应当自收到发票后10个工作日内将资金支付到合同约定的</w:t>
      </w:r>
      <w:r>
        <w:rPr>
          <w:rFonts w:ascii="宋体" w:hAnsi="宋体" w:hint="eastAsia"/>
          <w:b w:val="0"/>
          <w:bCs w:val="0"/>
          <w:sz w:val="21"/>
          <w:szCs w:val="21"/>
        </w:rPr>
        <w:t>乙方</w:t>
      </w:r>
      <w:r>
        <w:rPr>
          <w:rFonts w:ascii="宋体" w:eastAsia="宋体" w:hAnsi="宋体" w:hint="eastAsia"/>
          <w:b w:val="0"/>
          <w:bCs w:val="0"/>
          <w:sz w:val="21"/>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rPr>
        <w:t>政府采购合同专用条款</w:t>
      </w:r>
      <w:r>
        <w:rPr>
          <w:rFonts w:ascii="宋体" w:eastAsia="宋体" w:hAnsi="宋体" w:hint="eastAsia"/>
          <w:b w:val="0"/>
          <w:bCs w:val="0"/>
          <w:sz w:val="21"/>
          <w:szCs w:val="21"/>
        </w:rPr>
        <w:t>】中</w:t>
      </w:r>
      <w:r>
        <w:rPr>
          <w:rFonts w:ascii="宋体" w:hAnsi="宋体" w:hint="eastAsia"/>
          <w:b w:val="0"/>
          <w:bCs w:val="0"/>
          <w:sz w:val="21"/>
          <w:szCs w:val="21"/>
        </w:rPr>
        <w:t>约</w:t>
      </w:r>
      <w:r>
        <w:rPr>
          <w:rFonts w:ascii="宋体" w:eastAsia="宋体" w:hAnsi="宋体" w:hint="eastAsia"/>
          <w:b w:val="0"/>
          <w:bCs w:val="0"/>
          <w:sz w:val="21"/>
          <w:szCs w:val="21"/>
        </w:rPr>
        <w:t>定。</w:t>
      </w:r>
    </w:p>
    <w:p>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pPr>
        <w:pStyle w:val="AONormal"/>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pPr>
        <w:adjustRightInd w:val="0"/>
        <w:snapToGrid w:val="0"/>
        <w:spacing w:line="400" w:lineRule="exact"/>
        <w:jc w:val="left"/>
        <w:rPr>
          <w:rFonts w:ascii="宋体" w:hAnsi="宋体"/>
          <w:b/>
          <w:bCs/>
        </w:rPr>
      </w:pPr>
      <w:r>
        <w:rPr>
          <w:rFonts w:ascii="宋体" w:hAnsi="宋体" w:hint="eastAsia"/>
          <w:b/>
          <w:bCs/>
          <w:sz w:val="24"/>
        </w:rPr>
        <w:t>15. 违约责任</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pPr>
        <w:numPr>
          <w:ilvl w:val="0"/>
          <w:numId w:val="11"/>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pPr>
        <w:adjustRightInd w:val="0"/>
        <w:snapToGrid w:val="0"/>
        <w:spacing w:line="400" w:lineRule="exact"/>
        <w:jc w:val="left"/>
        <w:rPr>
          <w:rFonts w:ascii="宋体" w:hAnsi="宋体"/>
          <w:szCs w:val="21"/>
        </w:rPr>
      </w:pPr>
      <w:r>
        <w:rPr>
          <w:rFonts w:ascii="宋体" w:hAnsi="宋体" w:hint="eastAsia"/>
          <w:szCs w:val="21"/>
        </w:rPr>
        <w:t xml:space="preserve">    16.1合同的变更</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pPr>
        <w:pStyle w:val="AONormal"/>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pPr>
        <w:pStyle w:val="AONormal"/>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pPr>
        <w:pStyle w:val="AONormal"/>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pPr>
        <w:pStyle w:val="AONormal"/>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pPr>
        <w:pStyle w:val="AONormal"/>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pPr>
        <w:pStyle w:val="AONormal"/>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pPr>
        <w:pStyle w:val="AONormal"/>
        <w:jc w:val="both"/>
        <w:rPr>
          <w:rFonts w:ascii="宋体" w:eastAsia="宋体" w:hAnsi="宋体" w:cs="宋体"/>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rPr>
      </w:pPr>
      <w:r>
        <w:rPr>
          <w:rFonts w:ascii="宋体" w:hAnsi="宋体" w:hint="eastAsia"/>
          <w:b/>
          <w:bCs/>
          <w:sz w:val="24"/>
        </w:rPr>
        <w:t>合同未尽事项</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8" w:name="_Toc20313"/>
    </w:p>
    <w:p>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78"/>
    </w:p>
    <w:tbl>
      <w:tblPr>
        <w:tblStyle w:val="TableNormal"/>
        <w:tblW w:w="8519" w:type="dxa"/>
        <w:jc w:val="left"/>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Look w:val="0600"/>
      </w:tblPr>
      <w:tblGrid>
        <w:gridCol w:w="1607"/>
        <w:gridCol w:w="1742"/>
        <w:gridCol w:w="5170"/>
      </w:tblGrid>
      <w:tr>
        <w:tblPrEx>
          <w:tblW w:w="8519" w:type="dxa"/>
          <w:jc w:val="left"/>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Look w:val="0600"/>
        </w:tblPrEx>
        <w:trPr>
          <w:trHeight w:val="736"/>
          <w:jc w:val="left"/>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pPr>
              <w:adjustRightInd w:val="0"/>
              <w:snapToGrid w:val="0"/>
              <w:jc w:val="left"/>
              <w:rPr>
                <w:rFonts w:ascii="宋体" w:hAnsi="宋体"/>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604"/>
          <w:jc w:val="left"/>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pPr>
              <w:adjustRightInd w:val="0"/>
              <w:snapToGrid w:val="0"/>
              <w:jc w:val="left"/>
              <w:rPr>
                <w:rFonts w:ascii="宋体" w:hAnsi="宋体"/>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736"/>
          <w:jc w:val="left"/>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pPr>
              <w:adjustRightInd w:val="0"/>
              <w:snapToGrid w:val="0"/>
              <w:jc w:val="left"/>
              <w:rPr>
                <w:rFonts w:ascii="宋体" w:hAnsi="宋体"/>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736"/>
          <w:jc w:val="left"/>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pPr>
              <w:adjustRightInd w:val="0"/>
              <w:snapToGrid w:val="0"/>
              <w:jc w:val="left"/>
              <w:rPr>
                <w:rFonts w:ascii="宋体" w:hAnsi="宋体"/>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736"/>
          <w:jc w:val="left"/>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pPr>
            <w:r>
              <w:rPr>
                <w:rFonts w:ascii="宋体" w:hAnsi="宋体" w:hint="eastAsia"/>
                <w:szCs w:val="21"/>
              </w:rPr>
              <w:t>第5.4款</w:t>
            </w:r>
          </w:p>
        </w:tc>
        <w:tc>
          <w:tcPr>
            <w:tcW w:w="1742" w:type="dxa"/>
            <w:vAlign w:val="center"/>
          </w:tcPr>
          <w:p>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pPr>
              <w:adjustRightInd w:val="0"/>
              <w:snapToGrid w:val="0"/>
              <w:jc w:val="left"/>
              <w:rPr>
                <w:rFonts w:ascii="宋体" w:hAnsi="宋体"/>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736"/>
          <w:jc w:val="left"/>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rPr>
                <w:rFonts w:ascii="宋体" w:hAnsi="宋体"/>
                <w:szCs w:val="21"/>
              </w:rPr>
            </w:pPr>
            <w:r>
              <w:rPr>
                <w:rFonts w:ascii="宋体" w:hAnsi="宋体" w:hint="eastAsia"/>
                <w:szCs w:val="21"/>
              </w:rPr>
              <w:t>第6.1款</w:t>
            </w:r>
          </w:p>
        </w:tc>
        <w:tc>
          <w:tcPr>
            <w:tcW w:w="1742" w:type="dxa"/>
            <w:vAlign w:val="center"/>
          </w:tcPr>
          <w:p>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pPr>
              <w:adjustRightInd w:val="0"/>
              <w:snapToGrid w:val="0"/>
              <w:jc w:val="left"/>
              <w:rPr>
                <w:rFonts w:ascii="宋体" w:hAnsi="宋体"/>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667"/>
          <w:jc w:val="left"/>
        </w:trPr>
        <w:tc>
          <w:tcPr>
            <w:tcW w:w="1607" w:type="dxa"/>
            <w:vMerge w:val="restart"/>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tc>
      </w:tr>
      <w:tr>
        <w:tblPrEx>
          <w:tblW w:w="8519" w:type="dxa"/>
          <w:jc w:val="left"/>
          <w:tblInd w:w="108" w:type="dxa"/>
          <w:tblLayout w:type="fixed"/>
          <w:tblCellMar>
            <w:top w:w="0" w:type="dxa"/>
            <w:left w:w="108" w:type="dxa"/>
            <w:bottom w:w="0" w:type="dxa"/>
            <w:right w:w="108" w:type="dxa"/>
          </w:tblCellMar>
          <w:tblLook w:val="0600"/>
        </w:tblPrEx>
        <w:trPr>
          <w:trHeight w:val="667"/>
          <w:jc w:val="left"/>
        </w:trPr>
        <w:tc>
          <w:tcPr>
            <w:tcW w:w="1607" w:type="dxa"/>
            <w:vMerge/>
            <w:vAlign w:val="center"/>
          </w:tcPr>
          <w:p/>
        </w:tc>
        <w:tc>
          <w:tcPr>
            <w:tcW w:w="1742" w:type="dxa"/>
            <w:vAlign w:val="center"/>
          </w:tcPr>
          <w:p>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tc>
      </w:tr>
      <w:tr>
        <w:tblPrEx>
          <w:tblW w:w="8519" w:type="dxa"/>
          <w:jc w:val="left"/>
          <w:tblInd w:w="108" w:type="dxa"/>
          <w:tblLayout w:type="fixed"/>
          <w:tblCellMar>
            <w:top w:w="0" w:type="dxa"/>
            <w:left w:w="108" w:type="dxa"/>
            <w:bottom w:w="0" w:type="dxa"/>
            <w:right w:w="108" w:type="dxa"/>
          </w:tblCellMar>
          <w:tblLook w:val="0600"/>
        </w:tblPrEx>
        <w:trPr>
          <w:trHeight w:val="772"/>
          <w:jc w:val="left"/>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tc>
      </w:tr>
      <w:tr>
        <w:tblPrEx>
          <w:tblW w:w="8519" w:type="dxa"/>
          <w:jc w:val="left"/>
          <w:tblInd w:w="108" w:type="dxa"/>
          <w:tblLayout w:type="fixed"/>
          <w:tblCellMar>
            <w:top w:w="0" w:type="dxa"/>
            <w:left w:w="108" w:type="dxa"/>
            <w:bottom w:w="0" w:type="dxa"/>
            <w:right w:w="108" w:type="dxa"/>
          </w:tblCellMar>
          <w:tblLook w:val="0600"/>
        </w:tblPrEx>
        <w:trPr>
          <w:trHeight w:val="667"/>
          <w:jc w:val="left"/>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tc>
      </w:tr>
      <w:tr>
        <w:tblPrEx>
          <w:tblW w:w="8519" w:type="dxa"/>
          <w:jc w:val="left"/>
          <w:tblInd w:w="108" w:type="dxa"/>
          <w:tblLayout w:type="fixed"/>
          <w:tblCellMar>
            <w:top w:w="0" w:type="dxa"/>
            <w:left w:w="108" w:type="dxa"/>
            <w:bottom w:w="0" w:type="dxa"/>
            <w:right w:w="108" w:type="dxa"/>
          </w:tblCellMar>
          <w:tblLook w:val="0600"/>
        </w:tblPrEx>
        <w:trPr>
          <w:trHeight w:val="736"/>
          <w:jc w:val="left"/>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pPr>
              <w:autoSpaceDE w:val="0"/>
              <w:autoSpaceDN w:val="0"/>
              <w:adjustRightInd w:val="0"/>
              <w:snapToGrid w:val="0"/>
              <w:ind w:firstLine="420" w:firstLineChars="200"/>
              <w:jc w:val="left"/>
              <w:rPr>
                <w:rFonts w:ascii="宋体" w:hAnsi="宋体"/>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736"/>
          <w:jc w:val="left"/>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pPr>
              <w:adjustRightInd w:val="0"/>
              <w:snapToGrid w:val="0"/>
              <w:jc w:val="left"/>
              <w:rPr>
                <w:rFonts w:ascii="宋体" w:hAnsi="宋体"/>
                <w:szCs w:val="21"/>
              </w:rPr>
            </w:pPr>
            <w:r>
              <w:rPr>
                <w:rFonts w:ascii="宋体" w:hAnsi="宋体" w:hint="eastAsia"/>
                <w:szCs w:val="21"/>
              </w:rPr>
              <w:t>货物质量缺陷</w:t>
            </w:r>
          </w:p>
          <w:p>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pPr>
              <w:adjustRightInd w:val="0"/>
              <w:snapToGrid w:val="0"/>
              <w:jc w:val="left"/>
              <w:rPr>
                <w:rFonts w:ascii="宋体" w:hAnsi="宋体"/>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736"/>
          <w:jc w:val="left"/>
        </w:trPr>
        <w:tc>
          <w:tcPr>
            <w:tcW w:w="1607" w:type="dxa"/>
            <w:vAlign w:val="center"/>
          </w:tcPr>
          <w:p>
            <w:pPr>
              <w:snapToGrid w:val="0"/>
              <w:jc w:val="center"/>
              <w:rPr>
                <w:rFonts w:ascii="宋体" w:hAnsi="宋体" w:cs="宋体"/>
                <w:szCs w:val="21"/>
              </w:rPr>
            </w:pPr>
            <w:r>
              <w:rPr>
                <w:rFonts w:ascii="宋体" w:hAnsi="宋体" w:cs="宋体" w:hint="eastAsia"/>
                <w:szCs w:val="21"/>
              </w:rPr>
              <w:t>第二节</w:t>
            </w:r>
          </w:p>
          <w:p>
            <w:pPr>
              <w:pStyle w:val="AONormal"/>
              <w:ind w:firstLine="0" w:firstLineChars="0"/>
              <w:jc w:val="center"/>
            </w:pPr>
            <w:r>
              <w:rPr>
                <w:rFonts w:ascii="宋体" w:eastAsia="宋体" w:hAnsi="宋体" w:cs="宋体" w:hint="eastAsia"/>
              </w:rPr>
              <w:t>第11.1款</w:t>
            </w:r>
          </w:p>
        </w:tc>
        <w:tc>
          <w:tcPr>
            <w:tcW w:w="1742" w:type="dxa"/>
            <w:vAlign w:val="center"/>
          </w:tcPr>
          <w:p>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pPr>
              <w:adjustRightInd w:val="0"/>
              <w:snapToGrid w:val="0"/>
              <w:jc w:val="left"/>
              <w:rPr>
                <w:rFonts w:ascii="宋体" w:hAnsi="宋体"/>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697"/>
          <w:jc w:val="left"/>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pPr>
              <w:adjustRightInd w:val="0"/>
              <w:snapToGrid w:val="0"/>
              <w:jc w:val="left"/>
              <w:rPr>
                <w:rFonts w:ascii="宋体" w:hAnsi="宋体"/>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697"/>
          <w:jc w:val="left"/>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pPr>
              <w:adjustRightInd w:val="0"/>
              <w:snapToGrid w:val="0"/>
              <w:jc w:val="left"/>
              <w:rPr>
                <w:rFonts w:ascii="宋体" w:hAnsi="宋体"/>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736"/>
          <w:jc w:val="left"/>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pPr>
              <w:adjustRightInd w:val="0"/>
              <w:snapToGrid w:val="0"/>
              <w:jc w:val="left"/>
              <w:rPr>
                <w:rFonts w:ascii="宋体" w:hAnsi="宋体"/>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784"/>
          <w:jc w:val="left"/>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pPr>
              <w:adjustRightInd w:val="0"/>
              <w:snapToGrid w:val="0"/>
              <w:jc w:val="left"/>
              <w:rPr>
                <w:rFonts w:ascii="宋体" w:hAnsi="宋体"/>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784"/>
          <w:jc w:val="left"/>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pPr>
              <w:adjustRightInd w:val="0"/>
              <w:snapToGrid w:val="0"/>
              <w:jc w:val="left"/>
              <w:rPr>
                <w:rFonts w:ascii="宋体" w:hAnsi="宋体"/>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736"/>
          <w:jc w:val="left"/>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pPr>
              <w:adjustRightInd w:val="0"/>
              <w:snapToGrid w:val="0"/>
              <w:jc w:val="left"/>
              <w:rPr>
                <w:rFonts w:ascii="宋体" w:hAnsi="宋体"/>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736"/>
          <w:jc w:val="left"/>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pPr>
              <w:adjustRightInd w:val="0"/>
              <w:snapToGrid w:val="0"/>
              <w:jc w:val="left"/>
              <w:rPr>
                <w:rFonts w:ascii="宋体" w:hAnsi="宋体"/>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736"/>
          <w:jc w:val="left"/>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pPr>
              <w:adjustRightInd w:val="0"/>
              <w:snapToGrid w:val="0"/>
              <w:jc w:val="left"/>
              <w:rPr>
                <w:rFonts w:ascii="宋体" w:hAnsi="宋体"/>
                <w:szCs w:val="21"/>
                <w:u w:val="single"/>
              </w:rPr>
            </w:pPr>
          </w:p>
        </w:tc>
      </w:tr>
      <w:tr>
        <w:tblPrEx>
          <w:tblW w:w="8519" w:type="dxa"/>
          <w:jc w:val="left"/>
          <w:tblInd w:w="108" w:type="dxa"/>
          <w:tblLayout w:type="fixed"/>
          <w:tblCellMar>
            <w:top w:w="0" w:type="dxa"/>
            <w:left w:w="108" w:type="dxa"/>
            <w:bottom w:w="0" w:type="dxa"/>
            <w:right w:w="108" w:type="dxa"/>
          </w:tblCellMar>
          <w:tblLook w:val="0600"/>
        </w:tblPrEx>
        <w:trPr>
          <w:trHeight w:val="736"/>
          <w:jc w:val="left"/>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pPr>
              <w:adjustRightInd w:val="0"/>
              <w:snapToGrid w:val="0"/>
              <w:jc w:val="left"/>
              <w:rPr>
                <w:rFonts w:ascii="宋体" w:hAnsi="宋体"/>
                <w:szCs w:val="21"/>
                <w:u w:val="single"/>
              </w:rPr>
            </w:pPr>
          </w:p>
        </w:tc>
      </w:tr>
      <w:tr>
        <w:tblPrEx>
          <w:tblW w:w="8519" w:type="dxa"/>
          <w:jc w:val="left"/>
          <w:tblInd w:w="108" w:type="dxa"/>
          <w:tblLayout w:type="fixed"/>
          <w:tblCellMar>
            <w:top w:w="0" w:type="dxa"/>
            <w:left w:w="108" w:type="dxa"/>
            <w:bottom w:w="0" w:type="dxa"/>
            <w:right w:w="108" w:type="dxa"/>
          </w:tblCellMar>
          <w:tblLook w:val="0600"/>
        </w:tblPrEx>
        <w:trPr>
          <w:trHeight w:val="876"/>
          <w:jc w:val="left"/>
        </w:trPr>
        <w:tc>
          <w:tcPr>
            <w:tcW w:w="1607" w:type="dxa"/>
            <w:tcBorders>
              <w:bottom w:val="single" w:sz="2" w:space="0" w:color="auto"/>
              <w:right w:val="single" w:sz="2" w:space="0" w:color="auto"/>
            </w:tcBorders>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pPr>
              <w:adjustRightInd w:val="0"/>
              <w:snapToGrid w:val="0"/>
              <w:jc w:val="left"/>
              <w:rPr>
                <w:rFonts w:ascii="宋体" w:hAnsi="宋体"/>
                <w:szCs w:val="21"/>
                <w:u w:val="single"/>
              </w:rPr>
            </w:pPr>
          </w:p>
        </w:tc>
      </w:tr>
      <w:tr>
        <w:tblPrEx>
          <w:tblW w:w="8519" w:type="dxa"/>
          <w:jc w:val="left"/>
          <w:tblInd w:w="108" w:type="dxa"/>
          <w:tblLayout w:type="fixed"/>
          <w:tblCellMar>
            <w:top w:w="0" w:type="dxa"/>
            <w:left w:w="108" w:type="dxa"/>
            <w:bottom w:w="0" w:type="dxa"/>
            <w:right w:w="108" w:type="dxa"/>
          </w:tblCellMar>
          <w:tblLook w:val="0600"/>
        </w:tblPrEx>
        <w:trPr>
          <w:trHeight w:val="90"/>
          <w:jc w:val="left"/>
        </w:trPr>
        <w:tc>
          <w:tcPr>
            <w:tcW w:w="1607" w:type="dxa"/>
            <w:tcBorders>
              <w:top w:val="single" w:sz="2" w:space="0" w:color="auto"/>
              <w:right w:val="single" w:sz="2" w:space="0" w:color="auto"/>
            </w:tcBorders>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jc w:val="left"/>
          <w:tblInd w:w="108" w:type="dxa"/>
          <w:tblLayout w:type="fixed"/>
          <w:tblCellMar>
            <w:top w:w="0" w:type="dxa"/>
            <w:left w:w="108" w:type="dxa"/>
            <w:bottom w:w="0" w:type="dxa"/>
            <w:right w:w="108" w:type="dxa"/>
          </w:tblCellMar>
          <w:tblLook w:val="0600"/>
        </w:tblPrEx>
        <w:trPr>
          <w:trHeight w:val="770"/>
          <w:jc w:val="left"/>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pPr>
              <w:adjustRightInd w:val="0"/>
              <w:snapToGrid w:val="0"/>
              <w:jc w:val="left"/>
              <w:rPr>
                <w:rFonts w:ascii="宋体" w:hAnsi="宋体"/>
                <w:szCs w:val="21"/>
              </w:rPr>
            </w:pPr>
          </w:p>
        </w:tc>
      </w:tr>
    </w:tbl>
    <w:p/>
    <w:p>
      <w:pPr>
        <w:rPr>
          <w:b/>
          <w:bCs/>
          <w:sz w:val="44"/>
          <w:szCs w:val="44"/>
        </w:rPr>
      </w:pPr>
    </w:p>
    <w:p/>
    <w:p w:rsidR="00A77B3E"/>
    <w:p>
      <w:pPr>
        <w:numPr>
          <w:ilvl w:val="0"/>
          <w:numId w:val="4"/>
        </w:numPr>
        <w:spacing w:line="360" w:lineRule="auto"/>
        <w:ind w:left="0" w:firstLine="3066" w:firstLineChars="1460"/>
        <w:jc w:val="left"/>
        <w:rPr>
          <w:rFonts w:hint="eastAsia"/>
          <w:b/>
          <w:bCs/>
          <w:szCs w:val="21"/>
        </w:rPr>
      </w:pPr>
      <w:bookmarkEnd w:id="73"/>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variable"/>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variable"/>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variable"/>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variable"/>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script"/>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00" w:usb3="00000000" w:csb0="0004009F" w:csb1="DFD70000"/>
  </w:font>
  <w:font w:name="汉仪书宋二S">
    <w:altName w:val="Times New Roman"/>
    <w:panose1 w:val="00000000000000000000"/>
    <w:charset w:val="00"/>
    <w:family w:val="auto"/>
    <w:pitch w:val="variable"/>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表格"/>
    <w:basedOn w:val="Normal"/>
    <w:qFormat/>
    <w:pPr>
      <w:spacing w:line="440" w:lineRule="exact"/>
      <w:jc w:val="center"/>
    </w:pPr>
    <w:rPr>
      <w:rFonts w:eastAsia="方正仿宋"/>
      <w:color w:val="000000"/>
      <w:sz w:val="18"/>
      <w:szCs w:val="18"/>
    </w:rPr>
  </w:style>
  <w:style w:type="paragraph" w:customStyle="1" w:styleId="TableParagraph">
    <w:name w:val="Table Paragraph"/>
    <w:basedOn w:val="Normal"/>
    <w:uiPriority w:val="1"/>
    <w:qFormat/>
    <w:pPr>
      <w:jc w:val="left"/>
    </w:pPr>
    <w:rPr>
      <w:rFonts w:ascii="Calibri" w:eastAsia="Calibri" w:hAnsi="Calibri" w:cs="宋体"/>
      <w:kern w:val="0"/>
      <w:sz w:val="22"/>
      <w:szCs w:val="22"/>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25716</Words>
  <Characters>27253</Characters>
  <Application>Microsoft Office Word</Application>
  <DocSecurity>0</DocSecurity>
  <Lines>209</Lines>
  <Paragraphs>59</Paragraphs>
  <ScaleCrop>false</ScaleCrop>
  <Company>中国气象局</Company>
  <LinksUpToDate>false</LinksUpToDate>
  <CharactersWithSpaces>27436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2025-07-01T07:52:43Z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