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2025年站网工程锡林郭勒盟黑炭仪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内蒙古自治区锡林郭勒盟气象局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2025年站网工程锡林郭勒盟黑炭仪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内蒙古自治区锡林郭勒盟阿巴嘎旗那仁宝拉格苏木那仁宝力格气象站</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2025年10月22日 00:00:00</w:t>
      </w:r>
      <w:bookmarkEnd w:id="26"/>
      <w:r>
        <w:rPr>
          <w:rFonts w:ascii="宋体" w:hint="eastAsia"/>
          <w:szCs w:val="21"/>
          <w:highlight w:val="none"/>
        </w:rPr>
        <w:t>至</w:t>
      </w:r>
      <w:bookmarkStart w:id="27" w:name="项目公告_signUpLastTime"/>
      <w:r>
        <w:rPr>
          <w:rFonts w:ascii="宋体" w:hint="eastAsia"/>
          <w:szCs w:val="21"/>
          <w:highlight w:val="none"/>
        </w:rPr>
        <w:t>2025年10月31日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内蒙古自治区锡林郭勒盟气象局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石力伟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0479-8241724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内蒙古自治区锡林郭勒盟锡林浩特市察哈尔大街39号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内蒙古自治区锡林郭勒盟气象局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黑炭仪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销售合同必须包括黑碳仪，每提供1份合同得1分，最多得5分。否则不得分。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针对本项目采购的黑碳仪，承诺每提前10天交货的得1分，最多得1分。否则不得分。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针对黑碳仪设备，每提供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针对黑碳仪设备，测试报告应涵盖高低温工作、高低温贮存、湿度、气压、浪涌（冲击）抗扰度、静电放电抗扰度等内容，每包含一项得0.5分，最多得3分。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687"/>
        <w:gridCol w:w="2360"/>
        <w:gridCol w:w="5437"/>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4" w:type="pct"/>
            <w:gridSpan w:val="2"/>
            <w:vAlign w:val="center"/>
          </w:tcPr>
          <w:p>
            <w:pPr>
              <w:jc w:val="center"/>
              <w:rPr>
                <w:rFonts w:ascii="仿宋" w:eastAsia="仿宋" w:hAnsi="仿宋" w:cs="仿宋"/>
                <w:b/>
                <w:bCs/>
              </w:rPr>
            </w:pPr>
            <w:r>
              <w:rPr>
                <w:rFonts w:ascii="仿宋" w:eastAsia="仿宋" w:hAnsi="仿宋" w:cs="仿宋" w:hint="eastAsia"/>
                <w:b/>
                <w:bCs/>
                <w:sz w:val="24"/>
              </w:rPr>
              <w:t>名称</w:t>
            </w:r>
          </w:p>
        </w:tc>
        <w:tc>
          <w:tcPr>
            <w:tcW w:w="2952"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restart"/>
            <w:vAlign w:val="center"/>
          </w:tcPr>
          <w:p>
            <w:pPr>
              <w:rPr>
                <w:rFonts w:ascii="仿宋" w:eastAsia="仿宋" w:hAnsi="仿宋" w:cs="仿宋"/>
              </w:rPr>
            </w:pPr>
            <w:r>
              <w:rPr>
                <w:rFonts w:ascii="仿宋" w:eastAsia="仿宋" w:hAnsi="仿宋" w:cs="仿宋" w:hint="eastAsia"/>
                <w:kern w:val="0"/>
                <w:sz w:val="24"/>
              </w:rPr>
              <w:t>黑碳仪</w:t>
            </w:r>
          </w:p>
        </w:tc>
        <w:tc>
          <w:tcPr>
            <w:tcW w:w="1280" w:type="pct"/>
            <w:vAlign w:val="center"/>
          </w:tcPr>
          <w:p>
            <w:pPr>
              <w:rPr>
                <w:rFonts w:ascii="仿宋" w:eastAsia="仿宋" w:hAnsi="仿宋" w:cs="仿宋"/>
              </w:rPr>
            </w:pPr>
          </w:p>
          <w:p>
            <w:pPr>
              <w:rPr>
                <w:rFonts w:ascii="仿宋" w:eastAsia="仿宋" w:hAnsi="仿宋" w:cs="仿宋"/>
              </w:rPr>
            </w:pPr>
            <w:r>
              <w:rPr>
                <w:rFonts w:ascii="仿宋" w:eastAsia="仿宋" w:hAnsi="仿宋" w:cs="仿宋" w:hint="eastAsia"/>
                <w:sz w:val="24"/>
              </w:rPr>
              <w:t>主机</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测量技术：双点位</w:t>
            </w:r>
            <w:r>
              <w:rPr>
                <w:rFonts w:ascii="Times New Roman" w:eastAsia="仿宋" w:hAnsi="Times New Roman" w:cs="Times New Roman" w:hint="default"/>
                <w:sz w:val="24"/>
                <w:highlight w:val="none"/>
                <w:lang w:eastAsia="zh-CN"/>
              </w:rPr>
              <w:t>，</w:t>
            </w:r>
            <w:r>
              <w:rPr>
                <w:rFonts w:ascii="Times New Roman" w:eastAsia="仿宋" w:hAnsi="Times New Roman" w:cs="Times New Roman" w:hint="default"/>
                <w:sz w:val="24"/>
                <w:highlight w:val="none"/>
                <w:lang w:val="en-US" w:eastAsia="zh-CN"/>
              </w:rPr>
              <w:t>实时测量</w:t>
            </w:r>
          </w:p>
          <w:p>
            <w:pPr>
              <w:rPr>
                <w:rFonts w:eastAsia="仿宋" w:hint="default"/>
              </w:rPr>
            </w:pPr>
            <w:r>
              <w:rPr>
                <w:rFonts w:ascii="Times New Roman" w:eastAsia="仿宋" w:hAnsi="Times New Roman" w:cs="Times New Roman" w:hint="default"/>
                <w:sz w:val="24"/>
              </w:rPr>
              <w:t>（2）</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测量波段：至少包含370nm、470nm、520nm、590nm、660nm、880nm、950nm七个波段</w:t>
            </w:r>
          </w:p>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none"/>
              </w:rPr>
              <w:t>量程：（0～100）μg/m</w:t>
            </w:r>
            <w:r>
              <w:rPr>
                <w:rFonts w:ascii="Times New Roman" w:eastAsia="仿宋" w:hAnsi="Times New Roman" w:cs="Times New Roman" w:hint="default"/>
                <w:sz w:val="24"/>
                <w:highlight w:val="none"/>
                <w:vertAlign w:val="superscript"/>
              </w:rPr>
              <w:t>3</w:t>
            </w:r>
          </w:p>
          <w:p>
            <w:pPr>
              <w:rPr>
                <w:rFonts w:eastAsia="仿宋" w:hint="default"/>
              </w:rPr>
            </w:pPr>
            <w:r>
              <w:rPr>
                <w:rFonts w:ascii="Times New Roman" w:eastAsia="仿宋" w:hAnsi="Times New Roman" w:cs="Times New Roman" w:hint="default"/>
                <w:sz w:val="24"/>
              </w:rPr>
              <w:t>（4）</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检出限：</w:t>
            </w:r>
            <w:r>
              <w:rPr>
                <w:rFonts w:eastAsia="仿宋" w:cs="Times New Roman" w:hint="eastAsia"/>
                <w:sz w:val="24"/>
                <w:lang w:val="en-US" w:eastAsia="zh-CN"/>
              </w:rPr>
              <w:t>&lt;</w:t>
            </w:r>
            <w:r>
              <w:rPr>
                <w:rFonts w:ascii="Times New Roman" w:eastAsia="仿宋" w:hAnsi="Times New Roman" w:cs="Times New Roman" w:hint="default"/>
                <w:sz w:val="24"/>
              </w:rPr>
              <w:t>5ng/m</w:t>
            </w:r>
            <w:r>
              <w:rPr>
                <w:rFonts w:ascii="Times New Roman" w:eastAsia="仿宋" w:hAnsi="Times New Roman" w:cs="Times New Roman" w:hint="default"/>
                <w:sz w:val="24"/>
                <w:vertAlign w:val="superscript"/>
              </w:rPr>
              <w:t>3</w:t>
            </w:r>
            <w:r>
              <w:rPr>
                <w:rFonts w:ascii="Times New Roman" w:eastAsia="仿宋" w:hAnsi="Times New Roman" w:cs="Times New Roman" w:hint="default"/>
                <w:sz w:val="24"/>
              </w:rPr>
              <w:t>（1h）</w:t>
            </w:r>
          </w:p>
          <w:p>
            <w:pPr>
              <w:rPr>
                <w:rFonts w:eastAsia="仿宋" w:hint="default"/>
              </w:rPr>
            </w:pPr>
            <w:r>
              <w:rPr>
                <w:rFonts w:ascii="Times New Roman" w:eastAsia="仿宋" w:hAnsi="Times New Roman" w:cs="Times New Roman" w:hint="default"/>
                <w:sz w:val="24"/>
              </w:rPr>
              <w:t>（5</w:t>
            </w:r>
            <w:r>
              <w:rPr>
                <w:rFonts w:ascii="Times New Roman" w:eastAsia="仿宋" w:hAnsi="Times New Roman" w:cs="Times New Roman" w:hint="default"/>
                <w:sz w:val="24"/>
                <w:highlight w:val="none"/>
              </w:rPr>
              <w:t>）</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流量：</w:t>
            </w:r>
            <w:r>
              <w:rPr>
                <w:rFonts w:ascii="Times New Roman" w:eastAsia="仿宋" w:hAnsi="Times New Roman" w:cs="Times New Roman" w:hint="default"/>
                <w:sz w:val="24"/>
              </w:rPr>
              <w:t>2～5L/min</w:t>
            </w:r>
            <w:r>
              <w:rPr>
                <w:rFonts w:ascii="Times New Roman" w:eastAsia="仿宋" w:hAnsi="Times New Roman" w:cs="Times New Roman" w:hint="default"/>
                <w:sz w:val="24"/>
                <w:lang w:eastAsia="zh-CN"/>
              </w:rPr>
              <w:t>（</w:t>
            </w:r>
            <w:r>
              <w:rPr>
                <w:rFonts w:ascii="Times New Roman" w:eastAsia="仿宋" w:hAnsi="Times New Roman" w:cs="Times New Roman" w:hint="default"/>
                <w:sz w:val="24"/>
              </w:rPr>
              <w:t>可调节</w:t>
            </w:r>
            <w:r>
              <w:rPr>
                <w:rFonts w:ascii="Times New Roman" w:eastAsia="仿宋" w:hAnsi="Times New Roman" w:cs="Times New Roman" w:hint="default"/>
                <w:sz w:val="24"/>
                <w:lang w:eastAsia="zh-CN"/>
              </w:rPr>
              <w:t>），</w:t>
            </w:r>
            <w:r>
              <w:rPr>
                <w:rFonts w:ascii="Times New Roman" w:eastAsia="仿宋" w:hAnsi="Times New Roman" w:cs="Times New Roman" w:hint="default"/>
                <w:sz w:val="24"/>
                <w:lang w:val="en-US" w:eastAsia="zh-CN"/>
              </w:rPr>
              <w:t>在3000m以上配置外置泵</w:t>
            </w:r>
          </w:p>
          <w:p>
            <w:pPr>
              <w:rPr>
                <w:rFonts w:eastAsia="仿宋" w:hint="default"/>
                <w:highlight w:val="none"/>
              </w:rPr>
            </w:pPr>
            <w:r>
              <w:rPr>
                <w:rFonts w:ascii="Times New Roman" w:eastAsia="仿宋" w:hAnsi="Times New Roman" w:cs="Times New Roman" w:hint="default"/>
                <w:sz w:val="24"/>
                <w:highlight w:val="none"/>
              </w:rPr>
              <w:t>（6）</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lang w:val="en-US" w:eastAsia="zh-CN"/>
              </w:rPr>
              <w:t>光学衰减</w:t>
            </w:r>
            <w:r>
              <w:rPr>
                <w:rFonts w:ascii="Times New Roman" w:eastAsia="仿宋" w:hAnsi="Times New Roman" w:cs="Times New Roman" w:hint="default"/>
                <w:sz w:val="24"/>
                <w:highlight w:val="none"/>
              </w:rPr>
              <w:t>线性：</w:t>
            </w:r>
            <w:r>
              <w:rPr>
                <w:rFonts w:ascii="Times New Roman" w:eastAsia="仿宋" w:hAnsi="Times New Roman" w:cs="Times New Roman" w:hint="default"/>
                <w:sz w:val="24"/>
                <w:highlight w:val="none"/>
                <w:lang w:val="en-US" w:eastAsia="zh-CN"/>
              </w:rPr>
              <w:t>斜率</w:t>
            </w:r>
            <w:r>
              <w:rPr>
                <w:rFonts w:ascii="Times New Roman" w:eastAsia="仿宋" w:hAnsi="Times New Roman" w:cs="Times New Roman" w:hint="default"/>
                <w:sz w:val="24"/>
                <w:highlight w:val="none"/>
              </w:rPr>
              <w:t>1±0.1（透射比标准滤光片）</w:t>
            </w:r>
          </w:p>
          <w:p>
            <w:pPr>
              <w:rPr>
                <w:rFonts w:eastAsia="仿宋" w:hint="default"/>
              </w:rPr>
            </w:pPr>
            <w:r>
              <w:rPr>
                <w:rFonts w:ascii="Times New Roman" w:eastAsia="仿宋" w:hAnsi="Times New Roman" w:cs="Times New Roman" w:hint="default"/>
                <w:sz w:val="24"/>
              </w:rPr>
              <w:t>（7）</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分辨率：1ng/m</w:t>
            </w:r>
            <w:r>
              <w:rPr>
                <w:rFonts w:ascii="Times New Roman" w:eastAsia="仿宋" w:hAnsi="Times New Roman" w:cs="Times New Roman" w:hint="default"/>
                <w:sz w:val="24"/>
                <w:vertAlign w:val="superscript"/>
              </w:rPr>
              <w:t>3</w:t>
            </w:r>
          </w:p>
          <w:p>
            <w:pPr>
              <w:rPr>
                <w:rFonts w:eastAsia="仿宋" w:hint="default"/>
              </w:rPr>
            </w:pPr>
            <w:r>
              <w:rPr>
                <w:rFonts w:ascii="Times New Roman" w:eastAsia="仿宋" w:hAnsi="Times New Roman" w:cs="Times New Roman" w:hint="default"/>
                <w:sz w:val="24"/>
              </w:rPr>
              <w:t>（8）</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数据采样间隔：</w:t>
            </w:r>
            <w:r>
              <w:rPr>
                <w:rFonts w:ascii="Times New Roman" w:eastAsia="仿宋" w:hAnsi="Times New Roman" w:cs="Times New Roman" w:hint="default"/>
                <w:sz w:val="24"/>
                <w:lang w:val="en-US" w:eastAsia="zh-CN"/>
              </w:rPr>
              <w:t>1s或者1min，可由采样者设置</w:t>
            </w:r>
          </w:p>
          <w:p>
            <w:pPr>
              <w:rPr>
                <w:rFonts w:eastAsia="仿宋" w:hint="default"/>
              </w:rPr>
            </w:pPr>
            <w:r>
              <w:rPr>
                <w:rFonts w:ascii="Times New Roman" w:eastAsia="仿宋" w:hAnsi="Times New Roman" w:cs="Times New Roman" w:hint="default"/>
                <w:sz w:val="24"/>
                <w:lang w:val="en-US" w:eastAsia="zh-CN"/>
              </w:rPr>
              <w:t>（9）滤膜：采用石英或玻璃纤维基质</w:t>
            </w:r>
          </w:p>
          <w:p>
            <w:pPr>
              <w:rPr>
                <w:rFonts w:eastAsia="仿宋" w:hint="default"/>
              </w:rPr>
            </w:pPr>
            <w:r>
              <w:rPr>
                <w:rFonts w:ascii="Times New Roman" w:eastAsia="仿宋" w:hAnsi="Times New Roman" w:cs="Times New Roman" w:hint="default"/>
                <w:sz w:val="24"/>
                <w:lang w:val="en-US" w:eastAsia="zh-CN"/>
              </w:rPr>
              <w:t>（10）24h零点漂移应在-10ng/m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之间</w:t>
            </w:r>
            <w:r>
              <w:rPr>
                <w:rFonts w:eastAsia="仿宋" w:cs="Times New Roman" w:hint="eastAsia"/>
                <w:sz w:val="24"/>
                <w:lang w:val="en-US" w:eastAsia="zh-CN"/>
              </w:rPr>
              <w:t>（即小时平均零检浓度在24h前后的差值）</w:t>
            </w:r>
          </w:p>
          <w:p>
            <w:pPr>
              <w:rPr>
                <w:rFonts w:eastAsia="仿宋" w:hint="default"/>
              </w:rPr>
            </w:pPr>
            <w:r>
              <w:rPr>
                <w:rFonts w:ascii="Times New Roman" w:eastAsia="仿宋" w:hAnsi="Times New Roman" w:cs="Times New Roman" w:hint="default"/>
                <w:sz w:val="24"/>
                <w:lang w:val="en-US" w:eastAsia="zh-CN"/>
              </w:rPr>
              <w:t>（11）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lang w:val="en-US" w:eastAsia="zh-CN"/>
              </w:rPr>
              <w:t>平行性≤15%（</w:t>
            </w:r>
            <w:r>
              <w:rPr>
                <w:rFonts w:eastAsia="仿宋" w:cs="Times New Roman" w:hint="eastAsia"/>
                <w:sz w:val="24"/>
                <w:lang w:val="en-US" w:eastAsia="zh-CN"/>
              </w:rPr>
              <w:t>环境</w:t>
            </w:r>
            <w:r>
              <w:rPr>
                <w:rFonts w:ascii="Times New Roman" w:eastAsia="仿宋" w:hAnsi="Times New Roman" w:cs="Times New Roman" w:hint="default"/>
                <w:sz w:val="24"/>
                <w:lang w:val="en-US" w:eastAsia="zh-CN"/>
              </w:rPr>
              <w:t>浓度</w:t>
            </w:r>
            <w:r>
              <w:rPr>
                <w:rFonts w:eastAsia="仿宋" w:cs="Times New Roman" w:hint="eastAsia"/>
                <w:sz w:val="24"/>
                <w:lang w:val="en-US" w:eastAsia="zh-CN"/>
              </w:rPr>
              <w:t>1</w:t>
            </w:r>
            <w:r>
              <w:rPr>
                <w:rFonts w:ascii="Times New Roman" w:eastAsia="仿宋" w:hAnsi="Times New Roman" w:cs="Times New Roman" w:hint="default"/>
                <w:sz w:val="24"/>
                <w:lang w:val="en-US" w:eastAsia="zh-CN"/>
              </w:rPr>
              <w:t>00ng/m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以上</w:t>
            </w:r>
            <w:r>
              <w:rPr>
                <w:rFonts w:eastAsia="仿宋" w:cs="Times New Roman" w:hint="eastAsia"/>
                <w:sz w:val="24"/>
                <w:lang w:val="en-US" w:eastAsia="zh-CN"/>
              </w:rPr>
              <w:t>，以3台设备在同时段、同一采样条件下获取的观测数据的相对标准偏差的均方根表示平行性</w:t>
            </w:r>
            <w:r>
              <w:rPr>
                <w:rFonts w:ascii="Times New Roman" w:eastAsia="仿宋" w:hAnsi="Times New Roman" w:cs="Times New Roman" w:hint="default"/>
                <w:sz w:val="24"/>
                <w:lang w:val="en-US" w:eastAsia="zh-CN"/>
              </w:rPr>
              <w:t>）</w:t>
            </w:r>
          </w:p>
          <w:p>
            <w:pPr>
              <w:rPr>
                <w:rFonts w:eastAsia="仿宋" w:hint="default"/>
              </w:rPr>
            </w:pP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管路</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具有除湿功能，气路湿度达到40%以下</w:t>
            </w:r>
          </w:p>
          <w:p>
            <w:pPr>
              <w:rPr>
                <w:rFonts w:eastAsia="仿宋" w:hint="default"/>
              </w:rPr>
            </w:pPr>
            <w:r>
              <w:rPr>
                <w:rFonts w:ascii="Times New Roman" w:eastAsia="仿宋" w:hAnsi="Times New Roman" w:cs="Times New Roman" w:hint="default"/>
                <w:sz w:val="24"/>
              </w:rPr>
              <w:t>（2）采用不锈钢或静电耗散材质</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切割器</w:t>
            </w:r>
          </w:p>
        </w:tc>
        <w:tc>
          <w:tcPr>
            <w:tcW w:w="2952" w:type="pct"/>
            <w:vAlign w:val="center"/>
          </w:tcPr>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可实现对PM2.5切割</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质保期：黑碳仪质保期8年*，从双方签署现场安装测试报告之日起开始计算质保期。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质保期内，</w:t>
      </w:r>
      <w:r>
        <w:rPr>
          <w:rFonts w:ascii="仿宋" w:eastAsia="仿宋" w:hAnsi="仿宋" w:cs="仿宋" w:hint="eastAsia"/>
          <w:sz w:val="28"/>
          <w:szCs w:val="20"/>
        </w:rPr>
        <w:t>保证设备正常运行所需的核心部件（抽气泵、光源、测量光室、检测器、滤膜传感器、流量控制器、主板）和其余部件的更换和维修、耗材</w:t>
      </w:r>
      <w:r>
        <w:rPr>
          <w:rFonts w:ascii="仿宋" w:eastAsia="仿宋" w:hAnsi="仿宋" w:cs="仿宋" w:hint="eastAsia"/>
          <w:sz w:val="28"/>
          <w:szCs w:val="20"/>
          <w:lang w:val="en-US" w:eastAsia="zh-CN"/>
        </w:rPr>
        <w:t>供应。</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质保期开始第</w:t>
      </w:r>
      <w:r>
        <w:rPr>
          <w:rFonts w:ascii="仿宋" w:eastAsia="仿宋" w:hAnsi="仿宋" w:cs="仿宋" w:hint="eastAsia"/>
          <w:sz w:val="28"/>
          <w:szCs w:val="20"/>
        </w:rPr>
        <w:t>一年内</w:t>
      </w:r>
      <w:r>
        <w:rPr>
          <w:rFonts w:ascii="仿宋" w:eastAsia="仿宋" w:hAnsi="仿宋" w:cs="仿宋" w:hint="eastAsia"/>
          <w:sz w:val="28"/>
          <w:szCs w:val="20"/>
          <w:lang w:eastAsia="zh-CN"/>
        </w:rPr>
        <w:t>，</w:t>
      </w:r>
      <w:r>
        <w:rPr>
          <w:rFonts w:ascii="仿宋" w:eastAsia="仿宋" w:hAnsi="仿宋" w:cs="仿宋" w:hint="eastAsia"/>
          <w:sz w:val="28"/>
          <w:szCs w:val="20"/>
        </w:rPr>
        <w:t>非人为损坏导致的整机</w:t>
      </w:r>
      <w:r>
        <w:rPr>
          <w:rFonts w:ascii="仿宋" w:eastAsia="仿宋" w:hAnsi="仿宋" w:cs="仿宋" w:hint="eastAsia"/>
          <w:sz w:val="28"/>
          <w:szCs w:val="20"/>
          <w:lang w:val="en-US" w:eastAsia="zh-CN"/>
        </w:rPr>
        <w:t>可</w:t>
      </w:r>
      <w:r>
        <w:rPr>
          <w:rFonts w:ascii="仿宋" w:eastAsia="仿宋" w:hAnsi="仿宋" w:cs="仿宋" w:hint="eastAsia"/>
          <w:sz w:val="28"/>
          <w:szCs w:val="20"/>
        </w:rPr>
        <w:t>免费更换。</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质保期内每年一次</w:t>
      </w:r>
      <w:r>
        <w:rPr>
          <w:rFonts w:ascii="仿宋" w:eastAsia="仿宋" w:hAnsi="仿宋" w:cs="仿宋" w:hint="eastAsia"/>
          <w:sz w:val="28"/>
          <w:szCs w:val="20"/>
          <w:lang w:val="en-US" w:eastAsia="zh-CN"/>
        </w:rPr>
        <w:t>现场巡查，</w:t>
      </w:r>
      <w:r>
        <w:rPr>
          <w:rFonts w:ascii="仿宋" w:eastAsia="仿宋" w:hAnsi="仿宋" w:cs="仿宋" w:hint="eastAsia"/>
          <w:sz w:val="28"/>
          <w:szCs w:val="20"/>
        </w:rPr>
        <w:t>进行设备运行情况检查、设备及管路清洁、流量检查和标校等工作，覆盖交通费、人工费、材料费、技术服务费以及必要的其他费用等。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出厂前要经买方人员严格测试和检查，确保设备</w:t>
      </w:r>
      <w:r>
        <w:rPr>
          <w:rFonts w:ascii="仿宋" w:eastAsia="仿宋" w:hAnsi="仿宋" w:cs="仿宋" w:hint="eastAsia"/>
          <w:sz w:val="28"/>
          <w:szCs w:val="20"/>
          <w:lang w:val="en-US" w:eastAsia="zh-CN"/>
        </w:rPr>
        <w:t>性能可靠</w:t>
      </w:r>
      <w:r>
        <w:rPr>
          <w:rFonts w:ascii="仿宋" w:eastAsia="仿宋" w:hAnsi="仿宋" w:cs="仿宋" w:hint="eastAsia"/>
          <w:sz w:val="28"/>
          <w:szCs w:val="20"/>
        </w:rPr>
        <w:t>。</w:t>
      </w:r>
    </w:p>
    <w:p>
      <w:pPr>
        <w:snapToGrid w:val="0"/>
        <w:spacing w:line="560" w:lineRule="exact"/>
        <w:ind w:firstLine="560" w:firstLineChars="200"/>
        <w:rPr>
          <w:rFonts w:ascii="仿宋" w:eastAsia="仿宋" w:hAnsi="仿宋" w:cs="仿宋" w:hint="eastAsia"/>
          <w:color w:val="auto"/>
          <w:sz w:val="28"/>
          <w:szCs w:val="20"/>
        </w:rPr>
      </w:pP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3</w:t>
      </w: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default"/>
          <w:color w:val="auto"/>
          <w:sz w:val="28"/>
          <w:szCs w:val="20"/>
        </w:rPr>
      </w:pPr>
      <w:r>
        <w:rPr>
          <w:rFonts w:ascii="仿宋" w:eastAsia="仿宋" w:hAnsi="仿宋" w:cs="仿宋" w:hint="eastAsia"/>
          <w:color w:val="auto"/>
          <w:sz w:val="28"/>
          <w:szCs w:val="20"/>
          <w:lang w:val="en-US" w:eastAsia="zh-CN"/>
        </w:rPr>
        <w:t>（4）中标人须配合采购人完成设备的出厂测试，出厂测试阶段发生的运费、测试费、设备维修维护费用由中标人承担。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且出厂测试合格的情况下，</w:t>
      </w:r>
      <w:r>
        <w:rPr>
          <w:rFonts w:ascii="仿宋" w:eastAsia="仿宋" w:hAnsi="仿宋" w:cs="仿宋" w:hint="eastAsia"/>
          <w:sz w:val="28"/>
          <w:szCs w:val="20"/>
        </w:rPr>
        <w:t>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w:t>
      </w:r>
      <w:r>
        <w:rPr>
          <w:rFonts w:ascii="仿宋" w:eastAsia="仿宋" w:hAnsi="仿宋" w:cs="仿宋" w:hint="eastAsia"/>
          <w:sz w:val="28"/>
          <w:szCs w:val="20"/>
          <w:lang w:val="en-US" w:eastAsia="zh-CN"/>
        </w:rPr>
        <w:t>合同要求</w:t>
      </w:r>
      <w:r>
        <w:rPr>
          <w:rFonts w:ascii="仿宋" w:eastAsia="仿宋" w:hAnsi="仿宋" w:cs="仿宋" w:hint="eastAsia"/>
          <w:sz w:val="28"/>
          <w:szCs w:val="20"/>
        </w:rPr>
        <w:t>的指标后，可进行</w:t>
      </w:r>
      <w:r>
        <w:rPr>
          <w:rFonts w:ascii="仿宋" w:eastAsia="仿宋" w:hAnsi="仿宋" w:cs="仿宋" w:hint="eastAsia"/>
          <w:sz w:val="28"/>
          <w:szCs w:val="20"/>
          <w:lang w:eastAsia="zh-CN"/>
        </w:rPr>
        <w:t>现场</w:t>
      </w:r>
      <w:r>
        <w:rPr>
          <w:rFonts w:ascii="仿宋" w:eastAsia="仿宋" w:hAnsi="仿宋" w:cs="仿宋" w:hint="eastAsia"/>
          <w:sz w:val="28"/>
          <w:szCs w:val="20"/>
        </w:rPr>
        <w:t>验收。采购人可根据合同</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参考部门发布的本设备工程管理验收指导意见等要求，制定</w:t>
      </w:r>
      <w:r>
        <w:rPr>
          <w:rFonts w:ascii="仿宋" w:eastAsia="仿宋" w:hAnsi="仿宋" w:cs="仿宋" w:hint="eastAsia"/>
          <w:sz w:val="28"/>
          <w:szCs w:val="20"/>
        </w:rPr>
        <w:t>验收规范(包括项目、</w:t>
      </w:r>
      <w:r>
        <w:rPr>
          <w:rFonts w:ascii="仿宋" w:eastAsia="仿宋" w:hAnsi="仿宋" w:cs="仿宋" w:hint="eastAsia"/>
          <w:sz w:val="28"/>
          <w:szCs w:val="20"/>
          <w:lang w:eastAsia="zh-CN"/>
        </w:rPr>
        <w:t>测试</w:t>
      </w:r>
      <w:r>
        <w:rPr>
          <w:rFonts w:ascii="仿宋" w:eastAsia="仿宋" w:hAnsi="仿宋" w:cs="仿宋" w:hint="eastAsia"/>
          <w:sz w:val="28"/>
          <w:szCs w:val="20"/>
        </w:rPr>
        <w:t>方</w:t>
      </w:r>
      <w:r>
        <w:rPr>
          <w:rFonts w:ascii="仿宋" w:eastAsia="仿宋" w:hAnsi="仿宋" w:cs="仿宋" w:hint="eastAsia"/>
          <w:sz w:val="28"/>
          <w:szCs w:val="20"/>
          <w:lang w:eastAsia="zh-CN"/>
        </w:rPr>
        <w:t>法</w:t>
      </w:r>
      <w:r>
        <w:rPr>
          <w:rFonts w:ascii="仿宋" w:eastAsia="仿宋" w:hAnsi="仿宋" w:cs="仿宋" w:hint="eastAsia"/>
          <w:sz w:val="28"/>
          <w:szCs w:val="20"/>
        </w:rPr>
        <w:t>和测试仪器等)。经双方确认后形成验收文件作为验收依据。验收测试合格后，双方签署</w:t>
      </w:r>
      <w:r>
        <w:rPr>
          <w:rFonts w:ascii="仿宋" w:eastAsia="仿宋" w:hAnsi="仿宋" w:cs="仿宋" w:hint="eastAsia"/>
          <w:sz w:val="28"/>
          <w:szCs w:val="20"/>
          <w:lang w:eastAsia="zh-CN"/>
        </w:rPr>
        <w:t>现场验收</w:t>
      </w:r>
      <w:r>
        <w:rPr>
          <w:rFonts w:ascii="仿宋" w:eastAsia="仿宋" w:hAnsi="仿宋" w:cs="仿宋" w:hint="eastAsia"/>
          <w:sz w:val="28"/>
          <w:szCs w:val="20"/>
        </w:rPr>
        <w:t>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w:t>
      </w:r>
      <w:r>
        <w:rPr>
          <w:rFonts w:ascii="仿宋" w:eastAsia="仿宋" w:hAnsi="仿宋" w:cs="仿宋" w:hint="eastAsia"/>
          <w:sz w:val="28"/>
          <w:szCs w:val="20"/>
          <w:lang w:val="en-US" w:eastAsia="zh-CN"/>
        </w:rPr>
        <w:t>3</w:t>
      </w:r>
      <w:r>
        <w:rPr>
          <w:rFonts w:ascii="仿宋" w:eastAsia="仿宋" w:hAnsi="仿宋" w:cs="仿宋" w:hint="eastAsia"/>
          <w:sz w:val="28"/>
          <w:szCs w:val="20"/>
        </w:rPr>
        <w:t>个月试运行期，达到</w:t>
      </w:r>
      <w:r>
        <w:rPr>
          <w:rFonts w:ascii="仿宋" w:eastAsia="仿宋" w:hAnsi="仿宋" w:cs="仿宋" w:hint="eastAsia"/>
          <w:sz w:val="28"/>
          <w:szCs w:val="20"/>
          <w:lang w:val="en-US" w:eastAsia="zh-CN"/>
        </w:rPr>
        <w:t>合同</w:t>
      </w:r>
      <w:r>
        <w:rPr>
          <w:rFonts w:ascii="仿宋" w:eastAsia="仿宋" w:hAnsi="仿宋" w:cs="仿宋" w:hint="eastAsia"/>
          <w:sz w:val="28"/>
          <w:szCs w:val="20"/>
        </w:rPr>
        <w:t>要求时，可进行</w:t>
      </w:r>
      <w:r>
        <w:rPr>
          <w:rFonts w:ascii="仿宋" w:eastAsia="仿宋" w:hAnsi="仿宋" w:cs="仿宋" w:hint="eastAsia"/>
          <w:sz w:val="28"/>
          <w:szCs w:val="20"/>
          <w:lang w:eastAsia="zh-CN"/>
        </w:rPr>
        <w:t>合同</w:t>
      </w:r>
      <w:r>
        <w:rPr>
          <w:rFonts w:ascii="仿宋" w:eastAsia="仿宋" w:hAnsi="仿宋" w:cs="仿宋" w:hint="eastAsia"/>
          <w:sz w:val="28"/>
          <w:szCs w:val="20"/>
        </w:rPr>
        <w:t>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w:t>
      </w:r>
      <w:r>
        <w:rPr>
          <w:rFonts w:ascii="仿宋" w:eastAsia="仿宋" w:hAnsi="仿宋" w:cs="仿宋" w:hint="eastAsia"/>
          <w:sz w:val="28"/>
          <w:szCs w:val="20"/>
          <w:lang w:eastAsia="zh-CN"/>
        </w:rPr>
        <w:t>合同</w:t>
      </w:r>
      <w:r>
        <w:rPr>
          <w:rFonts w:ascii="仿宋" w:eastAsia="仿宋" w:hAnsi="仿宋" w:cs="仿宋" w:hint="eastAsia"/>
          <w:sz w:val="28"/>
          <w:szCs w:val="20"/>
        </w:rPr>
        <w:t>验收。当满足以下条件时，采购人确认验收合格签署验收合格证：</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4"/>
        <w:gridCol w:w="1126"/>
        <w:gridCol w:w="1095"/>
        <w:gridCol w:w="1496"/>
        <w:gridCol w:w="1706"/>
        <w:gridCol w:w="1161"/>
        <w:gridCol w:w="104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黑碳仪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1,580,000.00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44"/>
        <w:gridCol w:w="1257"/>
        <w:gridCol w:w="399"/>
        <w:gridCol w:w="244"/>
        <w:gridCol w:w="555"/>
        <w:gridCol w:w="463"/>
        <w:gridCol w:w="2427"/>
        <w:gridCol w:w="29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气象综合保障中心(001035032033)</w:t>
            </w:r>
          </w:p>
        </w:tc>
        <w:tc>
          <w:tcPr/>
          <w:p>
            <w:r>
              <w:t>黑碳仪</w:t>
            </w:r>
          </w:p>
        </w:tc>
        <w:tc>
          <w:tcPr/>
          <w:p>
            <w:r>
              <w:t>1</w:t>
            </w:r>
          </w:p>
        </w:tc>
        <w:tc>
          <w:tcPr/>
          <w:p>
            <w:r>
              <w:t>1580000.00</w:t>
            </w:r>
          </w:p>
        </w:tc>
        <w:tc>
          <w:tcPr/>
          <w:p>
            <w:r>
              <w:t xml:space="preserve">1580000.00  </w:t>
            </w:r>
          </w:p>
        </w:tc>
        <w:tc>
          <w:tcPr/>
          <w:p>
            <w:r>
              <w:t>内蒙古自治区锡林郭勒盟阿巴嘎旗那仁宝拉格苏木那仁宝力格气象站</w:t>
            </w:r>
          </w:p>
        </w:tc>
        <w:tc>
          <w:tcPr/>
          <w:p>
            <w:r>
              <w:t>包含8年质保、设备方舱、USP及UPS方舱，采购人：内蒙古自治区锡林郭勒盟气象局 ，联系人：石力伟  15847915812</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在那仁宝力格气象站建设一套黑碳仪设备。黑碳仪主要用于测量环境大气中吸收性碳气溶胶的质量浓度，建成将提升内蒙古自治区草原气候区的大气本底观测能力</w:t>
      </w:r>
      <w:r>
        <w:rPr>
          <w:rFonts w:ascii="仿宋" w:eastAsia="仿宋" w:hAnsi="仿宋" w:cs="仿宋" w:hint="eastAsia"/>
          <w:sz w:val="28"/>
          <w:szCs w:val="20"/>
        </w:rPr>
        <w:t>，补充完善锡林郭勒草原气候系统关键区国家大气本底站网，为应对气候变化、促进减少温室气体排放、治理大气污染和保护生态环境等提供基础支撑，保障生态文明建设和“双碳”目标实现。</w:t>
      </w:r>
      <w:r>
        <w:rPr>
          <w:rFonts w:ascii="仿宋" w:eastAsia="仿宋" w:hAnsi="仿宋" w:cs="仿宋" w:hint="eastAsia"/>
          <w:sz w:val="28"/>
          <w:szCs w:val="20"/>
          <w:lang w:val="en-US" w:eastAsia="zh-CN"/>
        </w:rPr>
        <w:t>并包含</w:t>
      </w:r>
      <w:r>
        <w:rPr>
          <w:rFonts w:ascii="仿宋" w:eastAsia="仿宋" w:hAnsi="仿宋" w:cs="仿宋" w:hint="eastAsia"/>
          <w:sz w:val="28"/>
          <w:szCs w:val="20"/>
        </w:rPr>
        <w:t>1套</w:t>
      </w:r>
      <w:r>
        <w:rPr>
          <w:rFonts w:ascii="仿宋" w:eastAsia="仿宋" w:hAnsi="仿宋" w:cs="仿宋" w:hint="eastAsia"/>
          <w:sz w:val="28"/>
          <w:szCs w:val="20"/>
          <w:lang w:val="en-US" w:eastAsia="zh-CN"/>
        </w:rPr>
        <w:t>设备</w:t>
      </w:r>
      <w:r>
        <w:rPr>
          <w:rFonts w:ascii="仿宋" w:eastAsia="仿宋" w:hAnsi="仿宋" w:cs="仿宋" w:hint="eastAsia"/>
          <w:sz w:val="28"/>
          <w:szCs w:val="20"/>
        </w:rPr>
        <w:t>方舱（8年质保）和1台套UPS及</w:t>
      </w:r>
      <w:r>
        <w:rPr>
          <w:rFonts w:ascii="仿宋" w:eastAsia="仿宋" w:hAnsi="仿宋" w:cs="仿宋" w:hint="eastAsia"/>
          <w:sz w:val="28"/>
          <w:szCs w:val="20"/>
          <w:lang w:val="en-US" w:eastAsia="zh-CN"/>
        </w:rPr>
        <w:t>UPS</w:t>
      </w:r>
      <w:r>
        <w:rPr>
          <w:rFonts w:ascii="仿宋" w:eastAsia="仿宋" w:hAnsi="仿宋" w:cs="仿宋" w:hint="eastAsia"/>
          <w:sz w:val="28"/>
          <w:szCs w:val="20"/>
        </w:rPr>
        <w:t>方舱（8年质保）。</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8个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2人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中标供应商将所有设备运送至内蒙古自治区锡林郭勒盟阿巴嘎旗那仁宝拉格苏木那仁宝力格气象站（运输相关费用由供应商负责），并负责安装调试。</w:t>
      </w:r>
    </w:p>
    <w:p>
      <w:pPr>
        <w:spacing w:line="560" w:lineRule="exact"/>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完全符合甲方相关要求和规范，保证其系统的兼容性和功能的完整性。</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lang w:val="en-US" w:eastAsia="zh-CN"/>
        </w:rPr>
        <w:t>七、方舱及UPS要求</w:t>
      </w:r>
    </w:p>
    <w:p>
      <w:pPr>
        <w:spacing w:line="560" w:lineRule="exact"/>
        <w:ind w:firstLine="560" w:firstLineChars="200"/>
        <w:rPr>
          <w:rFonts w:ascii="仿宋" w:eastAsia="仿宋" w:hAnsi="仿宋" w:cs="仿宋" w:hint="eastAsia"/>
          <w:b/>
          <w:sz w:val="28"/>
          <w:szCs w:val="20"/>
        </w:rPr>
      </w:pPr>
      <w:r>
        <w:rPr>
          <w:rFonts w:ascii="仿宋" w:eastAsia="仿宋" w:hAnsi="仿宋" w:cs="仿宋" w:hint="eastAsia"/>
          <w:b/>
          <w:sz w:val="28"/>
          <w:szCs w:val="20"/>
          <w:lang w:val="en-US" w:eastAsia="zh-CN"/>
        </w:rPr>
        <w:t>包含</w:t>
      </w:r>
      <w:r>
        <w:rPr>
          <w:rFonts w:ascii="仿宋" w:eastAsia="仿宋" w:hAnsi="仿宋" w:cs="仿宋" w:hint="eastAsia"/>
          <w:b/>
          <w:sz w:val="28"/>
          <w:szCs w:val="20"/>
        </w:rPr>
        <w:t>1套</w:t>
      </w:r>
      <w:r>
        <w:rPr>
          <w:rFonts w:ascii="仿宋" w:eastAsia="仿宋" w:hAnsi="仿宋" w:cs="仿宋" w:hint="eastAsia"/>
          <w:b/>
          <w:sz w:val="28"/>
          <w:szCs w:val="20"/>
          <w:lang w:val="en-US" w:eastAsia="zh-CN"/>
        </w:rPr>
        <w:t>设备</w:t>
      </w:r>
      <w:r>
        <w:rPr>
          <w:rFonts w:ascii="仿宋" w:eastAsia="仿宋" w:hAnsi="仿宋" w:cs="仿宋" w:hint="eastAsia"/>
          <w:b/>
          <w:sz w:val="28"/>
          <w:szCs w:val="20"/>
        </w:rPr>
        <w:t>方舱（8年质保）</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1）主要用于安装温室气体浓度观测系统，面积能保证观测仪器设备的安装、运行以及操作等，并预留一定的仪器检修、校准和未来发展的空间；面积为21m</w:t>
      </w:r>
      <w:r>
        <w:rPr>
          <w:rFonts w:ascii="仿宋" w:eastAsia="仿宋" w:hAnsi="仿宋" w:cs="仿宋" w:hint="eastAsia"/>
          <w:sz w:val="28"/>
          <w:szCs w:val="20"/>
          <w:vertAlign w:val="superscript"/>
        </w:rPr>
        <w:t>2</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2）入口处宜设有缓冲区域或空间，以保持温度和湿度的稳定，防止灰尘和泥土直接带入观测室。</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3）内地面、墙壁、顶棚应采用不易起尘的环保材料。不受强震动、强电磁辐射的干扰。</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4）室内环境应保持整洁，室内温度、湿度按照仪器运行的环境要求保持相对稳定，取暖采用空调或电暖气设备。根据当地的环境特点，采取适当的防虫措施。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5）安装温湿度控制设备，使室内温度能控制在25℃±5℃（如使用色谱法环境温度波动≤±2℃），相对湿度控制在60％以下。</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6）具有良好的通风条件和排风设施，以保持室内空气清洁。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7）根据观测项目的技术要求，可预先在观测室顶部及侧壁的适当位置预留管线孔洞。</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8）设有可靠的网络、通讯和电话传输线路等。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9）配备专门的消防设施和器材，对危险物品配备监控装置和设施。</w:t>
      </w:r>
    </w:p>
    <w:p>
      <w:pPr>
        <w:spacing w:line="560" w:lineRule="exact"/>
        <w:ind w:firstLine="560" w:firstLineChars="200"/>
        <w:rPr>
          <w:rFonts w:ascii="仿宋" w:eastAsia="仿宋" w:hAnsi="仿宋" w:cs="仿宋" w:hint="eastAsia"/>
          <w:b/>
          <w:sz w:val="28"/>
          <w:szCs w:val="20"/>
        </w:rPr>
      </w:pPr>
      <w:r>
        <w:rPr>
          <w:rFonts w:ascii="仿宋" w:eastAsia="仿宋" w:hAnsi="仿宋" w:cs="仿宋" w:hint="eastAsia"/>
          <w:b/>
          <w:sz w:val="28"/>
          <w:szCs w:val="20"/>
          <w:lang w:val="en-US" w:eastAsia="zh-CN"/>
        </w:rPr>
        <w:t>包含</w:t>
      </w:r>
      <w:r>
        <w:rPr>
          <w:rFonts w:ascii="仿宋" w:eastAsia="仿宋" w:hAnsi="仿宋" w:cs="仿宋" w:hint="eastAsia"/>
          <w:b/>
          <w:sz w:val="28"/>
          <w:szCs w:val="20"/>
        </w:rPr>
        <w:t>UPS</w:t>
      </w:r>
      <w:r>
        <w:rPr>
          <w:rFonts w:ascii="仿宋" w:eastAsia="仿宋" w:hAnsi="仿宋" w:cs="仿宋" w:hint="eastAsia"/>
          <w:b/>
          <w:sz w:val="28"/>
          <w:szCs w:val="20"/>
          <w:lang w:val="en-US" w:eastAsia="zh-CN"/>
        </w:rPr>
        <w:t>与配套</w:t>
      </w:r>
      <w:r>
        <w:rPr>
          <w:rFonts w:ascii="仿宋" w:eastAsia="仿宋" w:hAnsi="仿宋" w:cs="仿宋" w:hint="eastAsia"/>
          <w:b/>
          <w:sz w:val="28"/>
          <w:szCs w:val="20"/>
        </w:rPr>
        <w:t>方舱（8年质保）</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主机：80KW，蓄电池：12V100AH/块*96块*3个电池柜，方舱：15㎡。</w:t>
      </w:r>
    </w:p>
    <w:p>
      <w:pPr>
        <w:spacing w:line="560" w:lineRule="exact"/>
        <w:ind w:firstLine="560" w:firstLineChars="200"/>
        <w:rPr>
          <w:rFonts w:ascii="仿宋" w:eastAsia="仿宋" w:hAnsi="仿宋" w:cs="仿宋"/>
          <w:sz w:val="28"/>
          <w:szCs w:val="20"/>
        </w:rPr>
      </w:pPr>
      <w:r>
        <w:rPr>
          <w:rFonts w:ascii="仿宋" w:eastAsia="仿宋" w:hAnsi="仿宋" w:cs="仿宋" w:hint="eastAsia"/>
          <w:b/>
          <w:bCs/>
          <w:sz w:val="28"/>
          <w:szCs w:val="20"/>
          <w:lang w:val="en-US" w:eastAsia="zh-CN"/>
        </w:rPr>
        <w:t>八</w:t>
      </w:r>
      <w:r>
        <w:rPr>
          <w:rFonts w:ascii="仿宋" w:eastAsia="仿宋" w:hAnsi="仿宋" w:cs="仿宋" w:hint="eastAsia"/>
          <w:b/>
          <w:bCs/>
          <w:sz w:val="28"/>
          <w:szCs w:val="20"/>
        </w:rPr>
        <w:t>、其他</w:t>
      </w:r>
    </w:p>
    <w:p>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供应商为本项目设立专业团队，负责项目中全部设备的安装、调试、故障排除和质保期内的其他相关工作。其中供应商应确保团队的稳定性和专业性，项目经理应具有必要的项目管理经验。</w:t>
      </w:r>
    </w:p>
    <w:p>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供应商提供完善的售后服务方案，服务方案包含不限于现场服务方案和远程技术指导方案等。</w:t>
      </w:r>
    </w:p>
    <w:p>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供应商向采购单位提供整套设备技术资料和用于维护使用的维护手册，含性能指标、系统构成等详细的维修内容。</w:t>
      </w:r>
    </w:p>
    <w:p>
      <w:pPr>
        <w:widowControl/>
        <w:spacing w:line="560" w:lineRule="exact"/>
        <w:ind w:firstLine="560" w:firstLineChars="200"/>
        <w:jc w:val="left"/>
        <w:rPr>
          <w:rFonts w:ascii="仿宋" w:eastAsia="仿宋" w:hAnsi="仿宋" w:cs="仿宋" w:hint="eastAsia"/>
          <w:sz w:val="28"/>
          <w:szCs w:val="20"/>
        </w:rPr>
      </w:pPr>
      <w:r>
        <w:rPr>
          <w:rFonts w:ascii="仿宋" w:eastAsia="仿宋" w:hAnsi="仿宋" w:cs="仿宋" w:hint="eastAsia"/>
          <w:sz w:val="28"/>
          <w:szCs w:val="20"/>
        </w:rPr>
        <w:t>*质保期：8年。供应商需对质保期（保内、保外）政策进行阐述或承诺，列明有偿服务和无偿服务内容。</w:t>
      </w:r>
      <w:r>
        <w:rPr>
          <w:rFonts w:ascii="仿宋" w:eastAsia="仿宋" w:hAnsi="仿宋" w:cs="仿宋" w:hint="eastAsia"/>
          <w:sz w:val="28"/>
          <w:szCs w:val="20"/>
          <w:highlight w:val="green"/>
        </w:rPr>
        <w:t>质保期内，每年需进行2次远程巡检（须向采购人提供纸质材料），同时需提供必要的软件升级服务。</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widowControl/>
              <w:spacing w:line="240" w:lineRule="auto"/>
              <w:ind w:firstLine="360" w:firstLineChars="200"/>
              <w:jc w:val="left"/>
              <w:rPr>
                <w:rFonts w:ascii="宋体" w:hAnsi="宋体" w:hint="eastAsia"/>
                <w:sz w:val="18"/>
                <w:szCs w:val="18"/>
                <w:highlight w:val="none"/>
              </w:rPr>
            </w:pPr>
            <w:r>
              <w:rPr>
                <w:rFonts w:ascii="Times New Roman" w:eastAsia="宋体" w:hAnsi="Times New Roman" w:cs="Times New Roman" w:hint="eastAsia"/>
                <w:sz w:val="18"/>
                <w:szCs w:val="18"/>
                <w:lang w:val="en-US" w:eastAsia="zh-CN"/>
              </w:rPr>
              <w:t>*质保期：8年。供应商需对质保期（保内、保外）政策进行阐述或承诺，列明有偿服务和无偿服务内容。</w:t>
            </w:r>
            <w:r>
              <w:rPr>
                <w:rFonts w:ascii="Times New Roman" w:eastAsia="宋体" w:hAnsi="Times New Roman" w:cs="Times New Roman" w:hint="eastAsia"/>
                <w:sz w:val="18"/>
                <w:szCs w:val="18"/>
                <w:highlight w:val="green"/>
                <w:lang w:val="en-US" w:eastAsia="zh-CN"/>
              </w:rPr>
              <w:t>质保期内，每年需进行2次远程巡检（须向采购人提供纸质材料），同时需提供必要的软件升级服务。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w:t>
      </w:r>
      <w:r>
        <w:rPr>
          <w:rFonts w:ascii="宋体" w:hAnsi="宋体" w:hint="eastAsia"/>
          <w:szCs w:val="21"/>
          <w:highlight w:val="none"/>
        </w:rPr>
        <w:t>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合同生效后付款；双方签署合同后10个工作日内，乙方向甲方提供合同总金额的30%的发票，甲方向乙方支付合同总金额的30%</w:t>
      </w:r>
      <w:r>
        <w:rPr>
          <w:rFonts w:ascii="宋体" w:hAnsi="宋体" w:hint="eastAsia"/>
          <w:szCs w:val="21"/>
          <w:highlight w:val="none"/>
          <w:u w:val="single"/>
          <w:lang w:eastAsia="zh-CN"/>
        </w:rPr>
        <w:t>；设备到货:设备到货后10个工作日内，乙方向甲方提供合同总金额的40%的发票，甲方向乙方支付合同总金额的40</w:t>
      </w:r>
      <w:r>
        <w:rPr>
          <w:rFonts w:ascii="宋体" w:hAnsi="宋体" w:hint="eastAsia"/>
          <w:szCs w:val="21"/>
          <w:highlight w:val="none"/>
          <w:u w:val="single"/>
          <w:lang w:val="en-US" w:eastAsia="zh-CN"/>
        </w:rPr>
        <w:t>%</w:t>
      </w:r>
      <w:r>
        <w:rPr>
          <w:rFonts w:ascii="宋体" w:hAnsi="宋体" w:hint="eastAsia"/>
          <w:szCs w:val="21"/>
          <w:highlight w:val="none"/>
          <w:u w:val="single"/>
          <w:lang w:eastAsia="zh-CN"/>
        </w:rPr>
        <w:t>；项目验收:设备验收后20个工作日内，乙方向甲方提供合同总金额的30%的发票，甲方向乙方支付合同总金额的30%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32D801A"/>
    <w:multiLevelType w:val="singleLevel"/>
    <w:tmpl w:val="132D801A"/>
    <w:lvl w:ilvl="0">
      <w:start w:val="1"/>
      <w:numFmt w:val="decimal"/>
      <w:suff w:val="nothing"/>
      <w:lvlText w:val="（%1）"/>
      <w:lvlJc w:val="left"/>
    </w:lvl>
  </w:abstractNum>
  <w:abstractNum w:abstractNumId="10">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9"/>
  </w:num>
  <w:num w:numId="6">
    <w:abstractNumId w:val="14"/>
  </w:num>
  <w:num w:numId="7">
    <w:abstractNumId w:val="13"/>
  </w:num>
  <w:num w:numId="8">
    <w:abstractNumId w:val="15"/>
  </w:num>
  <w:num w:numId="9">
    <w:abstractNumId w:val="1"/>
  </w:num>
  <w:num w:numId="10">
    <w:abstractNumId w:val="5"/>
  </w:num>
  <w:num w:numId="11">
    <w:abstractNumId w:val="3"/>
  </w:num>
  <w:num w:numId="12">
    <w:abstractNumId w:val="2"/>
  </w:num>
  <w:num w:numId="13">
    <w:abstractNumId w:val="12"/>
  </w:num>
  <w:num w:numId="14">
    <w:abstractNumId w:val="0"/>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2">
    <w:name w:val="List Paragraph2"/>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