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江苏省温室气体观测能力建设项目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ZQCD-25491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江苏省温室气体观测能力建设项目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ZQCD-25491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合同签订后温室气体（CO2/CH4）标气设备提供年度供货计划，其他备品备件180天内供货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2025年12月22日 00:00:00</w:t>
      </w:r>
      <w:bookmarkEnd w:id="26"/>
      <w:r>
        <w:rPr>
          <w:rFonts w:ascii="宋体" w:hint="eastAsia"/>
          <w:szCs w:val="21"/>
          <w:highlight w:val="none"/>
        </w:rPr>
        <w:t>至</w:t>
      </w:r>
      <w:bookmarkStart w:id="27" w:name="项目公告_signUpLastTime"/>
      <w:r>
        <w:rPr>
          <w:rFonts w:ascii="宋体" w:hint="eastAsia"/>
          <w:szCs w:val="21"/>
          <w:highlight w:val="none"/>
        </w:rPr>
        <w:t>2025年12月29日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2026年01月13日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允许（仅针对以下产品：温室气体观测设备备品备件允许代理商投标）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（1）标的：温室气体观测设备备品备件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2"/>
        <w:gridCol w:w="1236"/>
        <w:gridCol w:w="242"/>
        <w:gridCol w:w="71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销售合同必须包括温室气体观测设备备品备件(产品名称)，每提供1份合同得1分，最多得5分。否则不得分。</w:t>
            </w:r>
          </w:p>
          <w:p>
            <w:r>
              <w:t>评审标准说明：</w:t>
            </w:r>
          </w:p>
          <w:p>
            <w:r>
              <w:t>1、需提供投标人的销售合同（必须包括温室气体标气或温室气体观测系统年度巡检合同首页、金额页、标的页、签字盖章页）复印件并加盖投标人公章。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培训方案含标气换上换下现场实操方法、巡检方案、阀箱等相关设备使用方法等）。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针对本项目采购的温室气体观测设备备品备件（标气、巡检设备除外、需提供年度供货计划），</w:t>
              <w:cr/>
              <w:t>承诺每提前15天交货的得1分，最多得2分。否则不得分。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(5)</w:t>
            </w:r>
          </w:p>
        </w:tc>
        <w:tc>
          <w:tcPr/>
          <w:p>
            <w:r>
              <w:t>评审标准：</w:t>
            </w:r>
          </w:p>
          <w:p>
            <w:r>
              <w:t>针对温室气体观测设备备品备件，每提供 1份用户证明材料得1分，最多得5分。否则不得分。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(5)</w:t>
            </w:r>
          </w:p>
        </w:tc>
        <w:tc>
          <w:tcPr/>
          <w:p>
            <w:r>
              <w:t>评审标准：</w:t>
            </w:r>
          </w:p>
          <w:p>
            <w:r>
              <w:t xml:space="preserve">1、投标人为本项目拟派的服务团队中项目经理应具有3年以上相关工作经验的得2分； </w:t>
              <w:cr/>
              <w:t>2、为本项目拟派的技术负责人人具有2年及以上相关工作经验的，得2分；为本项目派出的技术人员至少3人具有1年及以上相关工作经验的，得1分；其他不得分。</w:t>
            </w:r>
          </w:p>
          <w:p>
            <w:r>
              <w:t>评审标准说明：</w:t>
            </w:r>
          </w:p>
          <w:p>
            <w:r>
              <w:t>服务团队应有一名项目经理，一名技术负责人，以及若干技术人员。须提供团队人员名单及背景材料（证书复印件、技术能力、从业及相关项目经验等），项目负责人/技术负责人/技术人员之间不能有重复的人员.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需提供技术文档。响应且满足招标文件第七章详细技术指标要求，标注#的重要指标需提供加盖投标人公章的测试报告或产品技术证明材料，巡检指标需提供详细方案。</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(3)</w:t>
            </w:r>
          </w:p>
        </w:tc>
        <w:tc>
          <w:tcPr/>
          <w:p>
            <w:r>
              <w:t>评审标准：</w:t>
            </w:r>
          </w:p>
          <w:p>
            <w:r>
              <w:t>一档0分</w:t>
              <w:cr/>
              <w:t>二档1分</w:t>
              <w:cr/>
              <w:t>三档2分</w:t>
              <w:cr/>
              <w:t>四档3分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或产品技术证明材料，巡检指标需提供详细方案，以上材料应加盖投标人公章。其中，相关报告或材料、方案等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根据投标人提供实施方案进行评分。具体如下：实施方案应结合采购需求，包括投标产品的生产、运输、巡检等。具体评分标准如下：</w:t>
              <w:cr/>
              <w:t>一档：未提供实施方案。</w:t>
              <w:cr/>
              <w:t>二档：实施方案不完整（指缺失投标产品的生产、运输、巡检的任意一项内容）；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一、项目概况及总体要求</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人为温室气体排放是导致全球变暖的主要原因，与全球气候变化有着密切联系。2020年中国提出二氧化碳排放力争于2030年前达到峰值，努力争取2060年前实现碳中和。江苏是全国经济大省，经济产值、社会生活水平等处于全国领先水平，碳达峰和碳中和是推动高质量发展的重要抓手。目前我省建有17个高精度温室气体观测站。2025年预计开始建设5个高精度温室气体观测站。高精度温室气体观测网可获取具有良好的代表性、准确性、连续性和可比较性的观测数据，长期监测大气温室气体成分数据，分析研判大气成分变化趋势，为碳达峰和碳中和监测与评估提供基础数据支撑。</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开展高质量的大气CO2和CH4浓度监测，面向全省提供高精度温室气体观测标气供应、年巡检服务和备件备件储备，对保障全省高精度温室气体观测质量至关重要。</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本项目按照中国气象局温室气体观测业务规范要求，实现未来三年内全省温室气体观测系统的三瓶标气省级统一供应，按统一标准继续开展全省温室气体观测系统年巡检，储备省级温室气体观测备品备件，以满足高精度温室气体观测业务稳定运行的迫切需求。</w:t>
      </w:r>
    </w:p>
    <w:p>
      <w:pPr>
        <w:numPr>
          <w:ilvl w:val="0"/>
          <w:numId w:val="4"/>
        </w:numPr>
        <w:spacing w:line="360" w:lineRule="auto"/>
        <w:ind w:firstLine="480" w:firstLineChars="200"/>
        <w:rPr>
          <w:rFonts w:ascii="宋体" w:eastAsia="宋体" w:hAnsi="宋体" w:cs="宋体"/>
          <w:bCs/>
        </w:rPr>
      </w:pPr>
      <w:r>
        <w:rPr>
          <w:rFonts w:ascii="宋体" w:eastAsia="宋体" w:hAnsi="宋体" w:cs="宋体" w:hint="eastAsia"/>
          <w:bCs/>
          <w:sz w:val="24"/>
          <w:szCs w:val="24"/>
        </w:rPr>
        <w:t>设备需求一览表</w:t>
      </w:r>
    </w:p>
    <w:tbl>
      <w:tblPr>
        <w:tblStyle w:val="13"/>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09"/>
        <w:gridCol w:w="3954"/>
        <w:gridCol w:w="1116"/>
        <w:gridCol w:w="1162"/>
        <w:gridCol w:w="168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619" w:type="dxa"/>
          </w:tcPr>
          <w:p>
            <w:pPr>
              <w:spacing w:line="360" w:lineRule="auto"/>
              <w:jc w:val="center"/>
              <w:rPr>
                <w:rFonts w:ascii="宋体" w:eastAsia="宋体" w:hAnsi="宋体" w:cs="宋体"/>
                <w:bCs/>
              </w:rPr>
            </w:pPr>
            <w:r>
              <w:rPr>
                <w:rFonts w:ascii="宋体" w:eastAsia="宋体" w:hAnsi="宋体" w:cs="宋体" w:hint="eastAsia"/>
                <w:bCs/>
                <w:sz w:val="24"/>
                <w:szCs w:val="24"/>
              </w:rPr>
              <w:t>序号</w:t>
            </w:r>
          </w:p>
        </w:tc>
        <w:tc>
          <w:tcPr>
            <w:tcW w:w="3790" w:type="dxa"/>
          </w:tcPr>
          <w:p>
            <w:pPr>
              <w:spacing w:line="360" w:lineRule="auto"/>
              <w:jc w:val="center"/>
              <w:rPr>
                <w:rFonts w:ascii="宋体" w:eastAsia="宋体" w:hAnsi="宋体" w:cs="宋体"/>
                <w:bCs/>
              </w:rPr>
            </w:pPr>
            <w:r>
              <w:rPr>
                <w:rFonts w:ascii="宋体" w:eastAsia="宋体" w:hAnsi="宋体" w:cs="宋体" w:hint="eastAsia"/>
                <w:bCs/>
                <w:sz w:val="24"/>
                <w:szCs w:val="24"/>
              </w:rPr>
              <w:t>货物名称</w:t>
            </w:r>
          </w:p>
        </w:tc>
        <w:tc>
          <w:tcPr>
            <w:tcW w:w="1157" w:type="dxa"/>
          </w:tcPr>
          <w:p>
            <w:pPr>
              <w:spacing w:line="360" w:lineRule="auto"/>
              <w:jc w:val="center"/>
              <w:rPr>
                <w:rFonts w:ascii="宋体" w:eastAsia="宋体" w:hAnsi="宋体" w:cs="宋体"/>
                <w:bCs/>
              </w:rPr>
            </w:pPr>
            <w:r>
              <w:rPr>
                <w:rFonts w:ascii="宋体" w:eastAsia="宋体" w:hAnsi="宋体" w:cs="宋体" w:hint="eastAsia"/>
                <w:bCs/>
                <w:sz w:val="24"/>
                <w:szCs w:val="24"/>
              </w:rPr>
              <w:t>单位</w:t>
            </w:r>
          </w:p>
        </w:tc>
        <w:tc>
          <w:tcPr>
            <w:tcW w:w="1199" w:type="dxa"/>
          </w:tcPr>
          <w:p>
            <w:pPr>
              <w:spacing w:line="360" w:lineRule="auto"/>
              <w:jc w:val="center"/>
              <w:rPr>
                <w:rFonts w:ascii="宋体" w:eastAsia="宋体" w:hAnsi="宋体" w:cs="宋体"/>
                <w:bCs/>
              </w:rPr>
            </w:pPr>
            <w:r>
              <w:rPr>
                <w:rFonts w:ascii="宋体" w:eastAsia="宋体" w:hAnsi="宋体" w:cs="宋体" w:hint="eastAsia"/>
                <w:bCs/>
                <w:sz w:val="24"/>
                <w:szCs w:val="24"/>
              </w:rPr>
              <w:t>数量</w:t>
            </w:r>
          </w:p>
        </w:tc>
        <w:tc>
          <w:tcPr>
            <w:tcW w:w="1757" w:type="dxa"/>
          </w:tcPr>
          <w:p>
            <w:pPr>
              <w:spacing w:line="360" w:lineRule="auto"/>
              <w:jc w:val="center"/>
              <w:rPr>
                <w:rFonts w:ascii="宋体" w:eastAsia="宋体" w:hAnsi="宋体" w:cs="宋体"/>
                <w:bCs/>
              </w:rPr>
            </w:pPr>
            <w:r>
              <w:rPr>
                <w:rFonts w:ascii="宋体" w:eastAsia="宋体" w:hAnsi="宋体" w:cs="宋体" w:hint="eastAsia"/>
                <w:bCs/>
                <w:sz w:val="24"/>
                <w:szCs w:val="24"/>
              </w:rPr>
              <w:t>备注</w:t>
            </w: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w:t>
            </w:r>
          </w:p>
        </w:tc>
        <w:tc>
          <w:tcPr>
            <w:tcW w:w="3790" w:type="dxa"/>
            <w:vAlign w:val="center"/>
          </w:tcPr>
          <w:p>
            <w:pPr>
              <w:spacing w:line="360" w:lineRule="auto"/>
              <w:jc w:val="center"/>
              <w:rPr>
                <w:rFonts w:ascii="宋体" w:eastAsia="宋体" w:hAnsi="宋体" w:cs="宋体"/>
                <w:bCs/>
              </w:rPr>
            </w:pPr>
            <w:r>
              <w:rPr>
                <w:rFonts w:ascii="仿宋_GB2312" w:eastAsia="宋体" w:hAnsi="仿宋_GB2312" w:cs="仿宋_GB2312" w:hint="eastAsia"/>
                <w:color w:val="000000"/>
                <w:kern w:val="0"/>
                <w:szCs w:val="28"/>
                <w:lang w:bidi="ar"/>
              </w:rPr>
              <w:t>温室气体（CO2/CH4）标气，不含瓶</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瓶</w:t>
            </w:r>
          </w:p>
        </w:tc>
        <w:tc>
          <w:tcPr>
            <w:tcW w:w="1199" w:type="dxa"/>
            <w:vAlign w:val="center"/>
          </w:tcPr>
          <w:p>
            <w:pPr>
              <w:spacing w:line="360" w:lineRule="auto"/>
              <w:jc w:val="center"/>
              <w:rPr>
                <w:rFonts w:ascii="宋体" w:eastAsia="宋体" w:hAnsi="宋体" w:cs="宋体"/>
                <w:bCs/>
              </w:rPr>
            </w:pPr>
            <w:r>
              <w:rPr>
                <w:rFonts w:ascii="宋体" w:eastAsia="宋体" w:hAnsi="宋体" w:cs="宋体"/>
                <w:bCs/>
                <w:sz w:val="24"/>
                <w:szCs w:val="24"/>
              </w:rPr>
              <w:t>198</w:t>
            </w:r>
          </w:p>
        </w:tc>
        <w:tc>
          <w:tcPr>
            <w:tcW w:w="1757" w:type="dxa"/>
            <w:vAlign w:val="center"/>
          </w:tcPr>
          <w:p>
            <w:pPr>
              <w:spacing w:line="360" w:lineRule="auto"/>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采样泵</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restart"/>
            <w:vAlign w:val="center"/>
          </w:tcPr>
          <w:p>
            <w:pPr>
              <w:spacing w:line="360" w:lineRule="auto"/>
              <w:jc w:val="center"/>
              <w:rPr>
                <w:rFonts w:ascii="宋体" w:eastAsia="宋体" w:hAnsi="宋体" w:cs="宋体"/>
                <w:bCs/>
              </w:rPr>
            </w:pPr>
            <w:r>
              <w:rPr>
                <w:rFonts w:ascii="宋体" w:eastAsia="宋体" w:hAnsi="宋体" w:cs="宋体"/>
                <w:bCs/>
                <w:sz w:val="24"/>
                <w:szCs w:val="24"/>
              </w:rPr>
              <w:t>温室气体观测系统备品备件</w:t>
            </w: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3</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采样泵泵膜</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4</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高精密二级减压阀</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5</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国产进样阀箱（含质量流量控制器、多口阀）</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6</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G2301真空抽气泵</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个</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61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7</w:t>
            </w:r>
          </w:p>
        </w:tc>
        <w:tc>
          <w:tcPr>
            <w:tcW w:w="3790"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八口阀（8口阀）</w:t>
            </w:r>
          </w:p>
        </w:tc>
        <w:tc>
          <w:tcPr>
            <w:tcW w:w="1157"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个</w:t>
            </w:r>
          </w:p>
        </w:tc>
        <w:tc>
          <w:tcPr>
            <w:tcW w:w="1199" w:type="dxa"/>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8</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八口阀芯（3个/套）</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4</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9</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质量流量计</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个</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10</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初级冷阱除水蠕动泵及泵管</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11</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采样口过滤器</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个</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12</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高浓度二氧化碳检漏液（5瓶）</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2</w:t>
            </w:r>
          </w:p>
        </w:tc>
        <w:tc>
          <w:tcPr>
            <w:tcW w:w="1757" w:type="dxa"/>
            <w:vMerge/>
            <w:vAlign w:val="center"/>
          </w:tcPr>
          <w:p>
            <w:pPr>
              <w:spacing w:line="360" w:lineRule="auto"/>
              <w:jc w:val="center"/>
              <w:rPr>
                <w:rFonts w:ascii="宋体" w:eastAsia="宋体" w:hAnsi="宋体" w:cs="宋体"/>
                <w:bCs/>
              </w:rPr>
            </w:pPr>
          </w:p>
        </w:tc>
      </w:tr>
      <w:tr>
        <w:tblPrEx>
          <w:tblW w:w="0" w:type="auto"/>
          <w:jc w:val="center"/>
          <w:tblCellMar>
            <w:top w:w="0" w:type="dxa"/>
            <w:left w:w="108" w:type="dxa"/>
            <w:bottom w:w="0" w:type="dxa"/>
            <w:right w:w="108" w:type="dxa"/>
          </w:tblCellMar>
        </w:tblPrEx>
        <w:trPr>
          <w:jc w:val="center"/>
        </w:trPr>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13</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温室气体观测系统年巡检（53站次）</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套</w:t>
            </w:r>
          </w:p>
        </w:tc>
        <w:tc>
          <w:tcPr>
            <w:tcW w:w="0" w:type="auto"/>
            <w:vAlign w:val="center"/>
          </w:tcPr>
          <w:p>
            <w:pPr>
              <w:spacing w:line="360" w:lineRule="auto"/>
              <w:jc w:val="center"/>
              <w:rPr>
                <w:rFonts w:ascii="宋体" w:eastAsia="宋体" w:hAnsi="宋体" w:cs="宋体"/>
                <w:bCs/>
              </w:rPr>
            </w:pPr>
            <w:r>
              <w:rPr>
                <w:rFonts w:ascii="宋体" w:eastAsia="宋体" w:hAnsi="宋体" w:cs="宋体" w:hint="eastAsia"/>
                <w:bCs/>
                <w:sz w:val="24"/>
                <w:szCs w:val="24"/>
              </w:rPr>
              <w:t>1</w:t>
            </w:r>
          </w:p>
        </w:tc>
        <w:tc>
          <w:tcPr>
            <w:tcW w:w="1757" w:type="dxa"/>
            <w:vMerge/>
            <w:vAlign w:val="center"/>
          </w:tcPr>
          <w:p>
            <w:pPr>
              <w:spacing w:line="360" w:lineRule="auto"/>
              <w:jc w:val="center"/>
              <w:rPr>
                <w:rFonts w:ascii="宋体" w:eastAsia="宋体" w:hAnsi="宋体" w:cs="宋体"/>
                <w:bCs/>
              </w:rPr>
            </w:pPr>
          </w:p>
        </w:tc>
      </w:tr>
    </w:tbl>
    <w:p>
      <w:pPr>
        <w:spacing w:line="360" w:lineRule="auto"/>
        <w:rPr>
          <w:rFonts w:ascii="宋体" w:eastAsia="宋体" w:hAnsi="宋体" w:cs="宋体"/>
          <w:bCs/>
        </w:rPr>
      </w:pPr>
    </w:p>
    <w:p>
      <w:pPr>
        <w:numPr>
          <w:ilvl w:val="0"/>
          <w:numId w:val="4"/>
        </w:numPr>
        <w:spacing w:line="360" w:lineRule="auto"/>
        <w:ind w:firstLine="480" w:firstLineChars="200"/>
        <w:rPr>
          <w:rFonts w:ascii="宋体" w:eastAsia="宋体" w:hAnsi="宋体" w:cs="宋体"/>
          <w:bCs/>
        </w:rPr>
      </w:pPr>
      <w:r>
        <w:rPr>
          <w:rFonts w:ascii="宋体" w:eastAsia="宋体" w:hAnsi="宋体" w:cs="宋体" w:hint="eastAsia"/>
          <w:bCs/>
          <w:sz w:val="24"/>
          <w:szCs w:val="24"/>
        </w:rPr>
        <w:t>技术性能指标</w:t>
      </w:r>
    </w:p>
    <w:p>
      <w:pPr>
        <w:widowControl/>
        <w:spacing w:line="360" w:lineRule="auto"/>
        <w:ind w:left="480"/>
        <w:jc w:val="left"/>
        <w:rPr>
          <w:rFonts w:asciiTheme="minorEastAsia" w:hAnsiTheme="minorEastAsia" w:cstheme="minorEastAsia"/>
          <w:kern w:val="0"/>
          <w:highlight w:val="yellow"/>
        </w:rPr>
      </w:pPr>
      <w:r>
        <w:rPr>
          <w:rFonts w:asciiTheme="minorEastAsia" w:hAnsiTheme="minorEastAsia" w:cstheme="minorEastAsia" w:hint="eastAsia"/>
          <w:kern w:val="0"/>
          <w:sz w:val="24"/>
          <w:szCs w:val="24"/>
          <w:highlight w:val="yellow"/>
        </w:rPr>
        <w:t>#1.温室气体标气</w:t>
      </w:r>
    </w:p>
    <w:p>
      <w:pPr>
        <w:spacing w:line="360" w:lineRule="auto"/>
        <w:ind w:firstLine="480" w:firstLineChars="200"/>
        <w:rPr>
          <w:rFonts w:ascii="宋体" w:eastAsia="宋体" w:hAnsi="宋体" w:cs="宋体"/>
          <w:bCs/>
          <w:highlight w:val="yellow"/>
        </w:rPr>
      </w:pPr>
      <w:r>
        <w:rPr>
          <w:rFonts w:asciiTheme="minorEastAsia" w:hAnsiTheme="minorEastAsia" w:cstheme="minorEastAsia" w:hint="eastAsia"/>
          <w:sz w:val="24"/>
          <w:szCs w:val="24"/>
          <w:highlight w:val="yellow"/>
        </w:rPr>
        <w:t>温</w:t>
      </w:r>
      <w:r>
        <w:rPr>
          <w:rFonts w:ascii="宋体" w:eastAsia="宋体" w:hAnsi="宋体" w:cs="宋体" w:hint="eastAsia"/>
          <w:bCs/>
          <w:sz w:val="24"/>
          <w:szCs w:val="24"/>
          <w:highlight w:val="yellow"/>
        </w:rPr>
        <w:t>室气体标气可</w:t>
      </w:r>
      <w:r>
        <w:rPr>
          <w:rFonts w:ascii="宋体" w:eastAsia="宋体" w:hAnsi="宋体" w:cs="宋体"/>
          <w:bCs/>
          <w:sz w:val="24"/>
          <w:szCs w:val="24"/>
          <w:highlight w:val="yellow"/>
        </w:rPr>
        <w:t>溯源至气象部门最高计量标准，</w:t>
      </w:r>
      <w:r>
        <w:rPr>
          <w:rFonts w:ascii="宋体" w:eastAsia="宋体" w:hAnsi="宋体" w:cs="宋体" w:hint="eastAsia"/>
          <w:bCs/>
          <w:sz w:val="24"/>
          <w:szCs w:val="24"/>
          <w:highlight w:val="yellow"/>
        </w:rPr>
        <w:t>应具有WMO/GAW或中国气象局气象探测中心大气成分室标气量值传递溯源证书。温</w:t>
      </w:r>
      <w:r>
        <w:rPr>
          <w:rFonts w:asciiTheme="minorEastAsia" w:hAnsiTheme="minorEastAsia" w:cstheme="minorEastAsia" w:hint="eastAsia"/>
          <w:sz w:val="24"/>
          <w:szCs w:val="24"/>
          <w:highlight w:val="yellow"/>
        </w:rPr>
        <w:t>室气体标气</w:t>
      </w:r>
      <w:r>
        <w:rPr>
          <w:rFonts w:ascii="宋体" w:eastAsia="宋体" w:hAnsi="宋体" w:cs="宋体"/>
          <w:bCs/>
          <w:sz w:val="24"/>
          <w:szCs w:val="24"/>
          <w:highlight w:val="yellow"/>
        </w:rPr>
        <w:t>以自然大气为底气，标气压力1900～2100psi</w:t>
      </w:r>
      <w:r>
        <w:rPr>
          <w:rFonts w:ascii="宋体" w:eastAsia="宋体" w:hAnsi="宋体" w:cs="宋体" w:hint="eastAsia"/>
          <w:bCs/>
          <w:sz w:val="24"/>
          <w:szCs w:val="24"/>
          <w:highlight w:val="yellow"/>
        </w:rPr>
        <w:t>，标气水汽含量低于5 ppm</w:t>
      </w:r>
      <w:r>
        <w:rPr>
          <w:rFonts w:ascii="宋体" w:eastAsia="宋体" w:hAnsi="宋体" w:cs="宋体"/>
          <w:bCs/>
          <w:sz w:val="24"/>
          <w:szCs w:val="24"/>
          <w:highlight w:val="yellow"/>
        </w:rPr>
        <w:t>；标气瓶（29.5L铝合金气瓶）轮转为“收新返旧”的方式。</w:t>
      </w:r>
      <w:r>
        <w:rPr>
          <w:rFonts w:ascii="宋体" w:eastAsia="宋体" w:hAnsi="宋体" w:cs="宋体" w:hint="eastAsia"/>
          <w:bCs/>
          <w:sz w:val="24"/>
          <w:szCs w:val="24"/>
          <w:highlight w:val="yellow"/>
        </w:rPr>
        <w:t>两年有效期内，标气可免费再标定一次。</w:t>
      </w:r>
    </w:p>
    <w:p>
      <w:pPr>
        <w:spacing w:line="360" w:lineRule="auto"/>
        <w:ind w:firstLine="480" w:firstLineChars="200"/>
        <w:rPr>
          <w:rFonts w:asciiTheme="minorEastAsia" w:hAnsiTheme="minorEastAsia" w:cstheme="minorEastAsia"/>
          <w:highlight w:val="yellow"/>
        </w:rPr>
      </w:pPr>
      <w:r>
        <w:rPr>
          <w:rFonts w:asciiTheme="minorEastAsia" w:hAnsiTheme="minorEastAsia" w:cstheme="minorEastAsia" w:hint="eastAsia"/>
          <w:sz w:val="24"/>
          <w:szCs w:val="24"/>
          <w:highlight w:val="yellow"/>
        </w:rPr>
        <w:t>工作标气和目标标气配气浓度信息如下：</w:t>
      </w:r>
    </w:p>
    <w:tbl>
      <w:tblPr>
        <w:tblStyle w:val="TableNormal"/>
        <w:tblpPr w:leftFromText="180" w:rightFromText="180" w:vertAnchor="text" w:horzAnchor="margin" w:tblpY="63"/>
        <w:tblOverlap w:val="never"/>
        <w:tblW w:w="5000" w:type="pct"/>
        <w:tblInd w:w="0" w:type="dxa"/>
        <w:tblCellMar>
          <w:top w:w="15" w:type="dxa"/>
          <w:left w:w="15" w:type="dxa"/>
          <w:bottom w:w="15" w:type="dxa"/>
          <w:right w:w="15" w:type="dxa"/>
        </w:tblCellMar>
      </w:tblPr>
      <w:tblGrid>
        <w:gridCol w:w="2316"/>
        <w:gridCol w:w="2252"/>
        <w:gridCol w:w="1514"/>
        <w:gridCol w:w="2254"/>
      </w:tblGrid>
      <w:tr>
        <w:tblPrEx>
          <w:tblW w:w="5000" w:type="pct"/>
          <w:tblInd w:w="0" w:type="dxa"/>
          <w:tblCellMar>
            <w:top w:w="15" w:type="dxa"/>
            <w:left w:w="15" w:type="dxa"/>
            <w:bottom w:w="15" w:type="dxa"/>
            <w:right w:w="15" w:type="dxa"/>
          </w:tblCellMar>
        </w:tblPrEx>
        <w:trPr>
          <w:trHeight w:val="1134"/>
        </w:trPr>
        <w:tc>
          <w:tcPr>
            <w:tcW w:w="1389"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要素标气</w:t>
            </w:r>
          </w:p>
        </w:tc>
        <w:tc>
          <w:tcPr>
            <w:tcW w:w="1351"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高浓度</w:t>
            </w:r>
          </w:p>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工作标气</w:t>
            </w:r>
          </w:p>
        </w:tc>
        <w:tc>
          <w:tcPr>
            <w:tcW w:w="908"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目标标气</w:t>
            </w:r>
          </w:p>
        </w:tc>
        <w:tc>
          <w:tcPr>
            <w:tcW w:w="1352"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低浓度</w:t>
            </w:r>
          </w:p>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工作标气</w:t>
            </w:r>
          </w:p>
        </w:tc>
      </w:tr>
      <w:tr>
        <w:tblPrEx>
          <w:tblW w:w="5000" w:type="pct"/>
          <w:tblInd w:w="0" w:type="dxa"/>
          <w:tblCellMar>
            <w:top w:w="15" w:type="dxa"/>
            <w:left w:w="15" w:type="dxa"/>
            <w:bottom w:w="15" w:type="dxa"/>
            <w:right w:w="15" w:type="dxa"/>
          </w:tblCellMar>
        </w:tblPrEx>
        <w:trPr>
          <w:trHeight w:val="288"/>
        </w:trPr>
        <w:tc>
          <w:tcPr>
            <w:tcW w:w="1389"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CO2浓度（ppm）</w:t>
            </w:r>
          </w:p>
        </w:tc>
        <w:tc>
          <w:tcPr>
            <w:tcW w:w="1351"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473</w:t>
            </w:r>
          </w:p>
        </w:tc>
        <w:tc>
          <w:tcPr>
            <w:tcW w:w="908"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437</w:t>
            </w:r>
          </w:p>
        </w:tc>
        <w:tc>
          <w:tcPr>
            <w:tcW w:w="1352"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414</w:t>
            </w:r>
          </w:p>
        </w:tc>
      </w:tr>
      <w:tr>
        <w:tblPrEx>
          <w:tblW w:w="5000" w:type="pct"/>
          <w:tblInd w:w="0" w:type="dxa"/>
          <w:tblCellMar>
            <w:top w:w="15" w:type="dxa"/>
            <w:left w:w="15" w:type="dxa"/>
            <w:bottom w:w="15" w:type="dxa"/>
            <w:right w:w="15" w:type="dxa"/>
          </w:tblCellMar>
        </w:tblPrEx>
        <w:trPr>
          <w:trHeight w:val="288"/>
        </w:trPr>
        <w:tc>
          <w:tcPr>
            <w:tcW w:w="1389"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CH4浓度（ppb）</w:t>
            </w:r>
          </w:p>
        </w:tc>
        <w:tc>
          <w:tcPr>
            <w:tcW w:w="1351"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2466</w:t>
            </w:r>
          </w:p>
        </w:tc>
        <w:tc>
          <w:tcPr>
            <w:tcW w:w="908"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highlight w:val="yellow"/>
              </w:rPr>
            </w:pPr>
            <w:r>
              <w:rPr>
                <w:rFonts w:ascii="宋体" w:eastAsia="宋体" w:hAnsi="宋体" w:cs="宋体" w:hint="eastAsia"/>
                <w:bCs/>
                <w:sz w:val="24"/>
                <w:szCs w:val="24"/>
                <w:highlight w:val="yellow"/>
              </w:rPr>
              <w:t>2127</w:t>
            </w:r>
          </w:p>
        </w:tc>
        <w:tc>
          <w:tcPr>
            <w:tcW w:w="1352" w:type="pct"/>
            <w:tcBorders>
              <w:top w:val="single" w:sz="4" w:space="0" w:color="000000"/>
              <w:left w:val="single" w:sz="4" w:space="0" w:color="000000"/>
              <w:bottom w:val="single" w:sz="4" w:space="0" w:color="000000"/>
              <w:right w:val="single" w:sz="4" w:space="0" w:color="000000"/>
            </w:tcBorders>
            <w:noWrap/>
            <w:vAlign w:val="center"/>
          </w:tcPr>
          <w:p>
            <w:pPr>
              <w:spacing w:line="360" w:lineRule="auto"/>
              <w:jc w:val="center"/>
              <w:rPr>
                <w:rFonts w:ascii="宋体" w:eastAsia="宋体" w:hAnsi="宋体" w:cs="宋体"/>
                <w:bCs/>
              </w:rPr>
            </w:pPr>
            <w:r>
              <w:rPr>
                <w:rFonts w:ascii="宋体" w:eastAsia="宋体" w:hAnsi="宋体" w:cs="宋体" w:hint="eastAsia"/>
                <w:bCs/>
                <w:sz w:val="24"/>
                <w:szCs w:val="24"/>
                <w:highlight w:val="yellow"/>
              </w:rPr>
              <w:t>2012</w:t>
            </w:r>
          </w:p>
        </w:tc>
      </w:tr>
    </w:tbl>
    <w:p>
      <w:pPr>
        <w:numPr>
          <w:ilvl w:val="0"/>
          <w:numId w:val="5"/>
        </w:numPr>
        <w:spacing w:line="360" w:lineRule="auto"/>
        <w:ind w:firstLine="480" w:firstLineChars="200"/>
        <w:rPr>
          <w:rFonts w:ascii="宋体" w:eastAsia="宋体" w:hAnsi="宋体" w:cs="宋体"/>
          <w:bCs/>
        </w:rPr>
      </w:pPr>
      <w:r>
        <w:rPr>
          <w:rFonts w:ascii="宋体" w:eastAsia="宋体" w:hAnsi="宋体" w:cs="宋体"/>
          <w:bCs/>
          <w:sz w:val="24"/>
          <w:szCs w:val="24"/>
        </w:rPr>
        <w:t>温室气体观测系统备品备件</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采样泵</w:t>
      </w:r>
    </w:p>
    <w:p>
      <w:pPr>
        <w:spacing w:line="360" w:lineRule="auto"/>
        <w:ind w:firstLine="420"/>
        <w:rPr>
          <w:rFonts w:ascii="宋体" w:eastAsia="宋体" w:hAnsi="宋体" w:cs="宋体"/>
          <w:bCs/>
        </w:rPr>
      </w:pPr>
      <w:r>
        <w:rPr>
          <w:rFonts w:ascii="宋体" w:eastAsia="宋体" w:hAnsi="宋体" w:cs="宋体"/>
          <w:bCs/>
          <w:sz w:val="24"/>
          <w:szCs w:val="24"/>
          <w:highlight w:val="yellow"/>
        </w:rPr>
        <w:t>无油隔膜泵，泵头为不锈钢材质，泵膜为耐腐蚀、抗老化材质</w:t>
      </w:r>
      <w:r>
        <w:rPr>
          <w:rFonts w:ascii="宋体" w:eastAsia="宋体" w:hAnsi="宋体" w:cs="宋体" w:hint="eastAsia"/>
          <w:bCs/>
          <w:sz w:val="24"/>
          <w:szCs w:val="24"/>
          <w:highlight w:val="yellow"/>
        </w:rPr>
        <w:t>，采样泵空载流量不低于23 L/min。</w:t>
      </w:r>
    </w:p>
    <w:p>
      <w:pPr>
        <w:numPr>
          <w:ilvl w:val="0"/>
          <w:numId w:val="6"/>
        </w:numPr>
        <w:spacing w:line="360" w:lineRule="auto"/>
        <w:rPr>
          <w:rFonts w:ascii="宋体" w:eastAsia="宋体" w:hAnsi="宋体" w:cs="宋体"/>
          <w:bCs/>
        </w:rPr>
      </w:pPr>
      <w:r>
        <w:rPr>
          <w:rFonts w:ascii="宋体" w:eastAsia="宋体" w:hAnsi="宋体" w:cs="宋体"/>
          <w:bCs/>
          <w:sz w:val="24"/>
          <w:szCs w:val="24"/>
        </w:rPr>
        <w:t>采样泵泵膜</w:t>
      </w:r>
    </w:p>
    <w:p>
      <w:pPr>
        <w:spacing w:line="360" w:lineRule="auto"/>
        <w:ind w:left="420"/>
        <w:rPr>
          <w:rFonts w:ascii="宋体" w:eastAsia="宋体" w:hAnsi="宋体" w:cs="宋体"/>
          <w:bCs/>
        </w:rPr>
      </w:pPr>
      <w:r>
        <w:rPr>
          <w:rFonts w:ascii="宋体" w:eastAsia="宋体" w:hAnsi="宋体" w:cs="宋体"/>
          <w:bCs/>
          <w:sz w:val="24"/>
          <w:szCs w:val="24"/>
        </w:rPr>
        <w:t>采样泵</w:t>
      </w:r>
      <w:r>
        <w:rPr>
          <w:rFonts w:ascii="宋体" w:eastAsia="宋体" w:hAnsi="宋体" w:cs="宋体" w:hint="eastAsia"/>
          <w:bCs/>
          <w:sz w:val="24"/>
          <w:szCs w:val="24"/>
        </w:rPr>
        <w:t>配套耗材，材质耐腐蚀、抗老化。</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高精密二级减压阀</w:t>
      </w:r>
    </w:p>
    <w:p>
      <w:pPr>
        <w:spacing w:line="360" w:lineRule="auto"/>
        <w:ind w:firstLine="480" w:firstLineChars="200"/>
        <w:jc w:val="left"/>
        <w:rPr>
          <w:rFonts w:ascii="宋体" w:eastAsia="宋体" w:hAnsi="宋体" w:cs="宋体"/>
          <w:bCs/>
        </w:rPr>
      </w:pPr>
      <w:r>
        <w:rPr>
          <w:rFonts w:ascii="宋体" w:eastAsia="宋体" w:hAnsi="宋体" w:cs="宋体"/>
          <w:bCs/>
          <w:sz w:val="24"/>
          <w:szCs w:val="24"/>
          <w:highlight w:val="yellow"/>
        </w:rPr>
        <w:t>双表头高精密减压阀</w:t>
      </w:r>
      <w:r>
        <w:rPr>
          <w:rFonts w:ascii="宋体" w:eastAsia="宋体" w:hAnsi="宋体" w:cs="宋体" w:hint="eastAsia"/>
          <w:bCs/>
          <w:sz w:val="24"/>
          <w:szCs w:val="24"/>
          <w:highlight w:val="yellow"/>
        </w:rPr>
        <w:t>具有</w:t>
      </w:r>
      <w:r>
        <w:rPr>
          <w:rFonts w:ascii="宋体" w:eastAsia="宋体" w:hAnsi="宋体" w:cs="宋体"/>
          <w:bCs/>
          <w:sz w:val="24"/>
          <w:szCs w:val="24"/>
          <w:highlight w:val="yellow"/>
        </w:rPr>
        <w:t>不锈钢或黄铜镀镍层材质，不锈钢横膈膜；输入压力范围：0～3000 psi(0～207 bar)，输出压力范围：0～100 psi(0～7 bar)，分辨力：≤2 psi(0.14 bar)。</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国产进样阀箱（含质量流量控制器、多口阀）</w:t>
      </w:r>
    </w:p>
    <w:p>
      <w:pPr>
        <w:spacing w:line="360" w:lineRule="auto"/>
        <w:ind w:firstLine="480" w:firstLineChars="200"/>
        <w:jc w:val="left"/>
        <w:rPr>
          <w:rFonts w:ascii="宋体" w:eastAsia="宋体" w:hAnsi="宋体" w:cs="宋体"/>
          <w:bCs/>
          <w:highlight w:val="yellow"/>
        </w:rPr>
      </w:pPr>
      <w:r>
        <w:rPr>
          <w:rFonts w:ascii="宋体" w:eastAsia="宋体" w:hAnsi="宋体" w:cs="宋体" w:hint="eastAsia"/>
          <w:bCs/>
          <w:sz w:val="24"/>
          <w:szCs w:val="24"/>
          <w:highlight w:val="yellow"/>
        </w:rPr>
        <w:t>功能：进样</w:t>
      </w:r>
      <w:r>
        <w:rPr>
          <w:rFonts w:ascii="宋体" w:eastAsia="宋体" w:hAnsi="宋体" w:cs="宋体"/>
          <w:bCs/>
          <w:sz w:val="24"/>
          <w:szCs w:val="24"/>
          <w:highlight w:val="yellow"/>
        </w:rPr>
        <w:t>阀</w:t>
      </w:r>
      <w:r>
        <w:rPr>
          <w:rFonts w:ascii="宋体" w:eastAsia="宋体" w:hAnsi="宋体" w:cs="宋体" w:hint="eastAsia"/>
          <w:bCs/>
          <w:sz w:val="24"/>
          <w:szCs w:val="24"/>
          <w:highlight w:val="yellow"/>
        </w:rPr>
        <w:t>箱由8口进样阀、质量流量控制器和质量流量计等组成，实现标气和样气的自动切换，利用系统配备的8口样品选择阀，自动选择标气以及环境空气进入系统分析。整个过程由光腔衰荡观测系统主机控制在不同的时间选择不同的4空气样品，以全自动的方式运行。气体经8口选择阀选择后，经由质量流量计控制，再经由压力释放控制后，直接进入主机分析。</w:t>
      </w:r>
    </w:p>
    <w:p>
      <w:pPr>
        <w:spacing w:line="360" w:lineRule="auto"/>
        <w:ind w:firstLine="480" w:firstLineChars="200"/>
        <w:jc w:val="left"/>
        <w:rPr>
          <w:rFonts w:ascii="宋体" w:eastAsia="宋体" w:hAnsi="宋体" w:cs="宋体"/>
          <w:bCs/>
          <w:highlight w:val="yellow"/>
        </w:rPr>
      </w:pPr>
      <w:r>
        <w:rPr>
          <w:rFonts w:ascii="宋体" w:eastAsia="宋体" w:hAnsi="宋体" w:cs="宋体" w:hint="eastAsia"/>
          <w:bCs/>
          <w:sz w:val="24"/>
          <w:szCs w:val="24"/>
          <w:highlight w:val="yellow"/>
        </w:rPr>
        <w:t>主要部件：</w:t>
      </w:r>
    </w:p>
    <w:tbl>
      <w:tblPr>
        <w:tblStyle w:val="TableNormal"/>
        <w:tblW w:w="4512" w:type="dxa"/>
        <w:jc w:val="center"/>
        <w:tblCellMar>
          <w:top w:w="0" w:type="dxa"/>
          <w:left w:w="108" w:type="dxa"/>
          <w:bottom w:w="0" w:type="dxa"/>
          <w:right w:w="108" w:type="dxa"/>
        </w:tblCellMar>
      </w:tblPr>
      <w:tblGrid>
        <w:gridCol w:w="3552"/>
        <w:gridCol w:w="2141"/>
      </w:tblGrid>
      <w:tr>
        <w:tblPrEx>
          <w:tblW w:w="4512" w:type="dxa"/>
          <w:jc w:val="center"/>
          <w:tblCellMar>
            <w:top w:w="0" w:type="dxa"/>
            <w:left w:w="108" w:type="dxa"/>
            <w:bottom w:w="0" w:type="dxa"/>
            <w:right w:w="108" w:type="dxa"/>
          </w:tblCellMar>
        </w:tblPrEx>
        <w:trPr>
          <w:trHeight w:val="288"/>
          <w:jc w:val="center"/>
        </w:trPr>
        <w:tc>
          <w:tcPr>
            <w:tcW w:w="3552" w:type="dxa"/>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名称</w:t>
            </w:r>
          </w:p>
        </w:tc>
        <w:tc>
          <w:tcPr>
            <w:tcW w:w="960" w:type="dxa"/>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规格</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8口选择阀</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1/8in接口</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质量流量计</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2L</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流量计显示仪</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0～2L/min</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浮子流量计</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0～600ML/min</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不锈钢管线</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1/4管线和1/8管线</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直通穿板</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1/4in和1/8in</w:t>
            </w:r>
          </w:p>
        </w:tc>
      </w:tr>
      <w:tr>
        <w:tblPrEx>
          <w:tblW w:w="4512" w:type="dxa"/>
          <w:jc w:val="center"/>
          <w:tblCellMar>
            <w:top w:w="0" w:type="dxa"/>
            <w:left w:w="108" w:type="dxa"/>
            <w:bottom w:w="0" w:type="dxa"/>
            <w:right w:w="108" w:type="dxa"/>
          </w:tblCellMar>
        </w:tblPrEx>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阀箱外壳</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color w:val="000000"/>
                <w:sz w:val="22"/>
                <w:highlight w:val="yellow"/>
              </w:rPr>
            </w:pPr>
            <w:r>
              <w:rPr>
                <w:rFonts w:ascii="宋体" w:eastAsia="宋体" w:hAnsi="宋体" w:cs="宋体" w:hint="eastAsia"/>
                <w:color w:val="000000"/>
                <w:kern w:val="0"/>
                <w:sz w:val="22"/>
                <w:highlight w:val="yellow"/>
                <w:lang w:bidi="ar"/>
              </w:rPr>
              <w:t>定制</w:t>
            </w:r>
          </w:p>
        </w:tc>
      </w:tr>
    </w:tbl>
    <w:p>
      <w:pPr>
        <w:spacing w:line="360" w:lineRule="auto"/>
        <w:ind w:firstLine="480" w:firstLineChars="200"/>
        <w:jc w:val="left"/>
        <w:rPr>
          <w:rFonts w:ascii="宋体" w:eastAsia="宋体" w:hAnsi="宋体" w:cs="宋体"/>
          <w:bCs/>
        </w:rPr>
      </w:pPr>
      <w:r>
        <w:rPr>
          <w:rFonts w:ascii="宋体" w:eastAsia="宋体" w:hAnsi="宋体" w:cs="宋体" w:hint="eastAsia"/>
          <w:bCs/>
          <w:sz w:val="24"/>
          <w:szCs w:val="24"/>
          <w:highlight w:val="yellow"/>
        </w:rPr>
        <w:t>主要参数：多口选择阀：8 路，进气口：8 口，多口选择阀压力范围：＜400psi，进样流量范围：0～2L/min，旁路流量范围：0～600mL/min，供电：220V，通讯连接：RS232</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G2301真空抽气泵</w:t>
      </w:r>
    </w:p>
    <w:p>
      <w:pPr>
        <w:spacing w:line="360" w:lineRule="auto"/>
        <w:ind w:firstLine="480" w:firstLineChars="200"/>
        <w:jc w:val="left"/>
        <w:rPr>
          <w:rFonts w:ascii="宋体" w:eastAsia="宋体" w:hAnsi="宋体" w:cs="宋体"/>
          <w:bCs/>
          <w:highlight w:val="yellow"/>
        </w:rPr>
      </w:pPr>
      <w:r>
        <w:rPr>
          <w:rFonts w:ascii="宋体" w:eastAsia="宋体" w:hAnsi="宋体" w:cs="宋体"/>
          <w:bCs/>
          <w:sz w:val="24"/>
          <w:szCs w:val="24"/>
          <w:highlight w:val="yellow"/>
        </w:rPr>
        <w:t>隔膜真空泵</w:t>
      </w:r>
      <w:r>
        <w:rPr>
          <w:rFonts w:ascii="宋体" w:eastAsia="宋体" w:hAnsi="宋体" w:cs="宋体" w:hint="eastAsia"/>
          <w:bCs/>
          <w:sz w:val="24"/>
          <w:szCs w:val="24"/>
          <w:highlight w:val="yellow"/>
        </w:rPr>
        <w:t>，</w:t>
      </w:r>
      <w:r>
        <w:rPr>
          <w:rFonts w:ascii="宋体" w:eastAsia="宋体" w:hAnsi="宋体" w:cs="宋体"/>
          <w:bCs/>
          <w:sz w:val="24"/>
          <w:szCs w:val="24"/>
          <w:highlight w:val="yellow"/>
        </w:rPr>
        <w:t>泵头数/级数：4/3，50/60 Hz下的最大抽速：1.2/1.4</w:t>
      </w:r>
      <w:r>
        <w:rPr>
          <w:rFonts w:ascii="宋体" w:eastAsia="宋体" w:hAnsi="宋体" w:cs="宋体" w:hint="eastAsia"/>
          <w:bCs/>
          <w:sz w:val="24"/>
          <w:szCs w:val="24"/>
          <w:highlight w:val="yellow"/>
        </w:rPr>
        <w:t xml:space="preserve"> m</w:t>
      </w:r>
      <w:r>
        <w:rPr>
          <w:rFonts w:ascii="宋体" w:eastAsia="宋体" w:hAnsi="宋体" w:cs="宋体"/>
          <w:bCs/>
          <w:sz w:val="24"/>
          <w:szCs w:val="24"/>
          <w:highlight w:val="yellow"/>
          <w:vertAlign w:val="superscript"/>
        </w:rPr>
        <w:t>3</w:t>
      </w:r>
      <w:r>
        <w:rPr>
          <w:rFonts w:ascii="宋体" w:eastAsia="宋体" w:hAnsi="宋体" w:cs="宋体"/>
          <w:bCs/>
          <w:sz w:val="24"/>
          <w:szCs w:val="24"/>
          <w:highlight w:val="yellow"/>
        </w:rPr>
        <w:t>/h，50/60 Hz下的额定转速：1500/1800 min</w:t>
      </w:r>
      <w:r>
        <w:rPr>
          <w:rFonts w:ascii="宋体" w:eastAsia="宋体" w:hAnsi="宋体" w:cs="宋体"/>
          <w:bCs/>
          <w:sz w:val="24"/>
          <w:szCs w:val="24"/>
          <w:highlight w:val="yellow"/>
          <w:vertAlign w:val="superscript"/>
        </w:rPr>
        <w:t>-1</w:t>
      </w:r>
      <w:r>
        <w:rPr>
          <w:rFonts w:ascii="宋体" w:eastAsia="宋体" w:hAnsi="宋体" w:cs="宋体"/>
          <w:bCs/>
          <w:sz w:val="24"/>
          <w:szCs w:val="24"/>
          <w:highlight w:val="yellow"/>
        </w:rPr>
        <w:t>，极限真空（绝压）：1.5/1.1 mbar/torr，额定电机功率：0.08 kW，防护等级：IP42</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八口阀（8口阀）</w:t>
      </w:r>
    </w:p>
    <w:p>
      <w:pPr>
        <w:spacing w:line="360" w:lineRule="auto"/>
        <w:ind w:firstLine="480" w:firstLineChars="200"/>
        <w:jc w:val="left"/>
        <w:rPr>
          <w:rFonts w:ascii="宋体" w:eastAsia="宋体" w:hAnsi="宋体" w:cs="宋体"/>
          <w:bCs/>
        </w:rPr>
      </w:pPr>
      <w:r>
        <w:rPr>
          <w:rFonts w:ascii="宋体" w:eastAsia="宋体" w:hAnsi="宋体" w:cs="宋体"/>
          <w:bCs/>
          <w:sz w:val="24"/>
          <w:szCs w:val="24"/>
          <w:highlight w:val="yellow"/>
        </w:rPr>
        <w:t>8 mpos dead-end path</w:t>
      </w:r>
      <w:r>
        <w:rPr>
          <w:rFonts w:ascii="宋体" w:eastAsia="宋体" w:hAnsi="宋体" w:cs="宋体" w:hint="eastAsia"/>
          <w:bCs/>
          <w:sz w:val="24"/>
          <w:szCs w:val="24"/>
          <w:highlight w:val="yellow"/>
        </w:rPr>
        <w:t>，</w:t>
      </w:r>
      <w:r>
        <w:rPr>
          <w:rFonts w:ascii="宋体" w:eastAsia="宋体" w:hAnsi="宋体" w:cs="宋体"/>
          <w:bCs/>
          <w:sz w:val="24"/>
          <w:szCs w:val="24"/>
          <w:highlight w:val="yellow"/>
        </w:rPr>
        <w:t>MW</w:t>
      </w:r>
      <w:r>
        <w:rPr>
          <w:rFonts w:ascii="宋体" w:eastAsia="宋体" w:hAnsi="宋体" w:cs="宋体" w:hint="eastAsia"/>
          <w:bCs/>
          <w:sz w:val="24"/>
          <w:szCs w:val="24"/>
          <w:highlight w:val="yellow"/>
        </w:rPr>
        <w:t>，</w:t>
      </w:r>
      <w:r>
        <w:rPr>
          <w:rFonts w:ascii="宋体" w:eastAsia="宋体" w:hAnsi="宋体" w:cs="宋体"/>
          <w:bCs/>
          <w:sz w:val="24"/>
          <w:szCs w:val="24"/>
          <w:highlight w:val="yellow"/>
        </w:rPr>
        <w:t xml:space="preserve"> u-electric/TTL</w:t>
      </w:r>
      <w:r>
        <w:rPr>
          <w:rFonts w:ascii="宋体" w:eastAsia="宋体" w:hAnsi="宋体" w:cs="宋体" w:hint="eastAsia"/>
          <w:bCs/>
          <w:sz w:val="24"/>
          <w:szCs w:val="24"/>
          <w:highlight w:val="yellow"/>
        </w:rPr>
        <w:t>，</w:t>
      </w:r>
      <w:r>
        <w:rPr>
          <w:rFonts w:ascii="宋体" w:eastAsia="宋体" w:hAnsi="宋体" w:cs="宋体"/>
          <w:bCs/>
          <w:sz w:val="24"/>
          <w:szCs w:val="24"/>
          <w:highlight w:val="yellow"/>
        </w:rPr>
        <w:t xml:space="preserve"> 1/8*1mm</w:t>
      </w:r>
      <w:r>
        <w:rPr>
          <w:rFonts w:ascii="宋体" w:eastAsia="宋体" w:hAnsi="宋体" w:cs="宋体" w:hint="eastAsia"/>
          <w:bCs/>
          <w:sz w:val="24"/>
          <w:szCs w:val="24"/>
          <w:highlight w:val="yellow"/>
        </w:rPr>
        <w:t>，</w:t>
      </w:r>
      <w:r>
        <w:rPr>
          <w:rFonts w:ascii="宋体" w:eastAsia="宋体" w:hAnsi="宋体" w:cs="宋体"/>
          <w:bCs/>
          <w:sz w:val="24"/>
          <w:szCs w:val="24"/>
          <w:highlight w:val="yellow"/>
        </w:rPr>
        <w:t>50C/400psi gas</w:t>
      </w:r>
      <w:r>
        <w:rPr>
          <w:rFonts w:ascii="宋体" w:eastAsia="宋体" w:hAnsi="宋体" w:cs="宋体" w:hint="eastAsia"/>
          <w:bCs/>
          <w:sz w:val="24"/>
          <w:szCs w:val="24"/>
          <w:highlight w:val="yellow"/>
        </w:rPr>
        <w:t>，</w:t>
      </w:r>
      <w:r>
        <w:rPr>
          <w:rFonts w:ascii="宋体" w:eastAsia="宋体" w:hAnsi="宋体" w:cs="宋体"/>
          <w:bCs/>
          <w:sz w:val="24"/>
          <w:szCs w:val="24"/>
          <w:highlight w:val="yellow"/>
        </w:rPr>
        <w:t>N60/E</w:t>
      </w:r>
    </w:p>
    <w:p>
      <w:pPr>
        <w:numPr>
          <w:ilvl w:val="0"/>
          <w:numId w:val="6"/>
        </w:numPr>
        <w:spacing w:line="360" w:lineRule="auto"/>
        <w:rPr>
          <w:rFonts w:ascii="宋体" w:eastAsia="宋体" w:hAnsi="宋体" w:cs="宋体"/>
          <w:bCs/>
        </w:rPr>
      </w:pPr>
      <w:r>
        <w:rPr>
          <w:rFonts w:ascii="宋体" w:eastAsia="宋体" w:hAnsi="宋体" w:cs="宋体"/>
          <w:bCs/>
          <w:sz w:val="24"/>
          <w:szCs w:val="24"/>
        </w:rPr>
        <w:t>八口阀芯</w:t>
      </w:r>
    </w:p>
    <w:p>
      <w:pPr>
        <w:spacing w:line="360" w:lineRule="auto"/>
        <w:ind w:firstLine="480" w:firstLineChars="200"/>
        <w:jc w:val="left"/>
        <w:rPr>
          <w:rFonts w:ascii="宋体" w:eastAsia="宋体" w:hAnsi="宋体" w:cs="宋体"/>
          <w:bCs/>
        </w:rPr>
      </w:pPr>
      <w:r>
        <w:rPr>
          <w:rFonts w:ascii="宋体" w:eastAsia="宋体" w:hAnsi="宋体" w:cs="宋体" w:hint="eastAsia"/>
          <w:bCs/>
          <w:sz w:val="24"/>
          <w:szCs w:val="24"/>
        </w:rPr>
        <w:t>八口阀（</w:t>
      </w:r>
      <w:r>
        <w:rPr>
          <w:rFonts w:ascii="宋体" w:eastAsia="宋体" w:hAnsi="宋体" w:cs="宋体" w:hint="eastAsia"/>
          <w:bCs/>
          <w:sz w:val="24"/>
          <w:szCs w:val="24"/>
        </w:rPr>
        <w:t>8口阀）配套耗材。</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质量流量计</w:t>
      </w:r>
    </w:p>
    <w:p>
      <w:pPr>
        <w:spacing w:line="360" w:lineRule="auto"/>
        <w:ind w:firstLine="480" w:firstLineChars="200"/>
        <w:jc w:val="left"/>
        <w:rPr>
          <w:rFonts w:ascii="宋体" w:eastAsia="宋体" w:hAnsi="宋体" w:cs="宋体"/>
          <w:bCs/>
          <w:highlight w:val="yellow"/>
        </w:rPr>
      </w:pPr>
      <w:r>
        <w:rPr>
          <w:rFonts w:ascii="宋体" w:eastAsia="宋体" w:hAnsi="宋体" w:cs="宋体"/>
          <w:bCs/>
          <w:sz w:val="24"/>
          <w:szCs w:val="24"/>
          <w:highlight w:val="yellow"/>
        </w:rPr>
        <w:t>气体流量计，阀类型：常开(流量规格≤30标准升/分)，产品精度：±0.35％F.S.(＜35% F.S.) ±1.0% S.P.(≥35%</w:t>
      </w:r>
      <w:r>
        <w:rPr>
          <w:rFonts w:ascii="宋体" w:eastAsia="宋体" w:hAnsi="宋体" w:cs="宋体" w:hint="eastAsia"/>
          <w:bCs/>
          <w:sz w:val="24"/>
          <w:szCs w:val="24"/>
          <w:highlight w:val="yellow"/>
        </w:rPr>
        <w:t xml:space="preserve"> </w:t>
      </w:r>
      <w:r>
        <w:rPr>
          <w:rFonts w:ascii="宋体" w:eastAsia="宋体" w:hAnsi="宋体" w:cs="宋体"/>
          <w:bCs/>
          <w:sz w:val="24"/>
          <w:szCs w:val="24"/>
          <w:highlight w:val="yellow"/>
        </w:rPr>
        <w:t>F.S.)，其中F.S. (FullScale)为满量程值，响应时间：≤ 1sec，耐压：3MPa</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初级冷阱除水蠕动泵及泵管</w:t>
      </w:r>
    </w:p>
    <w:p>
      <w:pPr>
        <w:spacing w:line="360" w:lineRule="auto"/>
        <w:ind w:firstLine="480" w:firstLineChars="200"/>
        <w:jc w:val="left"/>
        <w:rPr>
          <w:rFonts w:ascii="宋体" w:eastAsia="宋体" w:hAnsi="宋体" w:cs="宋体"/>
          <w:bCs/>
        </w:rPr>
      </w:pP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微型无油泵，驱动方式</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：电机或直流供电，抽气速率： 0.1 – 430 ml/min，最大真空度： 8mH</w:t>
      </w:r>
      <w:r>
        <w:rPr>
          <w:rFonts w:ascii="宋体" w:eastAsia="宋体" w:hAnsi="宋体" w:cs="宋体"/>
          <w:bCs/>
          <w:sz w:val="24"/>
          <w:szCs w:val="24"/>
          <w:highlight w:val="yellow"/>
          <w:vertAlign w:val="subscript"/>
        </w:rPr>
        <w:t>2</w:t>
      </w:r>
      <w:r>
        <w:rPr>
          <w:rFonts w:ascii="宋体" w:eastAsia="宋体" w:hAnsi="宋体" w:cs="宋体"/>
          <w:bCs/>
          <w:sz w:val="24"/>
          <w:szCs w:val="24"/>
          <w:highlight w:val="yellow"/>
        </w:rPr>
        <w:t>O，电机功率： 2-7W</w:t>
      </w:r>
      <w:r>
        <w:rPr>
          <w:rFonts w:ascii="宋体" w:eastAsia="宋体" w:hAnsi="宋体" w:cs="宋体" w:hint="eastAsia"/>
          <w:bCs/>
          <w:sz w:val="24"/>
          <w:szCs w:val="24"/>
          <w:highlight w:val="yellow"/>
        </w:rPr>
        <w:t>，配套</w:t>
      </w:r>
      <w:r>
        <w:rPr>
          <w:rFonts w:ascii="宋体" w:eastAsia="宋体" w:hAnsi="宋体" w:cs="宋体"/>
          <w:bCs/>
          <w:sz w:val="24"/>
          <w:szCs w:val="24"/>
          <w:highlight w:val="yellow"/>
        </w:rPr>
        <w:t>泵管</w:t>
      </w:r>
      <w:r>
        <w:rPr>
          <w:rFonts w:ascii="宋体" w:eastAsia="宋体" w:hAnsi="宋体" w:cs="宋体" w:hint="eastAsia"/>
          <w:bCs/>
          <w:sz w:val="24"/>
          <w:szCs w:val="24"/>
          <w:highlight w:val="yellow"/>
        </w:rPr>
        <w:t>：橡胶材质</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采样口过滤器</w:t>
      </w:r>
    </w:p>
    <w:p>
      <w:pPr>
        <w:spacing w:line="360" w:lineRule="auto"/>
        <w:ind w:firstLine="480" w:firstLineChars="200"/>
        <w:jc w:val="left"/>
        <w:rPr>
          <w:rFonts w:ascii="宋体" w:eastAsia="宋体" w:hAnsi="宋体" w:cs="宋体"/>
          <w:bCs/>
        </w:rPr>
      </w:pPr>
      <w:r>
        <w:rPr>
          <w:rFonts w:ascii="宋体" w:eastAsia="宋体" w:hAnsi="宋体" w:cs="宋体"/>
          <w:bCs/>
          <w:sz w:val="24"/>
          <w:szCs w:val="24"/>
          <w:highlight w:val="yellow"/>
        </w:rPr>
        <w:t>囊式特氟龙过滤器，</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孔径</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：0.2 µm，</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材质</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：聚四氟乙烯膜（PTFE）与聚丙烯外壳，</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过滤面积</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：75 mm胶囊，1000 cm²，</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接口类型</w:t>
      </w:r>
      <w:r>
        <w:rPr>
          <w:rFonts w:ascii="MS Gothic" w:eastAsia="MS Gothic" w:hAnsi="MS Gothic" w:cs="MS Gothic" w:hint="eastAsia"/>
          <w:bCs/>
          <w:sz w:val="24"/>
          <w:szCs w:val="24"/>
          <w:highlight w:val="yellow"/>
        </w:rPr>
        <w:t>‌</w:t>
      </w:r>
      <w:r>
        <w:rPr>
          <w:rFonts w:ascii="宋体" w:eastAsia="宋体" w:hAnsi="宋体" w:cs="宋体"/>
          <w:bCs/>
          <w:sz w:val="24"/>
          <w:szCs w:val="24"/>
          <w:highlight w:val="yellow"/>
        </w:rPr>
        <w:t>：FNPT（螺纹接头）</w:t>
      </w:r>
    </w:p>
    <w:p>
      <w:pPr>
        <w:numPr>
          <w:ilvl w:val="0"/>
          <w:numId w:val="6"/>
        </w:numPr>
        <w:spacing w:line="360" w:lineRule="auto"/>
        <w:rPr>
          <w:rFonts w:ascii="宋体" w:eastAsia="宋体" w:hAnsi="宋体" w:cs="宋体"/>
          <w:bCs/>
        </w:rPr>
      </w:pPr>
      <w:r>
        <w:rPr>
          <w:rFonts w:ascii="宋体" w:eastAsia="宋体" w:hAnsi="宋体" w:cs="宋体"/>
          <w:bCs/>
          <w:sz w:val="24"/>
          <w:szCs w:val="24"/>
        </w:rPr>
        <w:t>高浓度二氧化碳检漏液</w:t>
      </w:r>
    </w:p>
    <w:p>
      <w:pPr>
        <w:spacing w:line="360" w:lineRule="auto"/>
        <w:ind w:firstLine="480" w:firstLineChars="200"/>
        <w:jc w:val="left"/>
        <w:rPr>
          <w:rFonts w:ascii="宋体" w:eastAsia="宋体" w:hAnsi="宋体" w:cs="宋体"/>
          <w:bCs/>
        </w:rPr>
      </w:pPr>
      <w:r>
        <w:rPr>
          <w:rFonts w:ascii="宋体" w:eastAsia="宋体" w:hAnsi="宋体" w:cs="宋体" w:hint="eastAsia"/>
          <w:bCs/>
          <w:sz w:val="24"/>
          <w:szCs w:val="24"/>
        </w:rPr>
        <w:t>便携小钢瓶，16g/瓶，内充</w:t>
      </w:r>
      <w:r>
        <w:rPr>
          <w:rFonts w:ascii="宋体" w:eastAsia="宋体" w:hAnsi="宋体" w:cs="宋体"/>
          <w:bCs/>
          <w:sz w:val="24"/>
          <w:szCs w:val="24"/>
        </w:rPr>
        <w:t>高浓度</w:t>
      </w:r>
      <w:r>
        <w:rPr>
          <w:rFonts w:ascii="宋体" w:eastAsia="宋体" w:hAnsi="宋体" w:cs="宋体" w:hint="eastAsia"/>
          <w:bCs/>
          <w:sz w:val="24"/>
          <w:szCs w:val="24"/>
        </w:rPr>
        <w:t>CO</w:t>
      </w:r>
      <w:r>
        <w:rPr>
          <w:rFonts w:ascii="宋体" w:eastAsia="宋体" w:hAnsi="宋体" w:cs="宋体"/>
          <w:bCs/>
          <w:sz w:val="24"/>
          <w:szCs w:val="24"/>
          <w:vertAlign w:val="superscript"/>
        </w:rPr>
        <w:t>2</w:t>
      </w:r>
      <w:r>
        <w:rPr>
          <w:rFonts w:ascii="宋体" w:eastAsia="宋体" w:hAnsi="宋体" w:cs="宋体" w:hint="eastAsia"/>
          <w:bCs/>
          <w:sz w:val="24"/>
          <w:szCs w:val="24"/>
        </w:rPr>
        <w:t>气体，每套带一个铝合金气嘴（可控出气量）。</w:t>
      </w:r>
    </w:p>
    <w:p>
      <w:pPr>
        <w:numPr>
          <w:ilvl w:val="0"/>
          <w:numId w:val="6"/>
        </w:numPr>
        <w:spacing w:line="360" w:lineRule="auto"/>
        <w:rPr>
          <w:rFonts w:ascii="宋体" w:eastAsia="宋体" w:hAnsi="宋体" w:cs="宋体"/>
          <w:bCs/>
          <w:highlight w:val="yellow"/>
        </w:rPr>
      </w:pPr>
      <w:r>
        <w:rPr>
          <w:rFonts w:asciiTheme="minorEastAsia" w:hAnsiTheme="minorEastAsia" w:cstheme="minorEastAsia" w:hint="eastAsia"/>
          <w:kern w:val="0"/>
          <w:sz w:val="24"/>
          <w:szCs w:val="24"/>
          <w:highlight w:val="yellow"/>
        </w:rPr>
        <w:t>#</w:t>
      </w:r>
      <w:r>
        <w:rPr>
          <w:rFonts w:ascii="宋体" w:eastAsia="宋体" w:hAnsi="宋体" w:cs="宋体"/>
          <w:bCs/>
          <w:sz w:val="24"/>
          <w:szCs w:val="24"/>
          <w:highlight w:val="yellow"/>
        </w:rPr>
        <w:t>温室气体观测系统年巡检</w:t>
      </w:r>
    </w:p>
    <w:p>
      <w:pPr>
        <w:spacing w:line="360" w:lineRule="auto"/>
        <w:ind w:firstLine="480" w:firstLineChars="200"/>
        <w:jc w:val="left"/>
        <w:rPr>
          <w:rFonts w:ascii="宋体" w:eastAsia="宋体" w:hAnsi="宋体" w:cs="宋体"/>
          <w:bCs/>
          <w:highlight w:val="yellow"/>
        </w:rPr>
      </w:pPr>
      <w:r>
        <w:rPr>
          <w:rFonts w:ascii="宋体" w:eastAsia="宋体" w:hAnsi="宋体" w:cs="宋体"/>
          <w:bCs/>
          <w:sz w:val="24"/>
          <w:szCs w:val="24"/>
          <w:highlight w:val="yellow"/>
        </w:rPr>
        <w:t>温室气体观测系统年巡检每年一次，按照国家本底站的技术规程和《高精度温室气体二氧化碳浓度自动观测系统建设指南》相关要求，对温室气体观测系统进行全面检测，使观测标准与WMO标准一致。</w:t>
      </w:r>
    </w:p>
    <w:p>
      <w:pPr>
        <w:spacing w:line="360" w:lineRule="auto"/>
        <w:ind w:firstLine="480" w:firstLineChars="200"/>
        <w:jc w:val="left"/>
        <w:rPr>
          <w:rFonts w:ascii="宋体" w:eastAsia="宋体" w:hAnsi="宋体" w:cs="宋体"/>
          <w:bCs/>
          <w:highlight w:val="yellow"/>
        </w:rPr>
      </w:pPr>
      <w:r>
        <w:rPr>
          <w:rFonts w:ascii="宋体" w:eastAsia="宋体" w:hAnsi="宋体" w:cs="宋体"/>
          <w:bCs/>
          <w:sz w:val="24"/>
          <w:szCs w:val="24"/>
          <w:highlight w:val="yellow"/>
        </w:rPr>
        <w:t>a)耗材更换：采样塔上第一级过滤器；抽气泵泵膜；其它年度耗材。</w:t>
      </w:r>
    </w:p>
    <w:p>
      <w:pPr>
        <w:spacing w:line="360" w:lineRule="auto"/>
        <w:ind w:firstLine="480" w:firstLineChars="200"/>
        <w:jc w:val="left"/>
        <w:rPr>
          <w:rFonts w:ascii="宋体" w:eastAsia="宋体" w:hAnsi="宋体" w:cs="宋体"/>
          <w:bCs/>
          <w:highlight w:val="yellow"/>
        </w:rPr>
      </w:pPr>
      <w:r>
        <w:rPr>
          <w:rFonts w:ascii="宋体" w:eastAsia="宋体" w:hAnsi="宋体" w:cs="宋体" w:hint="eastAsia"/>
          <w:bCs/>
          <w:sz w:val="24"/>
          <w:szCs w:val="24"/>
          <w:highlight w:val="yellow"/>
        </w:rPr>
        <w:t>b</w:t>
      </w:r>
      <w:r>
        <w:rPr>
          <w:rFonts w:ascii="宋体" w:eastAsia="宋体" w:hAnsi="宋体" w:cs="宋体"/>
          <w:bCs/>
          <w:sz w:val="24"/>
          <w:szCs w:val="24"/>
          <w:highlight w:val="yellow"/>
        </w:rPr>
        <w:t>)气路检漏：对整个观测系统检测是否有漏气，有漏气则进行处置。</w:t>
      </w:r>
    </w:p>
    <w:p>
      <w:pPr>
        <w:spacing w:line="360" w:lineRule="auto"/>
        <w:ind w:firstLine="480" w:firstLineChars="200"/>
        <w:jc w:val="left"/>
        <w:rPr>
          <w:rFonts w:ascii="宋体" w:eastAsia="宋体" w:hAnsi="宋体" w:cs="宋体"/>
          <w:bCs/>
          <w:highlight w:val="yellow"/>
        </w:rPr>
      </w:pPr>
      <w:r>
        <w:rPr>
          <w:rFonts w:ascii="宋体" w:eastAsia="宋体" w:hAnsi="宋体" w:cs="宋体" w:hint="eastAsia"/>
          <w:bCs/>
          <w:sz w:val="24"/>
          <w:szCs w:val="24"/>
          <w:highlight w:val="yellow"/>
        </w:rPr>
        <w:t>c</w:t>
      </w:r>
      <w:r>
        <w:rPr>
          <w:rFonts w:ascii="宋体" w:eastAsia="宋体" w:hAnsi="宋体" w:cs="宋体"/>
          <w:bCs/>
          <w:sz w:val="24"/>
          <w:szCs w:val="24"/>
          <w:highlight w:val="yellow"/>
        </w:rPr>
        <w:t>)专项测试：完成观测系统测试。观测系统测试包括标气/空气流量测试、选择阀切换测试、保留时间测试、系统测试（含：系统性能测试、线性测试、重复性测试、漂移测试、目标标气测量测试）。</w:t>
      </w:r>
    </w:p>
    <w:p>
      <w:pPr>
        <w:spacing w:line="360" w:lineRule="auto"/>
        <w:ind w:firstLine="480" w:firstLineChars="200"/>
        <w:jc w:val="left"/>
        <w:rPr>
          <w:rFonts w:ascii="宋体" w:eastAsia="宋体" w:hAnsi="宋体" w:cs="宋体"/>
          <w:bCs/>
        </w:rPr>
      </w:pPr>
      <w:r>
        <w:rPr>
          <w:rFonts w:ascii="宋体" w:eastAsia="宋体" w:hAnsi="宋体" w:cs="宋体"/>
          <w:bCs/>
          <w:sz w:val="24"/>
          <w:szCs w:val="24"/>
          <w:highlight w:val="yellow"/>
        </w:rPr>
        <w:t>年度巡检比对后，提交逐站的温室气体观测设备年巡检报告，包括观测系统运行总体状况、观测系统的仪器状况分析及相关诊断图，提出改进措施建议。</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三、系统交付、验收、质保、巡检要求</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1.交付</w:t>
      </w:r>
    </w:p>
    <w:p>
      <w:pPr>
        <w:spacing w:line="360" w:lineRule="auto"/>
        <w:ind w:firstLine="480" w:firstLineChars="200"/>
        <w:rPr>
          <w:rFonts w:ascii="宋体" w:eastAsia="宋体" w:hAnsi="宋体" w:cs="宋体" w:hint="eastAsia"/>
          <w:bCs/>
        </w:rPr>
      </w:pPr>
      <w:r>
        <w:rPr>
          <w:rFonts w:ascii="宋体" w:eastAsia="宋体" w:hAnsi="宋体" w:cs="宋体" w:hint="eastAsia"/>
          <w:bCs/>
          <w:sz w:val="24"/>
          <w:szCs w:val="24"/>
        </w:rPr>
        <w:t>1）合同签订后温室气体（CO2/CH4）标气和年巡检提供年度供货计划，其他备品备件180天内供货</w:t>
      </w:r>
      <w:r>
        <w:rPr>
          <w:rFonts w:ascii="宋体" w:eastAsia="宋体" w:hAnsi="宋体" w:cs="宋体" w:hint="eastAsia"/>
          <w:bCs/>
          <w:sz w:val="24"/>
          <w:szCs w:val="24"/>
          <w:lang w:eastAsia="zh-CN"/>
        </w:rPr>
        <w:t>。</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2.验收</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标准：乙方配合甲方完成出合同验收、业务验收。验收内容包括货物签收单、标气提供汇总表、年巡检报告等，按甲方要求提供验收报告纸质版及电子版。</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3.质保及服务团队</w:t>
      </w:r>
    </w:p>
    <w:p>
      <w:pPr>
        <w:spacing w:line="560" w:lineRule="exact"/>
        <w:ind w:firstLine="480" w:firstLineChars="200"/>
        <w:rPr>
          <w:rFonts w:ascii="宋体" w:eastAsia="宋体" w:hAnsi="宋体" w:cs="宋体"/>
          <w:bCs/>
        </w:rPr>
      </w:pPr>
      <w:r>
        <w:rPr>
          <w:rFonts w:ascii="宋体" w:eastAsia="宋体" w:hAnsi="宋体" w:cs="宋体" w:hint="eastAsia"/>
          <w:bCs/>
          <w:sz w:val="24"/>
          <w:szCs w:val="24"/>
        </w:rPr>
        <w:t>备品备件质保期自合同验收通过之日起算，设备质保期为2年。</w:t>
      </w:r>
    </w:p>
    <w:p>
      <w:pPr>
        <w:spacing w:line="560" w:lineRule="exact"/>
        <w:ind w:firstLine="480" w:firstLineChars="200"/>
        <w:rPr>
          <w:rFonts w:ascii="宋体" w:eastAsia="宋体" w:hAnsi="宋体" w:cs="宋体"/>
          <w:bCs/>
        </w:rPr>
      </w:pPr>
      <w:r>
        <w:rPr>
          <w:rFonts w:ascii="宋体" w:eastAsia="宋体" w:hAnsi="宋体" w:cs="宋体" w:hint="eastAsia"/>
          <w:bCs/>
          <w:sz w:val="24"/>
          <w:szCs w:val="24"/>
        </w:rPr>
        <w:t>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4.巡检</w:t>
      </w:r>
    </w:p>
    <w:p>
      <w:pPr>
        <w:spacing w:line="560" w:lineRule="exact"/>
        <w:ind w:firstLine="480" w:firstLineChars="200"/>
        <w:rPr>
          <w:rFonts w:ascii="宋体" w:eastAsia="宋体" w:hAnsi="宋体" w:cs="宋体"/>
          <w:bCs/>
        </w:rPr>
      </w:pPr>
      <w:r>
        <w:rPr>
          <w:rFonts w:ascii="宋体" w:eastAsia="宋体" w:hAnsi="宋体" w:cs="宋体" w:hint="eastAsia"/>
          <w:bCs/>
          <w:sz w:val="24"/>
          <w:szCs w:val="24"/>
        </w:rPr>
        <w:t>温室气体观测系统年巡检每年一次，按照国家本底站的技术规程和《高精度温室气体二氧化碳浓度自动观测系统建设指南》相关要求，对温室气体观测系统进行全面检测，使观测标准与WMO标准一致。</w:t>
      </w:r>
    </w:p>
    <w:p>
      <w:pPr>
        <w:spacing w:line="360" w:lineRule="auto"/>
        <w:ind w:firstLine="480" w:firstLineChars="200"/>
        <w:rPr>
          <w:rFonts w:ascii="宋体" w:eastAsia="宋体" w:hAnsi="宋体" w:cs="宋体"/>
          <w:bCs/>
        </w:rPr>
      </w:pPr>
      <w:r>
        <w:rPr>
          <w:rFonts w:ascii="宋体" w:eastAsia="宋体" w:hAnsi="宋体" w:cs="宋体" w:hint="eastAsia"/>
          <w:bCs/>
          <w:sz w:val="24"/>
          <w:szCs w:val="24"/>
        </w:rPr>
        <w:t>四、培训要求</w:t>
      </w:r>
    </w:p>
    <w:p>
      <w:pPr>
        <w:spacing w:line="560" w:lineRule="exact"/>
        <w:ind w:firstLine="480" w:firstLineChars="200"/>
        <w:rPr>
          <w:rFonts w:ascii="宋体" w:eastAsia="宋体" w:hAnsi="宋体" w:cs="宋体"/>
          <w:bCs/>
        </w:rPr>
      </w:pPr>
      <w:r>
        <w:rPr>
          <w:rFonts w:ascii="宋体" w:eastAsia="宋体" w:hAnsi="宋体" w:cs="宋体" w:hint="eastAsia"/>
          <w:bCs/>
          <w:sz w:val="24"/>
          <w:szCs w:val="24"/>
        </w:rPr>
        <w:t>通过培训，使工作人员掌握本项目设备的基本结构和原理、操作规范和流程、使用方法，具备常规操作、日常维护、中小故障排除的能力；熟练掌握所负责业务的质量控制、质量保证方法和措施。书面承诺每种设备的培训讲师具有中级以上职称或从事该设备技术工作至少2年；</w:t>
      </w:r>
    </w:p>
    <w:p>
      <w:pPr>
        <w:spacing w:line="560" w:lineRule="exact"/>
        <w:ind w:firstLine="480" w:firstLineChars="200"/>
        <w:rPr>
          <w:rFonts w:ascii="宋体" w:eastAsia="宋体" w:hAnsi="宋体" w:cs="宋体"/>
          <w:bCs/>
        </w:rPr>
      </w:pPr>
      <w:r>
        <w:rPr>
          <w:rFonts w:ascii="宋体" w:eastAsia="宋体" w:hAnsi="宋体" w:cs="宋体" w:hint="eastAsia"/>
          <w:bCs/>
          <w:sz w:val="24"/>
          <w:szCs w:val="24"/>
        </w:rPr>
        <w:t>设备供应商提供至少1次技术培训，培训课时</w:t>
      </w:r>
      <w:r>
        <w:rPr>
          <w:rFonts w:ascii="宋体" w:eastAsia="宋体" w:hAnsi="宋体" w:cs="宋体"/>
          <w:bCs/>
          <w:sz w:val="24"/>
          <w:szCs w:val="24"/>
        </w:rPr>
        <w:t>不少于8</w:t>
      </w:r>
      <w:r>
        <w:rPr>
          <w:rFonts w:ascii="宋体" w:eastAsia="宋体" w:hAnsi="宋体" w:cs="宋体" w:hint="eastAsia"/>
          <w:bCs/>
          <w:sz w:val="24"/>
          <w:szCs w:val="24"/>
        </w:rPr>
        <w:t>个</w:t>
      </w:r>
      <w:r>
        <w:rPr>
          <w:rFonts w:ascii="宋体" w:eastAsia="宋体" w:hAnsi="宋体" w:cs="宋体"/>
          <w:bCs/>
          <w:sz w:val="24"/>
          <w:szCs w:val="24"/>
        </w:rPr>
        <w:t>课时，培训人数不少于20</w:t>
      </w:r>
      <w:r>
        <w:rPr>
          <w:rFonts w:ascii="宋体" w:eastAsia="宋体" w:hAnsi="宋体" w:cs="宋体" w:hint="eastAsia"/>
          <w:bCs/>
          <w:sz w:val="24"/>
          <w:szCs w:val="24"/>
        </w:rPr>
        <w:t>人</w:t>
      </w:r>
      <w:r>
        <w:rPr>
          <w:rFonts w:ascii="宋体" w:eastAsia="宋体" w:hAnsi="宋体" w:cs="宋体"/>
          <w:bCs/>
          <w:sz w:val="24"/>
          <w:szCs w:val="24"/>
        </w:rPr>
        <w:t>。</w:t>
      </w:r>
      <w:r>
        <w:rPr>
          <w:rFonts w:ascii="宋体" w:eastAsia="宋体" w:hAnsi="宋体" w:cs="宋体" w:hint="eastAsia"/>
          <w:bCs/>
          <w:sz w:val="24"/>
          <w:szCs w:val="24"/>
        </w:rPr>
        <w:t>培训内容包括设备安装、使用、日常维护、观测原理及产品应用，培训时间及地点双方协商确定。</w:t>
      </w:r>
    </w:p>
    <w:p>
      <w:pPr>
        <w:spacing w:line="360" w:lineRule="auto"/>
        <w:ind w:firstLine="420"/>
        <w:rPr>
          <w:rFonts w:ascii="宋体" w:eastAsia="宋体" w:hAnsi="宋体" w:cs="宋体"/>
          <w:bCs/>
        </w:rPr>
      </w:pP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27"/>
        <w:gridCol w:w="1374"/>
        <w:gridCol w:w="536"/>
        <w:gridCol w:w="746"/>
        <w:gridCol w:w="851"/>
        <w:gridCol w:w="536"/>
        <w:gridCol w:w="419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温室气体观测设备备品备件</w:t>
            </w:r>
          </w:p>
        </w:tc>
        <w:tc>
          <w:tcPr/>
          <w:p>
            <w:pPr>
              <w:autoSpaceDE w:val="0"/>
              <w:jc w:val="center"/>
              <w:rPr>
                <w:rFonts w:asciiTheme="minorEastAsia" w:hAnsiTheme="minorEastAsia" w:cstheme="minorEastAsia"/>
                <w:kern w:val="0"/>
                <w:szCs w:val="21"/>
              </w:rPr>
            </w:pPr>
            <w:r>
              <w:t>220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合同签订后温室气体（CO2/CH4）标气设备提供年度供货计划，其他备品备件180天内供货</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9"/>
        <w:gridCol w:w="1594"/>
        <w:gridCol w:w="1969"/>
        <w:gridCol w:w="469"/>
        <w:gridCol w:w="1069"/>
        <w:gridCol w:w="891"/>
        <w:gridCol w:w="1069"/>
        <w:gridCol w:w="9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温室气体观测设备备品备件</w:t>
            </w:r>
          </w:p>
        </w:tc>
        <w:tc>
          <w:tcPr/>
          <w:p>
            <w:r>
              <w:t>220</w:t>
            </w:r>
          </w:p>
        </w:tc>
        <w:tc>
          <w:tcPr/>
          <w:p>
            <w:r>
              <w:t>4000000.00</w:t>
            </w:r>
          </w:p>
        </w:tc>
        <w:tc>
          <w:tcPr/>
          <w:p>
            <w:r>
              <w:t xml:space="preserve">4000000.00  </w:t>
            </w:r>
          </w:p>
        </w:tc>
        <w:tc>
          <w:tcPr/>
          <w:p>
            <w:r>
              <w:t>甲方指定地点</w:t>
            </w:r>
          </w:p>
        </w:tc>
        <w:tc>
          <w:tcPr/>
          <w:p>
            <w:r>
              <w:t>何国安 15005180400</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990B99">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990B9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90B99">
            <w:pPr>
              <w:rPr>
                <w:sz w:val="18"/>
                <w:szCs w:val="18"/>
              </w:rPr>
            </w:pPr>
            <w:r>
              <w:rPr>
                <w:rFonts w:hint="eastAsia"/>
                <w:sz w:val="18"/>
                <w:szCs w:val="18"/>
              </w:rPr>
              <w:t>序号</w:t>
            </w:r>
          </w:p>
        </w:tc>
        <w:tc>
          <w:tcPr>
            <w:tcW w:w="898" w:type="dxa"/>
            <w:vAlign w:val="center"/>
          </w:tcPr>
          <w:p w:rsidR="00990B99">
            <w:pPr>
              <w:jc w:val="center"/>
              <w:rPr>
                <w:sz w:val="18"/>
                <w:szCs w:val="18"/>
              </w:rPr>
            </w:pPr>
            <w:r>
              <w:rPr>
                <w:rFonts w:hint="eastAsia"/>
                <w:sz w:val="18"/>
                <w:szCs w:val="18"/>
              </w:rPr>
              <w:t>对应</w:t>
            </w:r>
          </w:p>
          <w:p w:rsidR="00990B99">
            <w:pPr>
              <w:jc w:val="center"/>
              <w:rPr>
                <w:sz w:val="18"/>
                <w:szCs w:val="18"/>
              </w:rPr>
            </w:pPr>
            <w:r>
              <w:rPr>
                <w:rFonts w:hint="eastAsia"/>
                <w:sz w:val="18"/>
                <w:szCs w:val="18"/>
              </w:rPr>
              <w:t>条款号</w:t>
            </w:r>
          </w:p>
        </w:tc>
        <w:tc>
          <w:tcPr>
            <w:tcW w:w="7347" w:type="dxa"/>
            <w:vAlign w:val="center"/>
          </w:tcPr>
          <w:p w:rsidR="00990B9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990B9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990B99">
            <w:pPr>
              <w:tabs>
                <w:tab w:val="left" w:pos="709"/>
              </w:tabs>
              <w:spacing w:line="360" w:lineRule="auto"/>
              <w:jc w:val="left"/>
              <w:rPr>
                <w:rFonts w:ascii="宋体" w:hAnsi="宋体" w:cs="微软雅黑"/>
                <w:b/>
                <w:color w:val="0000FF"/>
                <w:kern w:val="0"/>
                <w:sz w:val="18"/>
                <w:szCs w:val="18"/>
              </w:rPr>
            </w:pP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sz w:val="18"/>
                <w:szCs w:val="18"/>
              </w:rPr>
              <w:t>……</w:t>
            </w:r>
          </w:p>
        </w:tc>
        <w:tc>
          <w:tcPr>
            <w:tcW w:w="7347" w:type="dxa"/>
            <w:vAlign w:val="center"/>
          </w:tcPr>
          <w:p w:rsidR="00990B99">
            <w:pPr>
              <w:rPr>
                <w:rFonts w:cs="微软雅黑"/>
                <w:b/>
                <w:color w:val="0000FF"/>
                <w:kern w:val="0"/>
                <w:sz w:val="18"/>
                <w:szCs w:val="18"/>
              </w:rPr>
            </w:pPr>
            <w:r>
              <w:rPr>
                <w:rFonts w:cs="微软雅黑"/>
                <w:b/>
                <w:color w:val="0000FF"/>
                <w:kern w:val="0"/>
                <w:sz w:val="18"/>
                <w:szCs w:val="18"/>
              </w:rPr>
              <w:t>……</w:t>
            </w: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sz w:val="18"/>
                <w:szCs w:val="18"/>
              </w:rPr>
              <w:t>……</w:t>
            </w:r>
          </w:p>
        </w:tc>
        <w:tc>
          <w:tcPr>
            <w:tcW w:w="7347" w:type="dxa"/>
            <w:vAlign w:val="center"/>
          </w:tcPr>
          <w:p w:rsidR="00990B99">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sz w:val="18"/>
                <w:szCs w:val="18"/>
              </w:rPr>
              <w:t>……</w:t>
            </w:r>
          </w:p>
        </w:tc>
        <w:tc>
          <w:tcPr>
            <w:tcW w:w="7347" w:type="dxa"/>
            <w:vAlign w:val="center"/>
          </w:tcPr>
          <w:p w:rsidR="00990B99">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sz w:val="18"/>
                <w:szCs w:val="18"/>
              </w:rPr>
              <w:t>……</w:t>
            </w:r>
          </w:p>
        </w:tc>
        <w:tc>
          <w:tcPr>
            <w:tcW w:w="7347" w:type="dxa"/>
            <w:vAlign w:val="center"/>
          </w:tcPr>
          <w:p w:rsidR="00990B99">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990B9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990B99">
            <w:pPr>
              <w:numPr>
                <w:ilvl w:val="0"/>
                <w:numId w:val="16"/>
              </w:numPr>
              <w:rPr>
                <w:rFonts w:ascii="宋体" w:hAnsi="宋体"/>
                <w:sz w:val="18"/>
                <w:szCs w:val="18"/>
              </w:rPr>
            </w:pPr>
          </w:p>
        </w:tc>
        <w:tc>
          <w:tcPr>
            <w:tcW w:w="898" w:type="dxa"/>
            <w:vAlign w:val="center"/>
          </w:tcPr>
          <w:p w:rsidR="00990B99">
            <w:pPr>
              <w:jc w:val="center"/>
              <w:rPr>
                <w:rFonts w:ascii="宋体" w:hAnsi="宋体"/>
                <w:sz w:val="18"/>
                <w:szCs w:val="18"/>
              </w:rPr>
            </w:pPr>
            <w:r>
              <w:rPr>
                <w:rFonts w:ascii="宋体" w:hAnsi="宋体"/>
                <w:sz w:val="18"/>
                <w:szCs w:val="18"/>
              </w:rPr>
              <w:t>……</w:t>
            </w:r>
          </w:p>
        </w:tc>
        <w:tc>
          <w:tcPr>
            <w:tcW w:w="7347" w:type="dxa"/>
            <w:vAlign w:val="center"/>
          </w:tcPr>
          <w:p w:rsidR="00990B99">
            <w:pPr>
              <w:tabs>
                <w:tab w:val="left" w:pos="709"/>
              </w:tabs>
              <w:spacing w:line="360" w:lineRule="auto"/>
              <w:jc w:val="left"/>
              <w:rPr>
                <w:rFonts w:ascii="宋体" w:hAnsi="宋体"/>
                <w:sz w:val="18"/>
                <w:szCs w:val="18"/>
              </w:rPr>
            </w:pPr>
            <w:r w:rsidRPr="00E64838">
              <w:rPr>
                <w:rFonts w:ascii="宋体" w:hAnsi="宋体" w:cs="微软雅黑" w:hint="eastAsia"/>
                <w:b/>
                <w:color w:val="0000FF"/>
                <w:kern w:val="0"/>
                <w:sz w:val="18"/>
                <w:szCs w:val="18"/>
              </w:rPr>
              <w:t>备品备件质保期自合同验收通过之日起算，设备质保期为2年。</w:t>
            </w:r>
          </w:p>
        </w:tc>
      </w:tr>
    </w:tbl>
    <w:p w:rsidR="00990B99">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990B99">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964BC">
      <w:pPr>
        <w:numPr>
          <w:ilvl w:val="0"/>
          <w:numId w:val="7"/>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3964BC">
      <w:pPr>
        <w:spacing w:line="360" w:lineRule="auto"/>
        <w:ind w:left="1680" w:firstLine="420"/>
        <w:jc w:val="left"/>
        <w:rPr>
          <w:b/>
          <w:bCs/>
          <w:szCs w:val="21"/>
        </w:rPr>
      </w:pPr>
      <w:r>
        <w:rPr>
          <w:rFonts w:hint="eastAsia"/>
          <w:b/>
          <w:bCs/>
          <w:szCs w:val="21"/>
        </w:rPr>
        <w:t>必须明确合同金额支付条件及支付比例</w:t>
      </w:r>
    </w:p>
    <w:p w:rsidR="003964BC">
      <w:pPr>
        <w:pStyle w:val="BodyText"/>
        <w:spacing w:after="0"/>
        <w:jc w:val="center"/>
        <w:rPr>
          <w:rFonts w:ascii="宋体" w:hAnsi="宋体" w:cs="宋体"/>
          <w:b/>
          <w:bCs/>
          <w:spacing w:val="-20"/>
          <w:kern w:val="44"/>
          <w:sz w:val="48"/>
          <w:szCs w:val="48"/>
        </w:rPr>
      </w:pPr>
      <w:r>
        <w:rPr>
          <w:b/>
          <w:bCs/>
          <w:szCs w:val="21"/>
        </w:rPr>
        <w:br w:type="page"/>
      </w:r>
      <w:bookmarkStart w:id="70" w:name="_Toc3995"/>
    </w:p>
    <w:p w:rsidR="003964BC">
      <w:pPr>
        <w:pStyle w:val="BodyText"/>
        <w:spacing w:after="0"/>
        <w:jc w:val="center"/>
        <w:rPr>
          <w:rFonts w:ascii="宋体" w:hAnsi="宋体" w:cs="宋体"/>
          <w:b/>
          <w:bCs/>
          <w:spacing w:val="-20"/>
          <w:kern w:val="44"/>
          <w:sz w:val="48"/>
          <w:szCs w:val="48"/>
        </w:rPr>
      </w:pPr>
    </w:p>
    <w:p w:rsidR="003964BC">
      <w:pPr>
        <w:pStyle w:val="BodyText"/>
        <w:spacing w:after="0"/>
        <w:jc w:val="center"/>
        <w:rPr>
          <w:rFonts w:ascii="宋体" w:hAnsi="宋体" w:cs="宋体"/>
          <w:b/>
          <w:bCs/>
          <w:spacing w:val="-20"/>
          <w:kern w:val="44"/>
          <w:sz w:val="48"/>
          <w:szCs w:val="48"/>
        </w:rPr>
      </w:pPr>
    </w:p>
    <w:p w:rsidR="003964BC">
      <w:pPr>
        <w:pStyle w:val="BodyText"/>
        <w:spacing w:after="0"/>
        <w:jc w:val="center"/>
        <w:rPr>
          <w:rFonts w:ascii="宋体" w:hAnsi="宋体" w:cs="宋体"/>
          <w:b/>
          <w:bCs/>
          <w:spacing w:val="-20"/>
          <w:kern w:val="44"/>
          <w:sz w:val="48"/>
          <w:szCs w:val="48"/>
        </w:rPr>
      </w:pPr>
    </w:p>
    <w:p w:rsidR="003964BC">
      <w:pPr>
        <w:pStyle w:val="BodyText"/>
        <w:spacing w:after="0"/>
        <w:jc w:val="center"/>
        <w:rPr>
          <w:rFonts w:ascii="宋体" w:hAnsi="宋体" w:cs="宋体"/>
          <w:b/>
          <w:bCs/>
          <w:spacing w:val="-20"/>
          <w:kern w:val="44"/>
          <w:sz w:val="48"/>
          <w:szCs w:val="48"/>
        </w:rPr>
      </w:pPr>
    </w:p>
    <w:p w:rsidR="003964B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3964BC">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3964BC">
      <w:pPr>
        <w:rPr>
          <w:rFonts w:ascii="宋体" w:hAnsi="宋体" w:cs="宋体"/>
          <w:b/>
          <w:bCs/>
          <w:spacing w:val="-20"/>
          <w:kern w:val="44"/>
          <w:sz w:val="40"/>
          <w:szCs w:val="40"/>
        </w:rPr>
      </w:pPr>
    </w:p>
    <w:p w:rsidR="003964BC">
      <w:pPr>
        <w:rPr>
          <w:rFonts w:ascii="宋体" w:hAnsi="宋体" w:cs="宋体"/>
          <w:b/>
          <w:bCs/>
          <w:spacing w:val="-20"/>
          <w:kern w:val="44"/>
          <w:sz w:val="40"/>
          <w:szCs w:val="40"/>
        </w:rPr>
      </w:pPr>
    </w:p>
    <w:p w:rsidR="003964BC">
      <w:pPr>
        <w:rPr>
          <w:rFonts w:ascii="宋体" w:hAnsi="宋体" w:cs="宋体"/>
          <w:b/>
          <w:bCs/>
          <w:spacing w:val="-20"/>
          <w:kern w:val="44"/>
          <w:sz w:val="40"/>
          <w:szCs w:val="40"/>
        </w:rPr>
      </w:pPr>
    </w:p>
    <w:p w:rsidR="003964BC">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964BC">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964BC">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964BC">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964B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964BC"/>
    <w:p w:rsidR="003964BC">
      <w:pPr>
        <w:rPr>
          <w:rFonts w:eastAsia="黑体"/>
          <w:sz w:val="44"/>
          <w:szCs w:val="44"/>
        </w:rPr>
      </w:pPr>
      <w:r>
        <w:rPr>
          <w:rFonts w:eastAsia="黑体"/>
          <w:sz w:val="44"/>
          <w:szCs w:val="44"/>
        </w:rPr>
        <w:br w:type="page"/>
      </w:r>
    </w:p>
    <w:p w:rsidR="003964BC">
      <w:pPr>
        <w:rPr>
          <w:rFonts w:eastAsia="黑体"/>
          <w:sz w:val="44"/>
          <w:szCs w:val="44"/>
        </w:rPr>
      </w:pPr>
    </w:p>
    <w:p w:rsidR="003964BC">
      <w:pPr>
        <w:rPr>
          <w:rFonts w:eastAsia="黑体"/>
          <w:sz w:val="44"/>
          <w:szCs w:val="44"/>
        </w:rPr>
      </w:pPr>
    </w:p>
    <w:p w:rsidR="003964BC">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964BC">
      <w:pPr>
        <w:ind w:firstLine="640" w:firstLineChars="200"/>
        <w:rPr>
          <w:rFonts w:ascii="仿宋_GB2312" w:eastAsia="仿宋_GB2312" w:hAnsi="仿宋_GB2312" w:cs="仿宋_GB2312"/>
          <w:sz w:val="32"/>
          <w:szCs w:val="32"/>
        </w:rPr>
      </w:pPr>
    </w:p>
    <w:p w:rsidR="003964B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3964BC">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3964BC">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3964BC">
      <w:pPr>
        <w:rPr>
          <w:rFonts w:eastAsia="黑体"/>
          <w:sz w:val="44"/>
          <w:szCs w:val="44"/>
        </w:rPr>
        <w:sectPr>
          <w:pgSz w:w="11906" w:h="16838"/>
          <w:pgMar w:top="1440" w:right="1800" w:bottom="1440" w:left="1800" w:header="851" w:footer="992" w:gutter="0"/>
          <w:cols w:space="425"/>
          <w:docGrid w:type="lines" w:linePitch="312"/>
        </w:sectPr>
      </w:pPr>
    </w:p>
    <w:p w:rsidR="003964BC">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3964BC">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3964B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3964BC">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964BC">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964BC">
      <w:pPr>
        <w:spacing w:line="400" w:lineRule="exact"/>
      </w:pPr>
    </w:p>
    <w:p w:rsidR="003964B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3964BC">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3964BC">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3964BC">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964BC">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964BC">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3964BC">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964BC">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964BC">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3964B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964B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3964B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3964B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964B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964B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964BC">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3964BC">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3964BC">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964BC">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3964BC">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964BC">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964BC">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964BC">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964BC">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964B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3964B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3964BC">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3964B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3964BC">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3964BC">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3964BC">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3964BC">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964B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964BC">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3964BC">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3964BC">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964B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3964BC">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964B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964B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964B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3964BC">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964B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964BC">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964BC">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3964BC">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3964BC">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964BC">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964B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964BC">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3964B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964B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3964BC">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964B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3964BC">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3964BC">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3964BC">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3964B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715A27">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p>
    <w:p w:rsidR="00715A27" w:rsidRPr="00715A27" w:rsidP="00715A27">
      <w:pPr>
        <w:snapToGrid w:val="0"/>
        <w:spacing w:line="400" w:lineRule="exact"/>
        <w:ind w:firstLine="630" w:firstLineChars="300"/>
        <w:rPr>
          <w:rFonts w:ascii="宋体" w:hAnsi="宋体"/>
          <w:szCs w:val="21"/>
          <w:highlight w:val="yellow"/>
        </w:rPr>
      </w:pPr>
      <w:r w:rsidRPr="00715A27">
        <w:rPr>
          <w:rFonts w:ascii="宋体" w:hAnsi="宋体" w:hint="eastAsia"/>
          <w:szCs w:val="21"/>
        </w:rPr>
        <w:t xml:space="preserve"> </w:t>
      </w:r>
      <w:r w:rsidRPr="00715A27">
        <w:rPr>
          <w:rFonts w:ascii="宋体" w:hAnsi="宋体" w:hint="eastAsia"/>
          <w:szCs w:val="21"/>
          <w:highlight w:val="yellow"/>
        </w:rPr>
        <w:t>1）合同生效后付款：双方签署合同后10个工作日内，甲方向乙方支付合同总金额的</w:t>
      </w:r>
      <w:r>
        <w:rPr>
          <w:rFonts w:ascii="宋体" w:hAnsi="宋体"/>
          <w:szCs w:val="21"/>
          <w:highlight w:val="yellow"/>
        </w:rPr>
        <w:t>5</w:t>
      </w:r>
      <w:r w:rsidRPr="00715A27">
        <w:rPr>
          <w:rFonts w:ascii="宋体" w:hAnsi="宋体" w:hint="eastAsia"/>
          <w:szCs w:val="21"/>
          <w:highlight w:val="yellow"/>
        </w:rPr>
        <w:t>0%；</w:t>
      </w:r>
    </w:p>
    <w:p w:rsidR="00715A27" w:rsidRPr="00715A27" w:rsidP="00715A27">
      <w:pPr>
        <w:snapToGrid w:val="0"/>
        <w:spacing w:line="400" w:lineRule="exact"/>
        <w:ind w:firstLine="630" w:firstLineChars="300"/>
        <w:rPr>
          <w:rFonts w:ascii="宋体" w:hAnsi="宋体"/>
          <w:szCs w:val="21"/>
          <w:highlight w:val="yellow"/>
        </w:rPr>
      </w:pPr>
      <w:r w:rsidRPr="00715A27">
        <w:rPr>
          <w:rFonts w:ascii="宋体" w:hAnsi="宋体" w:hint="eastAsia"/>
          <w:szCs w:val="21"/>
          <w:highlight w:val="yellow"/>
        </w:rPr>
        <w:t>2）货物（指年巡检以外的备品备件）交付后：双方签署货物交付单据后10个工作日内，甲方向乙方支付合同总金额的</w:t>
      </w:r>
      <w:r>
        <w:rPr>
          <w:rFonts w:ascii="宋体" w:hAnsi="宋体"/>
          <w:szCs w:val="21"/>
          <w:highlight w:val="yellow"/>
        </w:rPr>
        <w:t>3</w:t>
      </w:r>
      <w:r w:rsidRPr="00715A27">
        <w:rPr>
          <w:rFonts w:ascii="宋体" w:hAnsi="宋体" w:hint="eastAsia"/>
          <w:szCs w:val="21"/>
          <w:highlight w:val="yellow"/>
        </w:rPr>
        <w:t>0%；</w:t>
      </w:r>
    </w:p>
    <w:p w:rsidR="003964BC" w:rsidRPr="00715A27" w:rsidP="00715A27">
      <w:pPr>
        <w:snapToGrid w:val="0"/>
        <w:spacing w:line="400" w:lineRule="exact"/>
        <w:ind w:firstLine="630" w:firstLineChars="300"/>
        <w:rPr>
          <w:rFonts w:ascii="宋体" w:hAnsi="宋体"/>
          <w:szCs w:val="21"/>
        </w:rPr>
      </w:pPr>
      <w:r w:rsidRPr="00715A27">
        <w:rPr>
          <w:rFonts w:ascii="宋体" w:hAnsi="宋体" w:hint="eastAsia"/>
          <w:szCs w:val="21"/>
          <w:highlight w:val="yellow"/>
        </w:rPr>
        <w:t>3）合同验收通过后付款：合同验收通过后10个工作日内，成交供应商提供合同总金额</w:t>
      </w:r>
      <w:r w:rsidRPr="00715A27">
        <w:rPr>
          <w:rFonts w:ascii="宋体" w:hAnsi="宋体"/>
          <w:szCs w:val="21"/>
          <w:highlight w:val="yellow"/>
        </w:rPr>
        <w:t>5%</w:t>
      </w:r>
      <w:r w:rsidRPr="00715A27">
        <w:rPr>
          <w:rFonts w:ascii="宋体" w:hAnsi="宋体" w:hint="eastAsia"/>
          <w:szCs w:val="21"/>
          <w:highlight w:val="yellow"/>
        </w:rPr>
        <w:t>的质保保函。收到质保保函后，甲方向乙方支付合同总金额的20%</w:t>
      </w:r>
    </w:p>
    <w:p w:rsidR="003964BC">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3964BC">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3964BC">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3964BC">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964BC">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3964BC">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3964BC">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3964BC">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3964BC">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3964BC">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3964BC">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3964BC">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3964B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3964BC">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964BC">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964BC">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964B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3964B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3964BC">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3964BC">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3964B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3964BC">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3964BC">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3964BC">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3964BC">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964BC">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964BC">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3964BC">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964BC">
      <w:r>
        <w:rPr>
          <w:rFonts w:hint="eastAsia"/>
        </w:rPr>
        <w:br w:type="page"/>
      </w:r>
    </w:p>
    <w:p w:rsidR="003964BC">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964BC">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964BC">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法定代表人</w:t>
            </w:r>
          </w:p>
          <w:p w:rsidR="003964BC">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法定代表人</w:t>
            </w:r>
          </w:p>
          <w:p w:rsidR="003964BC">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964BC">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964BC">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964BC">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964BC">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3964BC">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964B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964BC">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3964B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964B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964B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3964B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964B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964BC">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3964BC">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964BC">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964B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964BC">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964B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964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964BC">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964BC">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964BC">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3964BC">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964B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964BC">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3964BC">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3964BC">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3964BC">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964BC">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964BC">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3964BC">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964BC">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3964BC">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3964B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3964BC">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3964B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3964BC">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3964BC">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3964BC">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964BC">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964BC">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3964BC">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3964BC">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3964BC">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964BC">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964BC">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964BC">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3964BC">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3964BC">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3964BC">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3964BC">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964BC">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964BC">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964B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3964B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3964BC">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3964BC">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964BC">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964BC">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3964BC">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3964BC">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3964BC">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3964BC">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3964BC">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3964BC">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3964BC">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3964BC">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3964BC">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3964BC">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3964BC"/>
        </w:tc>
      </w:tr>
      <w:tr>
        <w:tblPrEx>
          <w:tblW w:w="8519" w:type="dxa"/>
          <w:tblInd w:w="108" w:type="dxa"/>
          <w:tblLayout w:type="fixed"/>
          <w:tblLook w:val="04A0"/>
        </w:tblPrEx>
        <w:trPr>
          <w:trHeight w:val="667"/>
        </w:trPr>
        <w:tc>
          <w:tcPr>
            <w:tcW w:w="1607" w:type="dxa"/>
            <w:vMerge/>
            <w:vAlign w:val="center"/>
          </w:tcPr>
          <w:p w:rsidR="003964BC">
            <w:pPr>
              <w:adjustRightInd w:val="0"/>
              <w:snapToGrid w:val="0"/>
              <w:jc w:val="center"/>
              <w:rPr>
                <w:rFonts w:ascii="宋体" w:hAnsi="宋体"/>
                <w:szCs w:val="21"/>
              </w:rPr>
            </w:pPr>
          </w:p>
        </w:tc>
        <w:tc>
          <w:tcPr>
            <w:tcW w:w="1742" w:type="dxa"/>
            <w:vAlign w:val="center"/>
          </w:tcPr>
          <w:p w:rsidR="003964BC">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3964BC"/>
        </w:tc>
      </w:tr>
      <w:tr>
        <w:tblPrEx>
          <w:tblW w:w="8519" w:type="dxa"/>
          <w:tblInd w:w="108" w:type="dxa"/>
          <w:tblLayout w:type="fixed"/>
          <w:tblLook w:val="04A0"/>
        </w:tblPrEx>
        <w:trPr>
          <w:trHeight w:val="772"/>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3964BC"/>
        </w:tc>
      </w:tr>
      <w:tr>
        <w:tblPrEx>
          <w:tblW w:w="8519" w:type="dxa"/>
          <w:tblInd w:w="108" w:type="dxa"/>
          <w:tblLayout w:type="fixed"/>
          <w:tblLook w:val="04A0"/>
        </w:tblPrEx>
        <w:trPr>
          <w:trHeight w:val="667"/>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3964BC"/>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3964BC">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货物质量缺陷</w:t>
            </w:r>
          </w:p>
          <w:p w:rsidR="003964BC">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snapToGrid w:val="0"/>
              <w:jc w:val="center"/>
              <w:rPr>
                <w:rFonts w:ascii="宋体" w:hAnsi="宋体" w:cs="宋体"/>
                <w:szCs w:val="21"/>
              </w:rPr>
            </w:pPr>
            <w:r>
              <w:rPr>
                <w:rFonts w:ascii="宋体" w:hAnsi="宋体" w:cs="宋体" w:hint="eastAsia"/>
                <w:szCs w:val="21"/>
              </w:rPr>
              <w:t>第二节</w:t>
            </w:r>
          </w:p>
          <w:p w:rsidR="003964BC">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3964BC">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3964BC">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3964BC">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3964BC">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3964BC">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964BC">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3964BC">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964B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964BC">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964BC">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964BC">
            <w:pPr>
              <w:adjustRightInd w:val="0"/>
              <w:snapToGrid w:val="0"/>
              <w:jc w:val="center"/>
              <w:rPr>
                <w:rFonts w:ascii="宋体" w:hAnsi="宋体"/>
                <w:szCs w:val="21"/>
              </w:rPr>
            </w:pPr>
            <w:r>
              <w:rPr>
                <w:rFonts w:ascii="宋体" w:hAnsi="宋体" w:hint="eastAsia"/>
                <w:szCs w:val="21"/>
              </w:rPr>
              <w:t>第二节</w:t>
            </w:r>
          </w:p>
          <w:p w:rsidR="003964BC">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3964BC">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3964BC">
            <w:pPr>
              <w:adjustRightInd w:val="0"/>
              <w:snapToGrid w:val="0"/>
              <w:jc w:val="left"/>
              <w:rPr>
                <w:rFonts w:ascii="宋体" w:hAnsi="宋体"/>
                <w:szCs w:val="21"/>
              </w:rPr>
            </w:pPr>
          </w:p>
        </w:tc>
      </w:tr>
    </w:tbl>
    <w:p w:rsidR="003964BC"/>
    <w:p w:rsidR="003964BC">
      <w:pPr>
        <w:rPr>
          <w:b/>
          <w:bCs/>
          <w:sz w:val="44"/>
          <w:szCs w:val="44"/>
        </w:rPr>
      </w:pPr>
    </w:p>
    <w:p w:rsidR="003964BC"/>
    <w:p w:rsidR="00A77B3E"/>
    <w:p w:rsidR="003964BC">
      <w:pPr>
        <w:numPr>
          <w:ilvl w:val="0"/>
          <w:numId w:val="7"/>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S Gothic">
    <w:altName w:val="宋体"/>
    <w:panose1 w:val="020B0609070205080204"/>
    <w:charset w:val="80"/>
    <w:family w:val="modern"/>
    <w:pitch w:val="default"/>
    <w:sig w:usb0="00000000" w:usb1="00000000" w:usb2="08000012" w:usb3="00000000" w:csb0="0002009F"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8CF0A68"/>
    <w:multiLevelType w:val="singleLevel"/>
    <w:tmpl w:val="98CF0A68"/>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A0DF9B4"/>
    <w:multiLevelType w:val="singleLevel"/>
    <w:tmpl w:val="FA0DF9B4"/>
    <w:lvl w:ilvl="0">
      <w:start w:val="1"/>
      <w:numFmt w:val="decimal"/>
      <w:suff w:val="nothing"/>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5D6924E5"/>
    <w:multiLevelType w:val="singleLevel"/>
    <w:tmpl w:val="5D6924E5"/>
    <w:lvl w:ilvl="0">
      <w:start w:val="2"/>
      <w:numFmt w:val="decimal"/>
      <w:lvlText w:val="%1."/>
      <w:lvlJc w:val="left"/>
      <w:pPr>
        <w:tabs>
          <w:tab w:val="left" w:pos="312"/>
        </w:tabs>
      </w:pPr>
    </w:lvl>
  </w:abstractNum>
  <w:abstractNum w:abstractNumId="15">
    <w:nsid w:val="7A0F6431"/>
    <w:multiLevelType w:val="singleLevel"/>
    <w:tmpl w:val="7A0F6431"/>
    <w:lvl w:ilvl="0">
      <w:start w:val="1"/>
      <w:numFmt w:val="decimal"/>
      <w:suff w:val="space"/>
      <w:lvlText w:val="%1."/>
      <w:lvlJc w:val="left"/>
    </w:lvl>
  </w:abstractNum>
  <w:num w:numId="1">
    <w:abstractNumId w:val="9"/>
  </w:num>
  <w:num w:numId="2">
    <w:abstractNumId w:val="8"/>
  </w:num>
  <w:num w:numId="3">
    <w:abstractNumId w:val="10"/>
  </w:num>
  <w:num w:numId="4">
    <w:abstractNumId w:val="0"/>
  </w:num>
  <w:num w:numId="5">
    <w:abstractNumId w:val="14"/>
  </w:num>
  <w:num w:numId="6">
    <w:abstractNumId w:val="6"/>
  </w:num>
  <w:num w:numId="7">
    <w:abstractNumId w:val="13"/>
  </w:num>
  <w:num w:numId="8">
    <w:abstractNumId w:val="15"/>
  </w:num>
  <w:num w:numId="9">
    <w:abstractNumId w:val="2"/>
  </w:num>
  <w:num w:numId="10">
    <w:abstractNumId w:val="7"/>
  </w:num>
  <w:num w:numId="11">
    <w:abstractNumId w:val="4"/>
  </w:num>
  <w:num w:numId="12">
    <w:abstractNumId w:val="3"/>
  </w:num>
  <w:num w:numId="13">
    <w:abstractNumId w:val="12"/>
  </w:num>
  <w:num w:numId="14">
    <w:abstractNumId w:val="1"/>
  </w:num>
  <w:num w:numId="15">
    <w:abstractNumId w:val="5"/>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64BC"/>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2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B99"/>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4838"/>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