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国家气象信息中心全国会商主控系统运维服务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ZQCD-26136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国家气象信息中心全国会商主控系统运维服务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ZQCD-26136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2026年 8 月 7 日至 2027年8 月 6 日</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2026年07月06日 00:00:00</w:t>
      </w:r>
      <w:bookmarkEnd w:id="26"/>
      <w:r>
        <w:rPr>
          <w:rFonts w:ascii="宋体" w:hint="eastAsia"/>
          <w:szCs w:val="21"/>
          <w:highlight w:val="none"/>
        </w:rPr>
        <w:t>至</w:t>
      </w:r>
      <w:bookmarkStart w:id="27" w:name="项目公告_signUpLastTime"/>
      <w:r>
        <w:rPr>
          <w:rFonts w:ascii="宋体" w:hint="eastAsia"/>
          <w:szCs w:val="21"/>
          <w:highlight w:val="none"/>
        </w:rPr>
        <w:t>2026年07月15日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2026年07月27日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贺俊彦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010-58995646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中关村南大街46号院北区15号楼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标的：系统运维服务，属于 软件和信息技术服务业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是，代理服务费：1.3万元。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78.000000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78.000000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20"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3"/>
        <w:gridCol w:w="301"/>
        <w:gridCol w:w="1533"/>
        <w:gridCol w:w="301"/>
        <w:gridCol w:w="716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采用低价优先法计算，公式：投标人得分=评标基准价/评标价×25</w:t>
            </w:r>
          </w:p>
          <w:p>
            <w:r>
              <w:t>评审标准说明：</w:t>
            </w:r>
          </w:p>
          <w:p>
            <w:r>
              <w:t>1、评标基准价：满足招标文件要求，且经过价格扣除后的最低投标价。</w:t>
              <w:cr/>
              <w:t>2、评标价：经过价格扣除的投标价。</w:t>
              <w:cr/>
              <w:t>3、按上述公式计算出每个投标单位的投标报价得分，保留小数点后二位，小数点后第三位四舍五入。</w:t>
              <w:cr/>
              <w:t>4、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ISO20000信息技术服务管理体系证书得2分，否则不得分。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销售合同必须包括与本项目类似的服务项目，每提供1份合同得1.5分，最多得6分。否则不得分。</w:t>
            </w:r>
          </w:p>
          <w:p>
            <w:r>
              <w:t>评审标准说明：</w:t>
            </w:r>
          </w:p>
          <w:p>
            <w:r>
              <w:t>1、须提供投标人的相关服务合同（必须包括合同首页、金额页、标的页、签字盖章页）复印件并加盖投标人公章。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客户满意度（客观分）</w:t>
            </w:r>
          </w:p>
        </w:tc>
        <w:tc>
          <w:tcPr/>
          <w:p>
            <w:r>
              <w:t>勾选打分</w:t>
            </w:r>
            <w:r>
              <w:t>(6)</w:t>
            </w:r>
          </w:p>
        </w:tc>
        <w:tc>
          <w:tcPr/>
          <w:p>
            <w:r>
              <w:t>评审标准：</w:t>
            </w:r>
          </w:p>
          <w:p>
            <w:r>
              <w:t>投标人提供至投标截止日客户单位出具的与本项目类似的服务项目用户满意度证明文件，每提供一份得1.5分，最多6分。</w:t>
            </w:r>
          </w:p>
          <w:p>
            <w:r>
              <w:t>评审标准说明：</w:t>
            </w:r>
          </w:p>
          <w:p>
            <w:r>
              <w:t>同一客户单位出具多份满意度证明文件的按一份计算；证明文件需加盖投标人公章</w:t>
            </w:r>
          </w:p>
          <w:p/>
        </w:tc>
      </w:tr>
      <w:tr>
        <w:tblPrEx>
          <w:tblW w:w="5000" w:type="pct"/>
          <w:tblCellMar>
            <w:left w:w="108" w:type="dxa"/>
            <w:right w:w="108" w:type="dxa"/>
          </w:tblCellMar>
        </w:tblPrEx>
        <w:tc>
          <w:tcPr/>
          <w:p>
            <w:r>
              <w:t>5</w:t>
            </w:r>
          </w:p>
        </w:tc>
        <w:tc>
          <w:tcPr>
            <w:vMerge/>
          </w:tcPr>
          <w:p>
            <w:r>
              <w:t>服务部分</w:t>
            </w:r>
          </w:p>
        </w:tc>
        <w:tc>
          <w:tcPr/>
          <w:p>
            <w:r>
              <w:t>技术团队（客观分）</w:t>
            </w:r>
          </w:p>
        </w:tc>
        <w:tc>
          <w:tcPr/>
          <w:p>
            <w:r>
              <w:t>勾选打分</w:t>
            </w:r>
            <w:r>
              <w:t>(6)</w:t>
            </w:r>
          </w:p>
        </w:tc>
        <w:tc>
          <w:tcPr/>
          <w:p>
            <w:r>
              <w:t>评审标准：</w:t>
            </w:r>
          </w:p>
          <w:p>
            <w:r>
              <w:t>1、服务团队人员中每有一人具有信息安全保障人员认证证书得 1.5 分，最多得3 分。</w:t>
              <w:cr/>
              <w:t>2、服务团队人员中每有一人具有信息系统项目管理师证书得 1.5 分，最多得3 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售后服务（客观分）</w:t>
            </w:r>
          </w:p>
        </w:tc>
        <w:tc>
          <w:tcPr/>
          <w:p>
            <w:r>
              <w:t>勾选打分</w:t>
            </w:r>
            <w:r>
              <w:t>(20)</w:t>
            </w:r>
          </w:p>
        </w:tc>
        <w:tc>
          <w:tcPr/>
          <w:p>
            <w:r>
              <w:t>评审标准：</w:t>
            </w:r>
          </w:p>
          <w:p>
            <w:r>
              <w:t>对于服务清单中的 5  种核心部件，每提供一种核心部件的售后服务承诺书得4 分，满分20分，否则不得分。5种核心部件是指：（1）华为 2 套多点控制单元(MCU) VP9660 硬件、视频终端 及smc软件平台；（2）恒泰实达 V3C 可视化导播系统 V2.0 硬件及软件平台；（3）巨洋神州VCVS-WLED70英寸显示单元；（4）利亚德TWS012小间距 LED 屏；（5）英飞INFREE无纸化办公系统。</w:t>
            </w:r>
          </w:p>
          <w:p>
            <w:r>
              <w:t>评审标准说明：</w:t>
            </w:r>
          </w:p>
          <w:p>
            <w:r>
              <w:t>1、承诺书的售后服务期限为本次招标要求的服务周期内，且为原厂商出具并加盖原厂商印章。否则无效，视同未提供。</w:t>
              <w:cr/>
              <w:t>2、所有材料需加盖投标人公章。</w:t>
            </w:r>
          </w:p>
          <w:p/>
        </w:tc>
      </w:tr>
      <w:tr>
        <w:tblPrEx>
          <w:tblW w:w="5000" w:type="pct"/>
          <w:tblCellMar>
            <w:left w:w="108" w:type="dxa"/>
            <w:right w:w="108" w:type="dxa"/>
          </w:tblCellMar>
        </w:tblPrEx>
        <w:tc>
          <w:tcPr/>
          <w:p>
            <w:r>
              <w:t>7</w:t>
            </w:r>
          </w:p>
        </w:tc>
        <w:tc>
          <w:tcPr>
            <w:vMerge/>
          </w:tcPr>
          <w:p>
            <w:r>
              <w:t>服务部分</w:t>
            </w:r>
          </w:p>
        </w:tc>
        <w:tc>
          <w:tcPr/>
          <w:p>
            <w:r>
              <w:t>服务响应及时承诺</w:t>
            </w:r>
          </w:p>
        </w:tc>
        <w:tc>
          <w:tcPr/>
          <w:p>
            <w:r>
              <w:t>勾选打分</w:t>
            </w:r>
            <w:r>
              <w:t>(5)</w:t>
            </w:r>
          </w:p>
        </w:tc>
        <w:tc>
          <w:tcPr/>
          <w:p>
            <w:r>
              <w:t>评审标准：</w:t>
            </w:r>
          </w:p>
          <w:p>
            <w:r>
              <w:t>1、承诺接到故障通知后，安排专业维护工程师解答问题，根据故障现象，分析故障原因，根据初步判断后30 分钟内做出响应，2 小时内提供技术支持服务，并根据需要采取远程或现场方式对问题进行处置，故障恢复时间不超过2小时。得1分。</w:t>
              <w:cr/>
              <w:t>2、承诺接到故障通知后，安排专业维护工程师解答问题，根据故障现象，分析故障原因，根据初步判断后20 分钟内做出响应，1.5 小时内提供技术支持服务，并根据需要采取远程或现场方式对问题进行处置，故障恢复时间不超过1.5 小时。得3分。</w:t>
              <w:cr/>
              <w:t>3、承诺接到故障通知后，安排专业维护工程师解答问题，根据故障现象，分析故障原因，根据初步判断后 15 分钟内做出响应， 1小时内提供技术支持服务，并根据需要采取远程或现场方式对问题进行处置，故障恢复时间不超过 1 小时。得5分。</w:t>
            </w:r>
          </w:p>
          <w:p>
            <w:r>
              <w:t>评审标准说明：</w:t>
            </w:r>
          </w:p>
          <w:p>
            <w:r>
              <w:t>需同时提供专业的服务响应方案和承诺。未提供服务响应方案的，承诺无效，不得分。本项最高5分。</w:t>
              <w:cr/>
            </w:r>
          </w:p>
          <w:p/>
        </w:tc>
      </w:tr>
      <w:tr>
        <w:tblPrEx>
          <w:tblW w:w="5000" w:type="pct"/>
          <w:tblCellMar>
            <w:left w:w="108" w:type="dxa"/>
            <w:right w:w="108" w:type="dxa"/>
          </w:tblCellMar>
        </w:tblPrEx>
        <w:tc>
          <w:tcPr/>
          <w:p>
            <w:r>
              <w:t>8</w:t>
            </w:r>
          </w:p>
        </w:tc>
        <w:tc>
          <w:tcPr>
            <w:vMerge/>
          </w:tcPr>
          <w:p>
            <w:r>
              <w:t>服务部分</w:t>
            </w:r>
          </w:p>
        </w:tc>
        <w:tc>
          <w:tcPr/>
          <w:p>
            <w:r>
              <w:t>服务内容完整度</w:t>
            </w:r>
          </w:p>
        </w:tc>
        <w:tc>
          <w:tcPr/>
          <w:p>
            <w:r>
              <w:t>勾选打分</w:t>
            </w:r>
            <w:r>
              <w:t>(5)</w:t>
            </w:r>
          </w:p>
        </w:tc>
        <w:tc>
          <w:tcPr/>
          <w:p>
            <w:r>
              <w:t>评审标准：</w:t>
            </w:r>
          </w:p>
          <w:p>
            <w:r>
              <w:t>一档0分</w:t>
              <w:cr/>
              <w:t>二档1分</w:t>
              <w:cr/>
              <w:t>三档3分</w:t>
              <w:cr/>
              <w:t>四档5分</w:t>
            </w:r>
          </w:p>
          <w:p>
            <w:r>
              <w:t>评审标准说明：</w:t>
            </w:r>
          </w:p>
          <w:p>
            <w:r>
              <w:t>提供技术服务方案。服务内容应完整全面，满足采购人运维需求，包括服务范围、服务内容等，涵盖采购需求中各项服务内容。</w:t>
              <w:cr/>
              <w:t>一档：未提供技术服务方案；</w:t>
              <w:cr/>
              <w:t>二档：技术服务范围不完整，未涵盖采购需求中各项服务内容；</w:t>
              <w:cr/>
              <w:t>三档：技术服务范围完整，涵盖采购需求中各项服务内容，服务内容考虑有欠缺，能基本满足采购需求；</w:t>
              <w:cr/>
              <w:t>四档：技术服务范围完整，涵盖采购需求中各项服务内容，服务内容考虑全面，完全满足或优于采购需求。</w:t>
            </w:r>
          </w:p>
          <w:p/>
        </w:tc>
      </w:tr>
      <w:tr>
        <w:tblPrEx>
          <w:tblW w:w="5000" w:type="pct"/>
          <w:tblCellMar>
            <w:left w:w="108" w:type="dxa"/>
            <w:right w:w="108" w:type="dxa"/>
          </w:tblCellMar>
        </w:tblPrEx>
        <w:tc>
          <w:tcPr/>
          <w:p>
            <w:r>
              <w:t>9</w:t>
            </w:r>
          </w:p>
        </w:tc>
        <w:tc>
          <w:tcPr>
            <w:vMerge/>
          </w:tcPr>
          <w:p>
            <w:r>
              <w:t>服务部分</w:t>
            </w:r>
          </w:p>
        </w:tc>
        <w:tc>
          <w:tcPr/>
          <w:p>
            <w:r>
              <w:t>对技术方案响应总体评价</w:t>
            </w:r>
          </w:p>
        </w:tc>
        <w:tc>
          <w:tcPr/>
          <w:p>
            <w:r>
              <w:t>勾选打分</w:t>
            </w:r>
            <w:r>
              <w:t>(5)</w:t>
            </w:r>
          </w:p>
        </w:tc>
        <w:tc>
          <w:tcPr/>
          <w:p>
            <w:r>
              <w:t>评审标准：</w:t>
            </w:r>
          </w:p>
          <w:p>
            <w:r>
              <w:t>一档0分</w:t>
              <w:cr/>
              <w:t>二档1分</w:t>
              <w:cr/>
              <w:t>三档3分</w:t>
              <w:cr/>
              <w:t>四档5分</w:t>
            </w:r>
          </w:p>
          <w:p>
            <w:r>
              <w:t>评审标准说明：</w:t>
            </w:r>
          </w:p>
          <w:p>
            <w:r>
              <w:t>提供完整、合理、周全的技术方案。包括服务目标、服务方式、服务内容等，涵盖技术服务可能涉及的各项内容。</w:t>
              <w:cr/>
              <w:t>一档：未提供总体方案；</w:t>
              <w:cr/>
              <w:t>二档：总体方案对运维服务所涉及的各项工作不能有效涵盖，有大量遗漏；</w:t>
              <w:cr/>
              <w:t>三档：总体方案较为合理，对运维服务所涉及的各项工作涵盖的比较完整，但有个别遗漏；</w:t>
              <w:cr/>
              <w:t>四档：总体方案合理，考虑周全，对运维服务所涉及的各项工作涵盖的完整，无遗漏。</w:t>
            </w:r>
          </w:p>
          <w:p/>
        </w:tc>
      </w:tr>
      <w:tr>
        <w:tblPrEx>
          <w:tblW w:w="5000" w:type="pct"/>
          <w:tblCellMar>
            <w:left w:w="108" w:type="dxa"/>
            <w:right w:w="108" w:type="dxa"/>
          </w:tblCellMar>
        </w:tblPrEx>
        <w:tc>
          <w:tcPr/>
          <w:p>
            <w:r>
              <w:t>10</w:t>
            </w:r>
          </w:p>
        </w:tc>
        <w:tc>
          <w:tcPr>
            <w:vMerge/>
          </w:tcPr>
          <w:p>
            <w:r>
              <w:t>服务部分</w:t>
            </w:r>
          </w:p>
        </w:tc>
        <w:tc>
          <w:tcPr/>
          <w:p>
            <w:r>
              <w:t>技术支持方案实施可行性</w:t>
            </w:r>
          </w:p>
        </w:tc>
        <w:tc>
          <w:tcPr/>
          <w:p>
            <w:r>
              <w:t>勾选打分</w:t>
            </w:r>
            <w:r>
              <w:t>(5)</w:t>
            </w:r>
          </w:p>
        </w:tc>
        <w:tc>
          <w:tcPr/>
          <w:p>
            <w:r>
              <w:t>评审标准：</w:t>
            </w:r>
          </w:p>
          <w:p>
            <w:r>
              <w:t>一档0分</w:t>
              <w:cr/>
              <w:t>二档1分</w:t>
              <w:cr/>
              <w:t>三档3分</w:t>
              <w:cr/>
              <w:t>四档5分</w:t>
            </w:r>
          </w:p>
          <w:p>
            <w:r>
              <w:t>评审标准说明：</w:t>
            </w:r>
          </w:p>
          <w:p>
            <w:r>
              <w:t>提供技术支持方案。技术支持方案应具备可实施性和可操作性。包括合理的技术支持流程、人员配备、安全管理等方面。</w:t>
              <w:cr/>
              <w:t>一档：未提供技术支持方案；</w:t>
              <w:cr/>
              <w:t>二档：技术支持方案不完整（指缺失合理的技术支持流程、人员配备、安全管理）；</w:t>
              <w:cr/>
              <w:t>三档：技术支持方案完整，合理性、实施可行性一般，针对性一般；</w:t>
              <w:cr/>
              <w:t>四档：技术支持方案完整，合理性、实施可行性强，针对性强。</w:t>
            </w:r>
          </w:p>
          <w:p/>
        </w:tc>
      </w:tr>
      <w:tr>
        <w:tblPrEx>
          <w:tblW w:w="5000" w:type="pct"/>
          <w:tblCellMar>
            <w:left w:w="108" w:type="dxa"/>
            <w:right w:w="108" w:type="dxa"/>
          </w:tblCellMar>
        </w:tblPrEx>
        <w:tc>
          <w:tcPr/>
          <w:p>
            <w:r>
              <w:t>11</w:t>
            </w:r>
          </w:p>
        </w:tc>
        <w:tc>
          <w:tcPr>
            <w:vMerge/>
          </w:tcPr>
          <w:p>
            <w:r>
              <w:t>服务部分</w:t>
            </w:r>
          </w:p>
        </w:tc>
        <w:tc>
          <w:tcPr/>
          <w:p>
            <w:r>
              <w:t>驻场服务计划</w:t>
            </w:r>
          </w:p>
        </w:tc>
        <w:tc>
          <w:tcPr/>
          <w:p>
            <w:r>
              <w:t>勾选打分</w:t>
            </w:r>
            <w:r>
              <w:t>(5)</w:t>
            </w:r>
          </w:p>
        </w:tc>
        <w:tc>
          <w:tcPr/>
          <w:p>
            <w:r>
              <w:t>评审标准：</w:t>
            </w:r>
          </w:p>
          <w:p>
            <w:r>
              <w:t>一档0分</w:t>
              <w:cr/>
              <w:t>二档1分</w:t>
              <w:cr/>
              <w:t>三档3分</w:t>
              <w:cr/>
              <w:t>四档5分</w:t>
            </w:r>
          </w:p>
          <w:p>
            <w:r>
              <w:t>评审标准说明：</w:t>
            </w:r>
          </w:p>
          <w:p>
            <w:r>
              <w:t>提供驻场服务计划。制订的驻场服务计划应具备目标，响应，设计思路、服务内容、驻场服务时长等。</w:t>
              <w:cr/>
              <w:t>一档：未提供驻场服务计划；</w:t>
              <w:cr/>
              <w:t>二档：驻场服务计划不完整（指缺失目标，响应，设计思路、服务内容、驻场服务时长任意一项）；</w:t>
              <w:cr/>
              <w:t>三档：驻场服务计划完整，合理性可行性一般；</w:t>
              <w:cr/>
              <w:t>四档：驻场服务计划完整，合理性可行性强，目标明确、内容全面、设计周密科学。</w:t>
            </w:r>
          </w:p>
          <w:p/>
        </w:tc>
      </w:tr>
      <w:tr>
        <w:tblPrEx>
          <w:tblW w:w="5000" w:type="pct"/>
          <w:tblCellMar>
            <w:left w:w="108" w:type="dxa"/>
            <w:right w:w="108" w:type="dxa"/>
          </w:tblCellMar>
        </w:tblPrEx>
        <w:tc>
          <w:tcPr/>
          <w:p>
            <w:r>
              <w:t>12</w:t>
            </w:r>
          </w:p>
        </w:tc>
        <w:tc>
          <w:tcPr>
            <w:vMerge/>
          </w:tcPr>
          <w:p>
            <w:r>
              <w:t>服务部分</w:t>
            </w:r>
          </w:p>
        </w:tc>
        <w:tc>
          <w:tcPr/>
          <w:p>
            <w:r>
              <w:t>巡检服务计划</w:t>
            </w:r>
          </w:p>
        </w:tc>
        <w:tc>
          <w:tcPr/>
          <w:p>
            <w:r>
              <w:t>勾选打分</w:t>
            </w:r>
            <w:r>
              <w:t>(5)</w:t>
            </w:r>
          </w:p>
        </w:tc>
        <w:tc>
          <w:tcPr/>
          <w:p>
            <w:r>
              <w:t>评审标准：</w:t>
            </w:r>
          </w:p>
          <w:p>
            <w:r>
              <w:t>一档0分</w:t>
              <w:cr/>
              <w:t>二档1分</w:t>
              <w:cr/>
              <w:t>三档3分</w:t>
              <w:cr/>
              <w:t>四档5分</w:t>
            </w:r>
          </w:p>
          <w:p>
            <w:r>
              <w:t>评审标准说明：</w:t>
            </w:r>
          </w:p>
          <w:p>
            <w:r>
              <w:t>提供巡检服务计划。制订的巡检服务计划应目标明确，巡检内容全面，具有针对性，包括巡检计划安排、巡检目标、巡检内容等。</w:t>
              <w:cr/>
              <w:t>一档：未提供巡检计划；</w:t>
              <w:cr/>
              <w:t>二档：巡检计划不完整（指缺失巡检计划安排、巡检目标、巡检内容任意一项）；</w:t>
              <w:cr/>
              <w:t>三档：巡检计划完整，目标基本明确，巡检内容较全面，有一定针对性；</w:t>
              <w:cr/>
              <w:t>四档：巡检计划完整，目标明确，巡检内容全面并有针对性，设计周密科学。</w:t>
            </w:r>
          </w:p>
          <w:p/>
        </w:tc>
      </w:tr>
      <w:tr>
        <w:tblPrEx>
          <w:tblW w:w="5000" w:type="pct"/>
          <w:tblCellMar>
            <w:left w:w="108" w:type="dxa"/>
            <w:right w:w="108" w:type="dxa"/>
          </w:tblCellMar>
        </w:tblPrEx>
        <w:tc>
          <w:tcPr/>
          <w:p>
            <w:r>
              <w:t>13</w:t>
            </w:r>
          </w:p>
        </w:tc>
        <w:tc>
          <w:tcPr>
            <w:vMerge/>
          </w:tcPr>
          <w:p>
            <w:r>
              <w:t>服务部分</w:t>
            </w:r>
          </w:p>
        </w:tc>
        <w:tc>
          <w:tcPr/>
          <w:p>
            <w:r>
              <w:t>重大活动现场支持保障计划</w:t>
            </w:r>
          </w:p>
        </w:tc>
        <w:tc>
          <w:tcPr/>
          <w:p>
            <w:r>
              <w:t>勾选打分</w:t>
            </w:r>
            <w:r>
              <w:t>(5)</w:t>
            </w:r>
          </w:p>
        </w:tc>
        <w:tc>
          <w:tcPr/>
          <w:p>
            <w:r>
              <w:t>评审标准：</w:t>
            </w:r>
          </w:p>
          <w:p>
            <w:r>
              <w:t>一档0分</w:t>
              <w:cr/>
              <w:t>二档1分</w:t>
              <w:cr/>
              <w:t>三档3分</w:t>
              <w:cr/>
              <w:t>四档5分</w:t>
            </w:r>
          </w:p>
          <w:p>
            <w:r>
              <w:t>评审标准说明：</w:t>
            </w:r>
          </w:p>
          <w:p>
            <w:r>
              <w:t>提供重大活动现场支持保障计划。重大活动现场支持保障计划应设置合理的服务目标，与项目紧密贴合，包括重大活动现场支持保障期间服务目标、响应时间、重大活动现场支持保障内容等。</w:t>
              <w:cr/>
              <w:t>一档：未提供重大活动现场支持保障计划。</w:t>
              <w:cr/>
              <w:t>二档：重大活动现场支持保障计划不完整（指缺失重大活动现场支持保障期间服务目标、响应时间、重大活动现场支持保障内容任意一项）；</w:t>
              <w:cr/>
              <w:t>三档：重大活动现场支持保障计划完整，目标基本合理，内容较全面，有一定针对性，基本满足采购需求；</w:t>
              <w:cr/>
              <w:t>四档：重大活动现场支持保障计划完整、详细、具体，目标合理、内容全面、响应及时，针对性强，完全满足采购需求。</w:t>
            </w:r>
          </w:p>
          <w:p/>
        </w:tc>
      </w:tr>
      <w:tr>
        <w:tblPrEx>
          <w:tblW w:w="5000" w:type="pct"/>
          <w:tblCellMar>
            <w:left w:w="108" w:type="dxa"/>
            <w:right w:w="108" w:type="dxa"/>
          </w:tblCellMar>
        </w:tblPrEx>
        <w:tc>
          <w:tcPr/>
          <w:p>
            <w:r>
              <w:t>14</w:t>
            </w:r>
          </w:p>
        </w:tc>
        <w:tc>
          <w:tcPr>
            <w:vMerge/>
          </w:tcPr>
          <w:p>
            <w:r>
              <w:t>服务部分</w:t>
            </w:r>
          </w:p>
        </w:tc>
        <w:tc>
          <w:tcPr/>
          <w:p>
            <w:r>
              <w:t>日常运维培训计划</w:t>
            </w:r>
          </w:p>
        </w:tc>
        <w:tc>
          <w:tcPr/>
          <w:p>
            <w:r>
              <w:t>勾选打分</w:t>
            </w:r>
            <w:r>
              <w:t>(5)</w:t>
            </w:r>
          </w:p>
        </w:tc>
        <w:tc>
          <w:tcPr/>
          <w:p>
            <w:r>
              <w:t>评审标准：</w:t>
            </w:r>
          </w:p>
          <w:p>
            <w:r>
              <w:t>一档0分</w:t>
              <w:cr/>
              <w:t>二档1分</w:t>
              <w:cr/>
              <w:t>三档3分</w:t>
              <w:cr/>
              <w:t>四档5分</w:t>
            </w:r>
          </w:p>
          <w:p>
            <w:r>
              <w:t>评审标准说明：</w:t>
            </w:r>
          </w:p>
          <w:p>
            <w:r>
              <w:t>提供日常运维培训计划。日常运维培训计划应详细具体，包括培训目标、方式、人数、天数、授课地点等，以及日常运维的内容和注意事项等。</w:t>
              <w:cr/>
              <w:t>一档：未提供培训计划。</w:t>
              <w:cr/>
              <w:t>二档：培训计划不完整（指缺失培训目标、方式、人数、天数、授课地点任意一项）；</w:t>
              <w:cr/>
              <w:t>三档：培训计划完整，但课程设计重点不突出或针对性不强，基本满足采购需求;</w:t>
              <w:cr/>
              <w:t>四档：培训方案完整，课程设计重点突出、针对性强，课时合理，完全满足采购需求。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20" w:beforeLines="50" w:line="360" w:lineRule="auto"/>
        <w:jc w:val="center"/>
        <w:outlineLvl w:val="1"/>
        <w:rPr>
          <w:rFonts w:ascii="宋体" w:hAnsi="宋体" w:hint="eastAsia"/>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numPr>
          <w:ilvl w:val="1"/>
          <w:numId w:val="4"/>
        </w:numPr>
        <w:tabs>
          <w:tab w:val="left" w:pos="1012"/>
        </w:tabs>
        <w:autoSpaceDE w:val="0"/>
        <w:autoSpaceDN w:val="0"/>
        <w:jc w:val="left"/>
        <w:outlineLvl w:val="1"/>
        <w:rPr>
          <w:rFonts w:ascii="宋体" w:hAnsi="宋体" w:hint="eastAsia"/>
          <w:b/>
          <w:bCs/>
          <w:szCs w:val="21"/>
        </w:rPr>
      </w:pPr>
      <w:r>
        <w:rPr>
          <w:rFonts w:ascii="宋体" w:hAnsi="宋体" w:hint="eastAsia"/>
          <w:b/>
          <w:bCs/>
          <w:szCs w:val="21"/>
        </w:rPr>
        <w:t>项目背景</w:t>
      </w:r>
    </w:p>
    <w:p>
      <w:pPr>
        <w:autoSpaceDE w:val="0"/>
        <w:autoSpaceDN w:val="0"/>
        <w:adjustRightInd w:val="0"/>
        <w:snapToGrid w:val="0"/>
        <w:spacing w:before="120"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全国气象视频会商系统于 2001 年建设，2003 年 7 月正式投入业务运行，建成以国家气象信息中心为核心，覆盖国家级、各省（区、市）级气象部门的高清 1080P 视频会商系统。规模包括 1 个国家级高清会商控制中心、14 个国家级会场（局内设机构、直属单位）、31 个省级会场。同时借助同城、专线网络，连接多个气象行业外部门单位。主要应用于：</w:t>
      </w:r>
    </w:p>
    <w:p>
      <w:pPr>
        <w:pStyle w:val="ListParagraph"/>
        <w:numPr>
          <w:ilvl w:val="0"/>
          <w:numId w:val="5"/>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全国天气预报电视会商业务；</w:t>
      </w:r>
    </w:p>
    <w:p>
      <w:pPr>
        <w:pStyle w:val="ListParagraph"/>
        <w:numPr>
          <w:ilvl w:val="0"/>
          <w:numId w:val="5"/>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气象系统全国性的电视电话会议、技术培训、远程教育；</w:t>
      </w:r>
    </w:p>
    <w:p>
      <w:pPr>
        <w:pStyle w:val="ListParagraph"/>
        <w:numPr>
          <w:ilvl w:val="0"/>
          <w:numId w:val="5"/>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区域流域气象部门业务、行政视频会议；</w:t>
      </w:r>
    </w:p>
    <w:p>
      <w:pPr>
        <w:pStyle w:val="ListParagraph"/>
        <w:numPr>
          <w:ilvl w:val="0"/>
          <w:numId w:val="5"/>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应急服务——移动应急车卫星视频连线；</w:t>
      </w:r>
    </w:p>
    <w:p>
      <w:pPr>
        <w:pStyle w:val="ListParagraph"/>
        <w:numPr>
          <w:ilvl w:val="0"/>
          <w:numId w:val="5"/>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配合电视台、中国气象频道进行电视直播。</w:t>
      </w:r>
    </w:p>
    <w:p>
      <w:pPr>
        <w:autoSpaceDE w:val="0"/>
        <w:autoSpaceDN w:val="0"/>
        <w:adjustRightInd w:val="0"/>
        <w:snapToGrid w:val="0"/>
        <w:spacing w:before="120"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该系统于 2019 年进行第四次会商主控中心改造,并于当年 3 月开始业务化运行。主控中心位于中国气象局园区北区 15 号楼二层天镜厅，由六部分组成，包括会商交互子系统、会商共享子系统、会商协作子系统、综合监视子系统、综合控制子系统以及运维工位子系统。同时在天镜厅建设一套天镜大屏幕显示系统及音频系统，作为国家气象信息中心视频会商分会场。</w:t>
      </w:r>
    </w:p>
    <w:p>
      <w:pPr>
        <w:autoSpaceDE w:val="0"/>
        <w:autoSpaceDN w:val="0"/>
        <w:adjustRightInd w:val="0"/>
        <w:snapToGrid w:val="0"/>
        <w:spacing w:before="120"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同时</w:t>
      </w:r>
      <w:r>
        <w:rPr>
          <w:rFonts w:ascii="宋体" w:hAnsi="宋体" w:cs="宋体"/>
          <w:kern w:val="0"/>
          <w:szCs w:val="21"/>
          <w:lang w:val="zh-CN" w:bidi="zh-CN"/>
        </w:rPr>
        <w:t>，</w:t>
      </w:r>
      <w:r>
        <w:rPr>
          <w:rFonts w:ascii="宋体" w:hAnsi="宋体" w:cs="宋体" w:hint="eastAsia"/>
          <w:kern w:val="0"/>
          <w:szCs w:val="21"/>
          <w:lang w:val="zh-CN" w:bidi="zh-CN"/>
        </w:rPr>
        <w:t>2020年10月，国家气象科学数据中心业务基础平台建设（即数字会议室）正式启用。该会议室与</w:t>
      </w:r>
      <w:r>
        <w:rPr>
          <w:rFonts w:ascii="宋体" w:hAnsi="宋体" w:cs="宋体"/>
          <w:kern w:val="0"/>
          <w:szCs w:val="21"/>
          <w:lang w:val="zh-CN" w:bidi="zh-CN"/>
        </w:rPr>
        <w:t>天镜厅</w:t>
      </w:r>
      <w:r>
        <w:rPr>
          <w:rFonts w:ascii="宋体" w:hAnsi="宋体" w:cs="宋体" w:hint="eastAsia"/>
          <w:kern w:val="0"/>
          <w:szCs w:val="21"/>
          <w:lang w:val="zh-CN" w:bidi="zh-CN"/>
        </w:rPr>
        <w:t>一同</w:t>
      </w:r>
      <w:r>
        <w:rPr>
          <w:rFonts w:ascii="宋体" w:hAnsi="宋体" w:cs="宋体"/>
          <w:kern w:val="0"/>
          <w:szCs w:val="21"/>
          <w:lang w:val="zh-CN" w:bidi="zh-CN"/>
        </w:rPr>
        <w:t>作为信息中心的</w:t>
      </w:r>
      <w:r>
        <w:rPr>
          <w:rFonts w:ascii="宋体" w:hAnsi="宋体" w:cs="宋体" w:hint="eastAsia"/>
          <w:kern w:val="0"/>
          <w:szCs w:val="21"/>
          <w:lang w:val="zh-CN" w:bidi="zh-CN"/>
        </w:rPr>
        <w:t>视频</w:t>
      </w:r>
      <w:r>
        <w:rPr>
          <w:rFonts w:ascii="宋体" w:hAnsi="宋体" w:cs="宋体"/>
          <w:kern w:val="0"/>
          <w:szCs w:val="21"/>
          <w:lang w:val="zh-CN" w:bidi="zh-CN"/>
        </w:rPr>
        <w:t>会商分会场，</w:t>
      </w:r>
      <w:r>
        <w:rPr>
          <w:rFonts w:ascii="宋体" w:hAnsi="宋体" w:cs="宋体" w:hint="eastAsia"/>
          <w:kern w:val="0"/>
          <w:szCs w:val="21"/>
          <w:lang w:val="zh-CN" w:bidi="zh-CN"/>
        </w:rPr>
        <w:t>并承担中心的各类重要会议，其中的无纸化办公系统使用也十分频繁。</w:t>
      </w:r>
    </w:p>
    <w:p>
      <w:pPr>
        <w:autoSpaceDE w:val="0"/>
        <w:autoSpaceDN w:val="0"/>
        <w:adjustRightInd w:val="0"/>
        <w:snapToGrid w:val="0"/>
        <w:spacing w:before="120"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为保障国家级高清天气预报电视会商系统主控中心及国家气象信息中心分会场稳定运行， 计划购买一年维保服务，主要承担系统日常运行保障、设备例行巡检、故障维修、系统升级等工作，并安排一名技术人员常驻采购人现场服务。</w:t>
      </w:r>
    </w:p>
    <w:p>
      <w:pPr>
        <w:numPr>
          <w:ilvl w:val="1"/>
          <w:numId w:val="4"/>
        </w:numPr>
        <w:tabs>
          <w:tab w:val="left" w:pos="1012"/>
        </w:tabs>
        <w:autoSpaceDE w:val="0"/>
        <w:autoSpaceDN w:val="0"/>
        <w:spacing w:before="100" w:line="453" w:lineRule="auto"/>
        <w:ind w:right="7254"/>
        <w:jc w:val="left"/>
        <w:rPr>
          <w:rFonts w:ascii="宋体" w:hAnsi="宋体" w:cs="宋体"/>
          <w:kern w:val="0"/>
          <w:lang w:val="zh-CN" w:bidi="zh-CN"/>
        </w:rPr>
      </w:pPr>
      <w:r>
        <w:rPr>
          <w:rFonts w:ascii="宋体" w:hAnsi="宋体" w:cs="宋体"/>
          <w:b/>
          <w:kern w:val="0"/>
          <w:lang w:val="zh-CN" w:bidi="zh-CN"/>
        </w:rPr>
        <w:t>服务</w:t>
      </w:r>
      <w:r>
        <w:rPr>
          <w:rFonts w:ascii="宋体" w:hAnsi="宋体" w:cs="宋体" w:hint="eastAsia"/>
          <w:b/>
          <w:kern w:val="0"/>
          <w:lang w:val="zh-CN" w:bidi="zh-CN"/>
        </w:rPr>
        <w:t>需求</w:t>
      </w:r>
    </w:p>
    <w:p>
      <w:pPr>
        <w:autoSpaceDE w:val="0"/>
        <w:autoSpaceDN w:val="0"/>
        <w:adjustRightInd w:val="0"/>
        <w:snapToGrid w:val="0"/>
        <w:spacing w:before="120"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包括以下:</w:t>
      </w:r>
    </w:p>
    <w:p>
      <w:pPr>
        <w:pStyle w:val="ListParagraph"/>
        <w:numPr>
          <w:ilvl w:val="0"/>
          <w:numId w:val="6"/>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国家级高清天气预报电视会商系统主控中心设备（MCU、视频终端和电视墙服务器、高清DVI 编解码器等）的运行维护</w:t>
      </w:r>
      <w:r>
        <w:rPr>
          <w:rFonts w:ascii="宋体" w:hAnsi="宋体" w:eastAsiaTheme="minorEastAsia" w:cs="宋体" w:hint="eastAsia"/>
          <w:color w:val="auto"/>
          <w:kern w:val="0"/>
          <w:szCs w:val="21"/>
          <w:lang w:bidi="zh-CN"/>
        </w:rPr>
        <w:t>；</w:t>
      </w:r>
    </w:p>
    <w:p>
      <w:pPr>
        <w:pStyle w:val="ListParagraph"/>
        <w:numPr>
          <w:ilvl w:val="0"/>
          <w:numId w:val="6"/>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color w:val="auto"/>
          <w:kern w:val="0"/>
          <w:szCs w:val="21"/>
          <w:lang w:bidi="zh-CN"/>
        </w:rPr>
        <w:t>天镜厅视频会商分会场大屏幕显示系统及音频系统的运行维护</w:t>
      </w:r>
      <w:r>
        <w:rPr>
          <w:rFonts w:ascii="宋体" w:hAnsi="宋体" w:eastAsiaTheme="minorEastAsia" w:cs="宋体" w:hint="eastAsia"/>
          <w:color w:val="auto"/>
          <w:kern w:val="0"/>
          <w:szCs w:val="21"/>
          <w:lang w:bidi="zh-CN"/>
        </w:rPr>
        <w:t>；</w:t>
      </w:r>
    </w:p>
    <w:p>
      <w:pPr>
        <w:pStyle w:val="ListParagraph"/>
        <w:numPr>
          <w:ilvl w:val="0"/>
          <w:numId w:val="6"/>
        </w:numPr>
        <w:autoSpaceDE w:val="0"/>
        <w:autoSpaceDN w:val="0"/>
        <w:adjustRightInd w:val="0"/>
        <w:snapToGrid w:val="0"/>
        <w:spacing w:before="120" w:beforeLines="50" w:line="360" w:lineRule="auto"/>
        <w:ind w:firstLineChars="0"/>
        <w:rPr>
          <w:rFonts w:ascii="宋体" w:hAnsi="宋体" w:eastAsiaTheme="minorEastAsia" w:cs="宋体" w:hint="eastAsia"/>
          <w:color w:val="auto"/>
          <w:kern w:val="0"/>
          <w:szCs w:val="21"/>
          <w:lang w:bidi="zh-CN"/>
        </w:rPr>
      </w:pPr>
      <w:r>
        <w:rPr>
          <w:rFonts w:ascii="宋体" w:hAnsi="宋体" w:eastAsiaTheme="minorEastAsia" w:cs="宋体" w:hint="eastAsia"/>
          <w:color w:val="auto"/>
          <w:kern w:val="0"/>
          <w:szCs w:val="21"/>
          <w:lang w:bidi="zh-CN"/>
        </w:rPr>
        <w:t>数字</w:t>
      </w:r>
      <w:r>
        <w:rPr>
          <w:rFonts w:ascii="宋体" w:hAnsi="宋体" w:eastAsiaTheme="minorEastAsia" w:cs="宋体"/>
          <w:color w:val="auto"/>
          <w:kern w:val="0"/>
          <w:szCs w:val="21"/>
          <w:lang w:bidi="zh-CN"/>
        </w:rPr>
        <w:t>会议室分会场大屏幕显示</w:t>
      </w:r>
      <w:r>
        <w:rPr>
          <w:rFonts w:ascii="宋体" w:hAnsi="宋体" w:eastAsiaTheme="minorEastAsia" w:cs="宋体" w:hint="eastAsia"/>
          <w:color w:val="auto"/>
          <w:kern w:val="0"/>
          <w:szCs w:val="21"/>
          <w:lang w:bidi="zh-CN"/>
        </w:rPr>
        <w:t>系统</w:t>
      </w:r>
      <w:r>
        <w:rPr>
          <w:rFonts w:ascii="宋体" w:hAnsi="宋体" w:eastAsiaTheme="minorEastAsia" w:cs="宋体"/>
          <w:color w:val="auto"/>
          <w:kern w:val="0"/>
          <w:szCs w:val="21"/>
          <w:lang w:bidi="zh-CN"/>
        </w:rPr>
        <w:t>、音视频系统</w:t>
      </w:r>
      <w:r>
        <w:rPr>
          <w:rFonts w:ascii="宋体" w:hAnsi="宋体" w:eastAsiaTheme="minorEastAsia" w:cs="宋体" w:hint="eastAsia"/>
          <w:color w:val="auto"/>
          <w:kern w:val="0"/>
          <w:szCs w:val="21"/>
          <w:lang w:bidi="zh-CN"/>
        </w:rPr>
        <w:t>和</w:t>
      </w:r>
      <w:r>
        <w:rPr>
          <w:rFonts w:ascii="宋体" w:hAnsi="宋体" w:eastAsiaTheme="minorEastAsia" w:cs="宋体"/>
          <w:color w:val="auto"/>
          <w:kern w:val="0"/>
          <w:szCs w:val="21"/>
          <w:lang w:bidi="zh-CN"/>
        </w:rPr>
        <w:t>无纸化办公系统的运行维护</w:t>
      </w:r>
      <w:r>
        <w:rPr>
          <w:rFonts w:ascii="宋体" w:hAnsi="宋体" w:eastAsiaTheme="minorEastAsia" w:cs="宋体" w:hint="eastAsia"/>
          <w:color w:val="auto"/>
          <w:kern w:val="0"/>
          <w:szCs w:val="21"/>
          <w:lang w:bidi="zh-CN"/>
        </w:rPr>
        <w:t>。</w:t>
      </w:r>
    </w:p>
    <w:p>
      <w:pPr>
        <w:autoSpaceDE w:val="0"/>
        <w:autoSpaceDN w:val="0"/>
        <w:adjustRightInd w:val="0"/>
        <w:snapToGrid w:val="0"/>
        <w:spacing w:before="120"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国家级高清天气预报电视会商系统主控中心</w:t>
      </w:r>
      <w:r>
        <w:rPr>
          <w:rFonts w:ascii="宋体" w:hAnsi="宋体" w:cs="宋体" w:hint="eastAsia"/>
          <w:kern w:val="0"/>
          <w:szCs w:val="21"/>
          <w:lang w:val="zh-CN" w:bidi="zh-CN"/>
        </w:rPr>
        <w:t>及天镜厅</w:t>
      </w:r>
      <w:r>
        <w:rPr>
          <w:rFonts w:ascii="宋体" w:hAnsi="宋体" w:cs="宋体"/>
          <w:kern w:val="0"/>
          <w:szCs w:val="21"/>
          <w:lang w:val="zh-CN" w:bidi="zh-CN"/>
        </w:rPr>
        <w:t>、数字会议室分会场运维服务期为 202</w:t>
      </w:r>
      <w:r>
        <w:rPr>
          <w:rFonts w:ascii="宋体" w:hAnsi="宋体" w:cs="宋体" w:hint="eastAsia"/>
          <w:kern w:val="0"/>
          <w:szCs w:val="21"/>
          <w:lang w:val="zh-CN" w:bidi="zh-CN"/>
        </w:rPr>
        <w:t>6</w:t>
      </w:r>
      <w:r>
        <w:rPr>
          <w:rFonts w:ascii="宋体" w:hAnsi="宋体" w:cs="宋体"/>
          <w:kern w:val="0"/>
          <w:szCs w:val="21"/>
          <w:lang w:val="zh-CN" w:bidi="zh-CN"/>
        </w:rPr>
        <w:t>年 8 月 7 日至 202</w:t>
      </w:r>
      <w:r>
        <w:rPr>
          <w:rFonts w:ascii="宋体" w:hAnsi="宋体" w:cs="宋体" w:hint="eastAsia"/>
          <w:kern w:val="0"/>
          <w:szCs w:val="21"/>
          <w:lang w:val="zh-CN" w:bidi="zh-CN"/>
        </w:rPr>
        <w:t>7</w:t>
      </w:r>
      <w:r>
        <w:rPr>
          <w:rFonts w:ascii="宋体" w:hAnsi="宋体" w:cs="宋体"/>
          <w:kern w:val="0"/>
          <w:szCs w:val="21"/>
          <w:lang w:val="zh-CN" w:bidi="zh-CN"/>
        </w:rPr>
        <w:t>年8 月 6 日。</w:t>
      </w:r>
    </w:p>
    <w:p>
      <w:pPr>
        <w:keepNext/>
        <w:keepLines/>
        <w:spacing w:before="260" w:after="260" w:line="416" w:lineRule="atLeast"/>
        <w:ind w:left="222"/>
        <w:outlineLvl w:val="1"/>
        <w:rPr>
          <w:rFonts w:ascii="宋体" w:hAnsi="宋体" w:hint="eastAsia"/>
          <w:b/>
          <w:bCs/>
          <w:szCs w:val="21"/>
        </w:rPr>
      </w:pPr>
      <w:r>
        <w:rPr>
          <w:rFonts w:ascii="宋体" w:hAnsi="宋体" w:hint="eastAsia"/>
          <w:b/>
          <w:bCs/>
          <w:szCs w:val="21"/>
        </w:rPr>
        <w:t>具体设备清单：</w:t>
      </w:r>
    </w:p>
    <w:p>
      <w:pPr>
        <w:autoSpaceDE w:val="0"/>
        <w:autoSpaceDN w:val="0"/>
        <w:spacing w:before="43"/>
        <w:ind w:left="222"/>
        <w:jc w:val="left"/>
        <w:rPr>
          <w:rFonts w:ascii="宋体" w:hAnsi="宋体" w:cs="宋体" w:hint="eastAsia"/>
          <w:kern w:val="0"/>
          <w:szCs w:val="21"/>
          <w:lang w:val="zh-CN" w:bidi="zh-CN"/>
        </w:rPr>
      </w:pPr>
      <w:r>
        <w:rPr>
          <w:rFonts w:ascii="宋体" w:hAnsi="宋体" w:cs="宋体"/>
          <w:kern w:val="0"/>
          <w:szCs w:val="21"/>
        </w:rPr>
        <w:pict>
          <v:group id="组合 33" o:spid="_x0000_s1026" style="width:410.4pt;height:357.6pt;margin-top:65.35pt;margin-left:120.4pt;mso-position-horizontal-relative:page;mso-wrap-distance-bottom:0;mso-wrap-distance-left:9pt;mso-wrap-distance-right:9pt;mso-wrap-distance-top:0;position:absolute;z-index:-251658240" coordorigin="6353,3960" coordsize="21600,21600">
            <v:line id="_x0000_s1027" style="position:absolute;v-text-anchor:top" from="21286,4433" to="21286,5378" fillcolor="this" stroked="t" strokecolor="white" strokeweight="0.75pt">
              <v:stroke joinstyle="round"/>
            </v:line>
            <v:shape id="_x0000_s1028" style="width:3243;height:1418;left:18178;position:absolute;top:4433;v-text-anchor:top" coordsize="21600,21600" path="m21600,14400l19790,14400l19790,14400l19790,l19790,l1898,l1898,l1898,14400l1898,14400l,14400l,14400l,21600l,21600l21600,21600l21600,21600l21600,14400e" fillcolor="white" stroked="f"/>
            <v:line id="_x0000_s1029" style="position:absolute;v-text-anchor:top" from="21576,3960" to="21576,5851" fillcolor="this" stroked="t" strokecolor="white" strokeweight="0.75pt">
              <v:stroke joinstyle="round"/>
            </v:line>
            <v:shape id="_x0000_s1030" style="width:9502;height:4757;left:18178;position:absolute;top:3960;v-text-anchor:top" coordsize="21600,21600" path="m7372,17308l,17308l,17308l,21600l,21600l7372,21600l7372,21600l7372,17308m7372,8723l,8723l,8723l,13015l,13015l7372,13015l7372,13015l7372,8723m21600,l8050,l8050,l8050,4292l8050,4292l8050,8585l8050,8585l21600,8585l21600,8585l21600,4292l21600,4292l21600,e" fillcolor="white" stroked="f"/>
            <v:line id="_x0000_s1031" style="position:absolute;v-text-anchor:top" from="21576,5881" to="21576,8717" fillcolor="this" stroked="t" strokecolor="white" strokeweight="0.75pt">
              <v:stroke joinstyle="round"/>
            </v:line>
            <v:shape id="_x0000_s1032" style="width:5961;height:2836;left:21719;position:absolute;top:5878;v-text-anchor:top" coordsize="21600,21600" path="m21600,l,l,l,7200l,7200l,14400l,14400l,21600l,21600l21600,21600l21600,21600l21600,14400l21600,14400l21600,7200l21600,7200l21600,e" fillcolor="white" stroked="f"/>
            <v:rect id="_x0000_s1033" style="width:274;height:945;left:17893;position:absolute;top:8744;v-text-anchor:top" fillcolor="white" stroked="f"/>
            <v:rect id="_x0000_s1034" style="width:6056;height:945;left:11837;position:absolute;top:8744;v-text-anchor:top" fillcolor="white" stroked="f"/>
            <v:shape id="_x0000_s1035" style="width:3243;height:945;left:18178;position:absolute;top:8744;v-text-anchor:top" coordsize="21600,21600" path="m1898,l,l,l,21600l,21600l1898,21600l1898,21600l1898,m21600,l19790,l19790,l19790,21600l19790,21600l21600,21600l21600,21600l21600,e" fillcolor="white" stroked="f"/>
            <v:rect id="_x0000_s1036" style="width:2686;height:945;left:18463;position:absolute;top:8744;v-text-anchor:top" fillcolor="white" stroked="f"/>
            <v:rect id="_x0000_s1037" style="width:285;height:945;left:21434;position:absolute;top:8744;v-text-anchor:top" fillcolor="white" stroked="f"/>
            <v:rect id="_x0000_s1038" style="width:6612;height:473;left:11552;position:absolute;top:9720;v-text-anchor:top" fillcolor="white" stroked="f"/>
            <v:rect id="_x0000_s1039" style="width:274;height:945;left:17893;position:absolute;top:10193;v-text-anchor:top" fillcolor="white" stroked="f"/>
            <v:shape id="_x0000_s1040" style="width:9869;height:1891;left:11552;position:absolute;top:9720;v-text-anchor:top" coordsize="21600,21600" path="m14473,16200l13873,16200l13873,16200l13873,5400l13873,5400l624,5400l624,5400l624,16200l624,16200l,16200l,16200l,21600l,21600l14473,21600l14473,21600l14473,16200m21594,l14496,l14496,l14496,5400l14496,5400l21594,5400l21594,5400l21594,e" fillcolor="white" stroked="f"/>
            <v:shape id="_x0000_s1041" style="width:3243;height:945;left:18178;position:absolute;top:10193;v-text-anchor:top" coordsize="21600,21600" path="m1898,l,l,l,21600l,21600l1898,21600l1898,21600l1898,m21600,l19790,l19790,l19790,21600l19790,21600l21600,21600l21600,21600l21600,e" fillcolor="white" stroked="f"/>
            <v:shape id="_x0000_s1042" style="width:9774;height:1891;left:18178;position:absolute;top:9720;v-text-anchor:top" coordsize="21600,21600" path="m7167,16200l6566,16200l6566,16200l6566,5400l6566,5400l630,5400l630,5400l630,16200l630,16200l,16200l,16200l,21600l,21600l7167,21600l7167,21600l7167,16200m21600,l7196,l7196,l7196,5400l7196,5400l21600,5400l21600,5400l21600,e" fillcolor="white" stroked="f"/>
            <v:shape id="_x0000_s1043" style="width:3826;height:2394;left:17893;position:absolute;top:10193;v-text-anchor:top" coordsize="21600,21600" path="m1549,13069l,13069l,13069l,21600l,21600l1549,21600l1549,21600l1549,13069m21600,l19991,l19991,l19991,8531l19991,8531l21600,8531l21600,8531l21600,e" fillcolor="white" stroked="f"/>
            <v:rect id="_x0000_s1044" style="width:6056;height:945;left:11837;position:absolute;top:11638;v-text-anchor:top" fillcolor="white" stroked="f"/>
            <v:rect id="_x0000_s1045" style="width:285;height:945;left:18178;position:absolute;top:11638;v-text-anchor:top" fillcolor="white" stroked="f"/>
            <v:shape id="_x0000_s1046" style="width:14790;height:4793;left:6631;position:absolute;top:11638;v-text-anchor:top" coordsize="21600,21600" path="m6771,17340l,17340l,17340l,21600l,21600l6771,21600l6771,21600l6771,17340m16848,13080l7191,13080l7191,13080l7191,15210l7191,15210l7607,15210l7607,15210l7607,19470l7607,19470l7191,19470l7191,19470l7191,21600l7191,21600l16848,21600l16848,21600l16848,19470l16848,19470l16448,19470l16448,19470l16448,15210l16448,15210l16848,15210l16848,15210l16848,13080m16848,4383l7191,4383l7191,4383l7191,6526l7191,6526l7607,6526l7607,6526l7607,10786l7607,10786l7191,10786l7191,10786l7191,12916l7191,12916l16848,12916l16848,12916l16848,10786l16848,10786l16448,10786l16448,10786l16448,6526l16448,6526l16848,6526l16848,6526l16848,4383m21203,l17280,l17280,l17280,4260l17280,4260l21203,4260l21203,4260l21203,m21600,4383l16864,4383l16864,4383l16864,6526l16864,6526l21600,6526l21600,6526l21600,4383e" fillcolor="white" stroked="f"/>
            <v:line id="_x0000_s1047" style="position:absolute;v-text-anchor:top" from="11404,16461" to="11404,18352" fillcolor="this" stroked="t" strokecolor="white" strokeweight="0.75pt">
              <v:stroke joinstyle="round"/>
            </v:line>
            <v:shape id="_x0000_s1048" style="width:11536;height:1891;left:6631;position:absolute;top:16461;v-text-anchor:top" coordsize="21600,21600" path="m8681,l,l,l,10800l,10800l,21600l,21600l8681,21600l8681,21600l8681,10800l8681,10800l8681,m21600,l9219,l9219,l9219,5400l9219,5400l21600,5400l21600,5400l21600,e" fillcolor="white" stroked="f"/>
            <v:line id="_x0000_s1049" style="position:absolute;v-text-anchor:top" from="11697,16934" to="11697,17879" fillcolor="this" stroked="t" strokecolor="white" strokeweight="0.75pt">
              <v:stroke joinstyle="round"/>
            </v:line>
            <v:shape id="_x0000_s1050" style="width:11813;height:1921;left:6351;position:absolute;top:16934;v-text-anchor:top" coordsize="21600,21600" path="m9485,16285l,16285l,16285l,21600l,21600l9485,21600l9485,21600l9485,16285m21600,10630l21098,10630l21098,10630l21098,l21098,l10030,l10030,l10030,10630l10030,10630l9509,10630l9509,10630l9509,15944l9509,15944l21600,15944l21600,15944l21600,10630e" fillcolor="white" stroked="f"/>
            <v:rect id="_x0000_s1051" style="width:274;height:945;left:11267;position:absolute;top:18852;v-text-anchor:top" fillcolor="white" stroked="f"/>
            <v:shape id="_x0000_s1052" style="width:11813;height:1891;left:6351;position:absolute;top:18379;v-text-anchor:top" coordsize="21600,21600" path="m9485,16200l8984,16200l8984,16200l8984,5400l8984,5400l507,5400l507,5400l507,16200l507,16200l,16200l,16200l,21600l,21600l9485,21600l9485,21600l9485,16200m21600,l9509,l9509,l9509,5400l9509,5400l21600,5400l21600,5400l21600,e" fillcolor="white" stroked="f"/>
            <v:rect id="_x0000_s1053" style="width:285;height:945;left:11552;position:absolute;top:18852;v-text-anchor:top" fillcolor="white" stroked="f"/>
            <v:shape id="_x0000_s1054" style="width:11813;height:3842;left:6351;position:absolute;top:18852;v-text-anchor:top" coordsize="21600,21600" path="m9485,18926l,18926l,18926l,21583l,21583l9485,21583l9485,21583l9485,18926m9485,8126l,8126l,8126l,10783l,10783l507,10783l507,10783l507,16098l507,16098l,16098l,16098l,18755l,18755l9485,18755l9485,18755l9485,16098l9485,16098l8984,16098l8984,16098l8984,10783l8984,10783l9485,10783l9485,10783l9485,8126m21600,8126l9509,8126l9509,8126l9509,10783l9509,10783l21600,10783l21600,10783l21600,8126m21600,5315l21098,5315l21098,5315l21098,l21098,l10030,l10030,l10030,5315l10030,5315l9509,5315l9509,5315l9509,7972l9509,7972l21600,7972l21600,7972l21600,5315e" fillcolor="white" stroked="f"/>
            <v:line id="_x0000_s1055" style="position:absolute;v-text-anchor:top" from="6491,22694" to="6491,23642" fillcolor="this" stroked="t" strokecolor="white" strokeweight="0.75pt">
              <v:stroke joinstyle="round"/>
            </v:line>
            <v:shape id="_x0000_s1056" style="width:5190;height:1924;left:6351;position:absolute;top:22694;v-text-anchor:top" coordsize="21600,21600" path="m21589,16260l,16260l,16260l,21566l,21566l21589,21566l21589,21566l21589,16260m21589,10647l20447,10647l20447,10647l20447,l20447,l1153,l1153,l1153,10647l1153,10647l,10647l,10647l,15953l,15953l21589,15953l21589,15953l21589,10647e" fillcolor="white" stroked="f"/>
            <v:line id="_x0000_s1057" style="position:absolute;v-text-anchor:top" from="6491,24615" to="6491,25560" fillcolor="this" stroked="t" strokecolor="white" strokeweight="0.75pt">
              <v:stroke joinstyle="round"/>
            </v:line>
            <v:rect id="_x0000_s1058" style="width:4639;height:945;left:6631;position:absolute;top:24615;v-text-anchor:top" fillcolor="white" stroked="f"/>
          </v:group>
        </w:pict>
      </w:r>
      <w:r>
        <w:rPr>
          <w:rFonts w:ascii="宋体" w:hAnsi="宋体" w:cs="宋体"/>
          <w:kern w:val="0"/>
          <w:szCs w:val="21"/>
          <w:lang w:val="zh-CN" w:bidi="zh-CN"/>
        </w:rPr>
        <w:t>全国气象高清电视会商系统主控中心：</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814"/>
        <w:gridCol w:w="1971"/>
        <w:gridCol w:w="2511"/>
        <w:gridCol w:w="1234"/>
        <w:gridCol w:w="2475"/>
      </w:tblGrid>
      <w:tr>
        <w:tblPrEx>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640"/>
        </w:trPr>
        <w:tc>
          <w:tcPr>
            <w:tcW w:w="814"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编号</w:t>
            </w:r>
          </w:p>
        </w:tc>
        <w:tc>
          <w:tcPr>
            <w:tcW w:w="1971"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名称</w:t>
            </w:r>
          </w:p>
        </w:tc>
        <w:tc>
          <w:tcPr>
            <w:tcW w:w="2511"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型号和规格</w:t>
            </w:r>
          </w:p>
        </w:tc>
        <w:tc>
          <w:tcPr>
            <w:tcW w:w="1234"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数量</w:t>
            </w:r>
          </w:p>
        </w:tc>
        <w:tc>
          <w:tcPr>
            <w:tcW w:w="2475"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备注</w:t>
            </w:r>
          </w:p>
        </w:tc>
      </w:tr>
      <w:tr>
        <w:tblPrEx>
          <w:tblW w:w="0" w:type="auto"/>
          <w:tblInd w:w="114" w:type="dxa"/>
          <w:tblLayout w:type="fixed"/>
          <w:tblCellMar>
            <w:top w:w="0" w:type="dxa"/>
            <w:left w:w="0" w:type="dxa"/>
            <w:bottom w:w="0" w:type="dxa"/>
            <w:right w:w="0" w:type="dxa"/>
          </w:tblCellMar>
        </w:tblPrEx>
        <w:trPr>
          <w:trHeight w:val="640"/>
        </w:trPr>
        <w:tc>
          <w:tcPr>
            <w:tcW w:w="814"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1</w:t>
            </w:r>
          </w:p>
        </w:tc>
        <w:tc>
          <w:tcPr>
            <w:tcW w:w="1971"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主用多点控制单元(MCU)</w:t>
            </w:r>
          </w:p>
        </w:tc>
        <w:tc>
          <w:tcPr>
            <w:tcW w:w="2511"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HUAWEI VP9660</w:t>
            </w:r>
          </w:p>
        </w:tc>
        <w:tc>
          <w:tcPr>
            <w:tcW w:w="1234"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1</w:t>
            </w:r>
          </w:p>
        </w:tc>
        <w:tc>
          <w:tcPr>
            <w:tcW w:w="2475"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华为(含全部板卡,96 路</w:t>
            </w:r>
          </w:p>
          <w:p>
            <w:pPr>
              <w:jc w:val="center"/>
              <w:rPr>
                <w:rFonts w:ascii="Calibri" w:hAnsi="Calibri"/>
                <w:szCs w:val="21"/>
              </w:rPr>
            </w:pPr>
            <w:r>
              <w:rPr>
                <w:rFonts w:ascii="Calibri" w:hAnsi="Calibri"/>
                <w:szCs w:val="21"/>
              </w:rPr>
              <w:t>1080P60fps 全适配接入)</w:t>
            </w:r>
          </w:p>
        </w:tc>
      </w:tr>
      <w:tr>
        <w:tblPrEx>
          <w:tblW w:w="0" w:type="auto"/>
          <w:tblInd w:w="114" w:type="dxa"/>
          <w:tblLayout w:type="fixed"/>
          <w:tblCellMar>
            <w:top w:w="0" w:type="dxa"/>
            <w:left w:w="0" w:type="dxa"/>
            <w:bottom w:w="0" w:type="dxa"/>
            <w:right w:w="0" w:type="dxa"/>
          </w:tblCellMar>
        </w:tblPrEx>
        <w:trPr>
          <w:trHeight w:val="640"/>
        </w:trPr>
        <w:tc>
          <w:tcPr>
            <w:tcW w:w="814"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2</w:t>
            </w:r>
          </w:p>
        </w:tc>
        <w:tc>
          <w:tcPr>
            <w:tcW w:w="1971"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备用多点控制单元(MCU)</w:t>
            </w:r>
          </w:p>
        </w:tc>
        <w:tc>
          <w:tcPr>
            <w:tcW w:w="2511"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p>
          <w:p>
            <w:pPr>
              <w:jc w:val="center"/>
              <w:rPr>
                <w:rFonts w:ascii="Calibri" w:hAnsi="Calibri"/>
                <w:szCs w:val="21"/>
              </w:rPr>
            </w:pPr>
            <w:r>
              <w:rPr>
                <w:rFonts w:ascii="Calibri" w:hAnsi="Calibri"/>
                <w:szCs w:val="21"/>
              </w:rPr>
              <w:t>HUAWEI VP9660</w:t>
            </w:r>
          </w:p>
        </w:tc>
        <w:tc>
          <w:tcPr>
            <w:tcW w:w="1234"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hint="eastAsia"/>
                <w:szCs w:val="21"/>
              </w:rPr>
              <w:t>1</w:t>
            </w:r>
          </w:p>
        </w:tc>
        <w:tc>
          <w:tcPr>
            <w:tcW w:w="2475" w:type="dxa"/>
            <w:tcBorders>
              <w:top w:val="single" w:sz="4" w:space="0" w:color="000000"/>
              <w:left w:val="single" w:sz="4" w:space="0" w:color="000000"/>
              <w:bottom w:val="single" w:sz="4" w:space="0" w:color="000000"/>
              <w:right w:val="single" w:sz="4" w:space="0" w:color="000000"/>
            </w:tcBorders>
          </w:tcPr>
          <w:p>
            <w:pPr>
              <w:jc w:val="center"/>
              <w:rPr>
                <w:rFonts w:ascii="Calibri" w:hAnsi="Calibri"/>
                <w:szCs w:val="21"/>
              </w:rPr>
            </w:pPr>
            <w:r>
              <w:rPr>
                <w:rFonts w:ascii="Calibri" w:hAnsi="Calibri"/>
                <w:szCs w:val="21"/>
              </w:rPr>
              <w:t>华为(含全部板卡,96 路1080P60fps</w:t>
            </w:r>
          </w:p>
          <w:p>
            <w:pPr>
              <w:jc w:val="center"/>
              <w:rPr>
                <w:rFonts w:ascii="Calibri" w:hAnsi="Calibri"/>
                <w:szCs w:val="21"/>
              </w:rPr>
            </w:pPr>
            <w:r>
              <w:rPr>
                <w:rFonts w:ascii="Calibri" w:hAnsi="Calibri"/>
                <w:szCs w:val="21"/>
              </w:rPr>
              <w:t>全适配接入)</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5" w:line="277" w:lineRule="exact"/>
              <w:ind w:right="96"/>
              <w:jc w:val="center"/>
              <w:rPr>
                <w:rFonts w:hint="eastAsia"/>
                <w:sz w:val="21"/>
                <w:szCs w:val="21"/>
              </w:rPr>
            </w:pPr>
            <w:r>
              <w:rPr>
                <w:sz w:val="21"/>
                <w:szCs w:val="21"/>
              </w:rPr>
              <w:t>3</w:t>
            </w:r>
          </w:p>
        </w:tc>
        <w:tc>
          <w:tcPr>
            <w:tcW w:w="1971" w:type="dxa"/>
          </w:tcPr>
          <w:p>
            <w:pPr>
              <w:pStyle w:val="TableParagraph"/>
              <w:spacing w:before="22"/>
              <w:jc w:val="center"/>
              <w:rPr>
                <w:rFonts w:hint="eastAsia"/>
                <w:sz w:val="21"/>
                <w:szCs w:val="21"/>
              </w:rPr>
            </w:pPr>
            <w:r>
              <w:rPr>
                <w:sz w:val="21"/>
                <w:szCs w:val="21"/>
              </w:rPr>
              <w:t>会场高清视频终端</w:t>
            </w:r>
          </w:p>
        </w:tc>
        <w:tc>
          <w:tcPr>
            <w:tcW w:w="2511" w:type="dxa"/>
          </w:tcPr>
          <w:p>
            <w:pPr>
              <w:pStyle w:val="TableParagraph"/>
              <w:spacing w:before="34"/>
              <w:jc w:val="center"/>
              <w:rPr>
                <w:rFonts w:hint="eastAsia"/>
                <w:sz w:val="21"/>
                <w:szCs w:val="21"/>
              </w:rPr>
            </w:pPr>
            <w:r>
              <w:rPr>
                <w:sz w:val="21"/>
                <w:szCs w:val="21"/>
              </w:rPr>
              <w:t>HUAWEI TE60</w:t>
            </w:r>
          </w:p>
        </w:tc>
        <w:tc>
          <w:tcPr>
            <w:tcW w:w="1234" w:type="dxa"/>
          </w:tcPr>
          <w:p>
            <w:pPr>
              <w:pStyle w:val="TableParagraph"/>
              <w:spacing w:before="34"/>
              <w:ind w:left="7"/>
              <w:jc w:val="center"/>
              <w:rPr>
                <w:rFonts w:hint="eastAsia"/>
                <w:sz w:val="21"/>
                <w:szCs w:val="21"/>
              </w:rPr>
            </w:pPr>
            <w:r>
              <w:rPr>
                <w:sz w:val="21"/>
                <w:szCs w:val="21"/>
              </w:rPr>
              <w:t>6</w:t>
            </w:r>
          </w:p>
        </w:tc>
        <w:tc>
          <w:tcPr>
            <w:tcW w:w="2475" w:type="dxa"/>
          </w:tcPr>
          <w:p>
            <w:pPr>
              <w:pStyle w:val="TableParagraph"/>
              <w:spacing w:before="22"/>
              <w:jc w:val="center"/>
              <w:rPr>
                <w:rFonts w:hint="eastAsia"/>
                <w:sz w:val="21"/>
                <w:szCs w:val="21"/>
              </w:rPr>
            </w:pPr>
            <w:r>
              <w:rPr>
                <w:sz w:val="21"/>
                <w:szCs w:val="21"/>
              </w:rPr>
              <w:t>华为</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line="277" w:lineRule="exact"/>
              <w:ind w:right="96"/>
              <w:jc w:val="center"/>
              <w:rPr>
                <w:rFonts w:hint="eastAsia"/>
                <w:sz w:val="21"/>
                <w:szCs w:val="21"/>
              </w:rPr>
            </w:pPr>
            <w:r>
              <w:rPr>
                <w:sz w:val="21"/>
                <w:szCs w:val="21"/>
              </w:rPr>
              <w:t>4</w:t>
            </w:r>
          </w:p>
        </w:tc>
        <w:tc>
          <w:tcPr>
            <w:tcW w:w="1971" w:type="dxa"/>
          </w:tcPr>
          <w:p>
            <w:pPr>
              <w:pStyle w:val="TableParagraph"/>
              <w:spacing w:before="22"/>
              <w:ind w:right="80"/>
              <w:jc w:val="center"/>
              <w:rPr>
                <w:rFonts w:hint="eastAsia"/>
                <w:sz w:val="21"/>
                <w:szCs w:val="21"/>
              </w:rPr>
            </w:pPr>
            <w:r>
              <w:rPr>
                <w:sz w:val="21"/>
                <w:szCs w:val="21"/>
              </w:rPr>
              <w:t>视频终端高清摄像头</w:t>
            </w:r>
          </w:p>
        </w:tc>
        <w:tc>
          <w:tcPr>
            <w:tcW w:w="2511" w:type="dxa"/>
          </w:tcPr>
          <w:p>
            <w:pPr>
              <w:pStyle w:val="TableParagraph"/>
              <w:tabs>
                <w:tab w:val="left" w:pos="15"/>
                <w:tab w:val="center" w:pos="1035"/>
              </w:tabs>
              <w:spacing w:before="190"/>
              <w:ind w:right="431"/>
              <w:jc w:val="center"/>
              <w:rPr>
                <w:rFonts w:hint="eastAsia"/>
                <w:sz w:val="21"/>
                <w:szCs w:val="21"/>
              </w:rPr>
            </w:pPr>
            <w:r>
              <w:rPr>
                <w:sz w:val="21"/>
                <w:szCs w:val="21"/>
              </w:rPr>
              <w:t xml:space="preserve">     HUAWEI VPC800</w:t>
            </w:r>
          </w:p>
        </w:tc>
        <w:tc>
          <w:tcPr>
            <w:tcW w:w="1234" w:type="dxa"/>
          </w:tcPr>
          <w:p>
            <w:pPr>
              <w:pStyle w:val="TableParagraph"/>
              <w:spacing w:before="190"/>
              <w:ind w:left="7"/>
              <w:jc w:val="center"/>
              <w:rPr>
                <w:rFonts w:hint="eastAsia"/>
                <w:sz w:val="21"/>
                <w:szCs w:val="21"/>
              </w:rPr>
            </w:pPr>
            <w:r>
              <w:rPr>
                <w:sz w:val="21"/>
                <w:szCs w:val="21"/>
              </w:rPr>
              <w:t>2</w:t>
            </w:r>
          </w:p>
        </w:tc>
        <w:tc>
          <w:tcPr>
            <w:tcW w:w="2475" w:type="dxa"/>
          </w:tcPr>
          <w:p>
            <w:pPr>
              <w:pStyle w:val="TableParagraph"/>
              <w:spacing w:before="178"/>
              <w:jc w:val="center"/>
              <w:rPr>
                <w:rFonts w:hint="eastAsia"/>
                <w:sz w:val="21"/>
                <w:szCs w:val="21"/>
              </w:rPr>
            </w:pPr>
            <w:r>
              <w:rPr>
                <w:sz w:val="21"/>
                <w:szCs w:val="21"/>
              </w:rPr>
              <w:t>华为</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5" w:line="277" w:lineRule="exact"/>
              <w:ind w:right="96"/>
              <w:jc w:val="center"/>
              <w:rPr>
                <w:rFonts w:hint="eastAsia"/>
                <w:sz w:val="21"/>
                <w:szCs w:val="21"/>
              </w:rPr>
            </w:pPr>
            <w:r>
              <w:rPr>
                <w:sz w:val="21"/>
                <w:szCs w:val="21"/>
              </w:rPr>
              <w:t>5</w:t>
            </w:r>
          </w:p>
        </w:tc>
        <w:tc>
          <w:tcPr>
            <w:tcW w:w="1971" w:type="dxa"/>
          </w:tcPr>
          <w:p>
            <w:pPr>
              <w:pStyle w:val="TableParagraph"/>
              <w:spacing w:before="22"/>
              <w:jc w:val="center"/>
              <w:rPr>
                <w:rFonts w:hint="eastAsia"/>
                <w:sz w:val="21"/>
                <w:szCs w:val="21"/>
              </w:rPr>
            </w:pPr>
            <w:r>
              <w:rPr>
                <w:sz w:val="21"/>
                <w:szCs w:val="21"/>
              </w:rPr>
              <w:t>专有云 MCU</w:t>
            </w:r>
          </w:p>
        </w:tc>
        <w:tc>
          <w:tcPr>
            <w:tcW w:w="2511" w:type="dxa"/>
          </w:tcPr>
          <w:p>
            <w:pPr>
              <w:pStyle w:val="TableParagraph"/>
              <w:spacing w:before="34"/>
              <w:ind w:right="124"/>
              <w:jc w:val="center"/>
              <w:rPr>
                <w:rFonts w:hint="eastAsia"/>
                <w:sz w:val="21"/>
                <w:szCs w:val="21"/>
              </w:rPr>
            </w:pPr>
            <w:r>
              <w:rPr>
                <w:sz w:val="21"/>
                <w:szCs w:val="21"/>
              </w:rPr>
              <w:t>V2.20</w:t>
            </w:r>
          </w:p>
        </w:tc>
        <w:tc>
          <w:tcPr>
            <w:tcW w:w="1234" w:type="dxa"/>
          </w:tcPr>
          <w:p>
            <w:pPr>
              <w:pStyle w:val="TableParagraph"/>
              <w:spacing w:before="34"/>
              <w:ind w:left="7"/>
              <w:jc w:val="center"/>
              <w:rPr>
                <w:rFonts w:hint="eastAsia"/>
                <w:sz w:val="21"/>
                <w:szCs w:val="21"/>
              </w:rPr>
            </w:pPr>
            <w:r>
              <w:rPr>
                <w:sz w:val="21"/>
                <w:szCs w:val="21"/>
              </w:rPr>
              <w:t>1</w:t>
            </w:r>
          </w:p>
        </w:tc>
        <w:tc>
          <w:tcPr>
            <w:tcW w:w="2475" w:type="dxa"/>
          </w:tcPr>
          <w:p>
            <w:pPr>
              <w:pStyle w:val="TableParagraph"/>
              <w:spacing w:before="22"/>
              <w:jc w:val="center"/>
              <w:rPr>
                <w:rFonts w:hint="eastAsia"/>
                <w:sz w:val="21"/>
                <w:szCs w:val="21"/>
              </w:rPr>
            </w:pPr>
            <w:r>
              <w:rPr>
                <w:sz w:val="21"/>
                <w:szCs w:val="21"/>
              </w:rPr>
              <w:t>小鱼易连</w:t>
            </w:r>
          </w:p>
        </w:tc>
      </w:tr>
      <w:tr>
        <w:tblPrEx>
          <w:tblW w:w="0" w:type="auto"/>
          <w:tblInd w:w="114" w:type="dxa"/>
          <w:tblLayout w:type="fixed"/>
          <w:tblCellMar>
            <w:top w:w="0" w:type="dxa"/>
            <w:left w:w="0" w:type="dxa"/>
            <w:bottom w:w="0" w:type="dxa"/>
            <w:right w:w="0" w:type="dxa"/>
          </w:tblCellMar>
        </w:tblPrEx>
        <w:trPr>
          <w:trHeight w:val="624"/>
        </w:trPr>
        <w:tc>
          <w:tcPr>
            <w:tcW w:w="814" w:type="dxa"/>
            <w:tcBorders>
              <w:bottom w:val="single" w:sz="4" w:space="0" w:color="auto"/>
            </w:tcBorders>
          </w:tcPr>
          <w:p>
            <w:pPr>
              <w:pStyle w:val="TableParagraph"/>
              <w:spacing w:line="277" w:lineRule="exact"/>
              <w:ind w:right="96"/>
              <w:jc w:val="center"/>
              <w:rPr>
                <w:rFonts w:hint="eastAsia"/>
                <w:sz w:val="21"/>
                <w:szCs w:val="21"/>
              </w:rPr>
            </w:pPr>
            <w:r>
              <w:rPr>
                <w:sz w:val="21"/>
                <w:szCs w:val="21"/>
              </w:rPr>
              <w:t>6</w:t>
            </w:r>
          </w:p>
        </w:tc>
        <w:tc>
          <w:tcPr>
            <w:tcW w:w="1971" w:type="dxa"/>
            <w:tcBorders>
              <w:bottom w:val="single" w:sz="4" w:space="0" w:color="auto"/>
            </w:tcBorders>
          </w:tcPr>
          <w:p>
            <w:pPr>
              <w:pStyle w:val="TableParagraph"/>
              <w:spacing w:before="179"/>
              <w:jc w:val="center"/>
              <w:rPr>
                <w:rFonts w:hint="eastAsia"/>
                <w:sz w:val="21"/>
                <w:szCs w:val="21"/>
              </w:rPr>
            </w:pPr>
            <w:r>
              <w:rPr>
                <w:sz w:val="21"/>
                <w:szCs w:val="21"/>
              </w:rPr>
              <w:t>高清摄像头</w:t>
            </w:r>
          </w:p>
        </w:tc>
        <w:tc>
          <w:tcPr>
            <w:tcW w:w="2511" w:type="dxa"/>
            <w:tcBorders>
              <w:bottom w:val="single" w:sz="4" w:space="0" w:color="auto"/>
            </w:tcBorders>
          </w:tcPr>
          <w:p>
            <w:pPr>
              <w:pStyle w:val="TableParagraph"/>
              <w:spacing w:before="190"/>
              <w:jc w:val="center"/>
              <w:rPr>
                <w:rFonts w:hint="eastAsia"/>
                <w:sz w:val="21"/>
                <w:szCs w:val="21"/>
              </w:rPr>
            </w:pPr>
            <w:r>
              <w:rPr>
                <w:sz w:val="21"/>
                <w:szCs w:val="21"/>
              </w:rPr>
              <w:t>AW-HE58MC</w:t>
            </w:r>
          </w:p>
        </w:tc>
        <w:tc>
          <w:tcPr>
            <w:tcW w:w="1234" w:type="dxa"/>
            <w:tcBorders>
              <w:bottom w:val="single" w:sz="4" w:space="0" w:color="auto"/>
            </w:tcBorders>
          </w:tcPr>
          <w:p>
            <w:pPr>
              <w:pStyle w:val="TableParagraph"/>
              <w:spacing w:before="190"/>
              <w:ind w:left="7"/>
              <w:jc w:val="center"/>
              <w:rPr>
                <w:rFonts w:hint="eastAsia"/>
                <w:sz w:val="21"/>
                <w:szCs w:val="21"/>
              </w:rPr>
            </w:pPr>
            <w:r>
              <w:rPr>
                <w:sz w:val="21"/>
                <w:szCs w:val="21"/>
              </w:rPr>
              <w:t>1</w:t>
            </w:r>
          </w:p>
        </w:tc>
        <w:tc>
          <w:tcPr>
            <w:tcW w:w="2475" w:type="dxa"/>
            <w:tcBorders>
              <w:bottom w:val="single" w:sz="4" w:space="0" w:color="auto"/>
            </w:tcBorders>
          </w:tcPr>
          <w:p>
            <w:pPr>
              <w:pStyle w:val="TableParagraph"/>
              <w:spacing w:before="116"/>
              <w:jc w:val="center"/>
              <w:rPr>
                <w:rFonts w:hint="eastAsia"/>
                <w:sz w:val="21"/>
                <w:szCs w:val="21"/>
              </w:rPr>
            </w:pPr>
            <w:r>
              <w:rPr>
                <w:rFonts w:hint="eastAsia"/>
                <w:sz w:val="21"/>
                <w:szCs w:val="21"/>
              </w:rPr>
              <w:t>汉锐</w:t>
            </w:r>
          </w:p>
        </w:tc>
      </w:tr>
      <w:tr>
        <w:tblPrEx>
          <w:tblW w:w="0" w:type="auto"/>
          <w:tblInd w:w="114" w:type="dxa"/>
          <w:tblLayout w:type="fixed"/>
          <w:tblCellMar>
            <w:top w:w="0" w:type="dxa"/>
            <w:left w:w="0" w:type="dxa"/>
            <w:bottom w:w="0" w:type="dxa"/>
            <w:right w:w="0" w:type="dxa"/>
          </w:tblCellMar>
        </w:tblPrEx>
        <w:trPr>
          <w:trHeight w:val="625"/>
        </w:trPr>
        <w:tc>
          <w:tcPr>
            <w:tcW w:w="814" w:type="dxa"/>
            <w:tcBorders>
              <w:top w:val="single" w:sz="4" w:space="0" w:color="auto"/>
              <w:left w:val="single" w:sz="4" w:space="0" w:color="auto"/>
              <w:bottom w:val="single" w:sz="4" w:space="0" w:color="auto"/>
              <w:right w:val="single" w:sz="4" w:space="0" w:color="auto"/>
            </w:tcBorders>
          </w:tcPr>
          <w:p>
            <w:pPr>
              <w:pStyle w:val="TableParagraph"/>
              <w:spacing w:line="277" w:lineRule="exact"/>
              <w:ind w:right="96"/>
              <w:jc w:val="center"/>
              <w:rPr>
                <w:rFonts w:hint="eastAsia"/>
                <w:sz w:val="21"/>
                <w:szCs w:val="21"/>
              </w:rPr>
            </w:pPr>
            <w:r>
              <w:rPr>
                <w:sz w:val="21"/>
                <w:szCs w:val="21"/>
              </w:rPr>
              <w:t>7</w:t>
            </w:r>
          </w:p>
        </w:tc>
        <w:tc>
          <w:tcPr>
            <w:tcW w:w="1971" w:type="dxa"/>
            <w:tcBorders>
              <w:top w:val="single" w:sz="4" w:space="0" w:color="auto"/>
              <w:left w:val="single" w:sz="4" w:space="0" w:color="auto"/>
              <w:bottom w:val="single" w:sz="4" w:space="0" w:color="auto"/>
              <w:right w:val="single" w:sz="4" w:space="0" w:color="auto"/>
            </w:tcBorders>
          </w:tcPr>
          <w:p>
            <w:pPr>
              <w:pStyle w:val="TableParagraph"/>
              <w:spacing w:before="25"/>
              <w:ind w:right="80"/>
              <w:jc w:val="center"/>
              <w:rPr>
                <w:rFonts w:hint="eastAsia"/>
                <w:sz w:val="21"/>
                <w:szCs w:val="21"/>
              </w:rPr>
            </w:pPr>
            <w:r>
              <w:rPr>
                <w:sz w:val="21"/>
                <w:szCs w:val="21"/>
              </w:rPr>
              <w:t>高清摄像头控制键盘</w:t>
            </w:r>
          </w:p>
        </w:tc>
        <w:tc>
          <w:tcPr>
            <w:tcW w:w="2511" w:type="dxa"/>
            <w:tcBorders>
              <w:top w:val="single" w:sz="4" w:space="0" w:color="auto"/>
              <w:left w:val="single" w:sz="4" w:space="0" w:color="auto"/>
              <w:bottom w:val="single" w:sz="4" w:space="0" w:color="auto"/>
              <w:right w:val="single" w:sz="4" w:space="0" w:color="auto"/>
            </w:tcBorders>
          </w:tcPr>
          <w:p>
            <w:pPr>
              <w:pStyle w:val="TableParagraph"/>
              <w:spacing w:before="192"/>
              <w:jc w:val="center"/>
              <w:rPr>
                <w:rFonts w:hint="eastAsia"/>
                <w:sz w:val="21"/>
                <w:szCs w:val="21"/>
              </w:rPr>
            </w:pPr>
            <w:r>
              <w:rPr>
                <w:sz w:val="21"/>
                <w:szCs w:val="21"/>
              </w:rPr>
              <w:t>AW-RP50MC</w:t>
            </w:r>
          </w:p>
        </w:tc>
        <w:tc>
          <w:tcPr>
            <w:tcW w:w="1234" w:type="dxa"/>
            <w:tcBorders>
              <w:top w:val="single" w:sz="4" w:space="0" w:color="auto"/>
              <w:left w:val="single" w:sz="4" w:space="0" w:color="auto"/>
              <w:bottom w:val="single" w:sz="4" w:space="0" w:color="auto"/>
              <w:right w:val="single" w:sz="4" w:space="0" w:color="auto"/>
            </w:tcBorders>
          </w:tcPr>
          <w:p>
            <w:pPr>
              <w:pStyle w:val="TableParagraph"/>
              <w:spacing w:before="192"/>
              <w:ind w:left="7"/>
              <w:jc w:val="center"/>
              <w:rPr>
                <w:rFonts w:hint="eastAsia"/>
                <w:sz w:val="21"/>
                <w:szCs w:val="21"/>
              </w:rPr>
            </w:pPr>
            <w:r>
              <w:rPr>
                <w:sz w:val="21"/>
                <w:szCs w:val="21"/>
              </w:rPr>
              <w:t>1</w:t>
            </w:r>
          </w:p>
        </w:tc>
        <w:tc>
          <w:tcPr>
            <w:tcW w:w="2475" w:type="dxa"/>
            <w:tcBorders>
              <w:top w:val="single" w:sz="4" w:space="0" w:color="auto"/>
              <w:left w:val="single" w:sz="4" w:space="0" w:color="auto"/>
              <w:bottom w:val="single" w:sz="4" w:space="0" w:color="auto"/>
              <w:right w:val="single" w:sz="4" w:space="0" w:color="auto"/>
            </w:tcBorders>
          </w:tcPr>
          <w:p>
            <w:pPr>
              <w:pStyle w:val="TableParagraph"/>
              <w:jc w:val="center"/>
              <w:rPr>
                <w:rFonts w:hint="eastAsia"/>
                <w:sz w:val="21"/>
                <w:szCs w:val="21"/>
              </w:rPr>
            </w:pPr>
            <w:r>
              <w:rPr>
                <w:sz w:val="21"/>
                <w:szCs w:val="21"/>
              </w:rPr>
              <w:t>汉锐</w:t>
            </w:r>
          </w:p>
        </w:tc>
      </w:tr>
      <w:tr>
        <w:tblPrEx>
          <w:tblW w:w="0" w:type="auto"/>
          <w:tblInd w:w="114" w:type="dxa"/>
          <w:tblLayout w:type="fixed"/>
          <w:tblCellMar>
            <w:top w:w="0" w:type="dxa"/>
            <w:left w:w="0" w:type="dxa"/>
            <w:bottom w:w="0" w:type="dxa"/>
            <w:right w:w="0" w:type="dxa"/>
          </w:tblCellMar>
        </w:tblPrEx>
        <w:trPr>
          <w:trHeight w:val="623"/>
        </w:trPr>
        <w:tc>
          <w:tcPr>
            <w:tcW w:w="814" w:type="dxa"/>
            <w:tcBorders>
              <w:top w:val="single" w:sz="4" w:space="0" w:color="auto"/>
            </w:tcBorders>
          </w:tcPr>
          <w:p>
            <w:pPr>
              <w:pStyle w:val="TableParagraph"/>
              <w:spacing w:line="277" w:lineRule="exact"/>
              <w:ind w:right="96"/>
              <w:jc w:val="center"/>
              <w:rPr>
                <w:rFonts w:hint="eastAsia"/>
                <w:sz w:val="21"/>
                <w:szCs w:val="21"/>
              </w:rPr>
            </w:pPr>
            <w:r>
              <w:rPr>
                <w:sz w:val="21"/>
                <w:szCs w:val="21"/>
              </w:rPr>
              <w:t>8</w:t>
            </w:r>
          </w:p>
        </w:tc>
        <w:tc>
          <w:tcPr>
            <w:tcW w:w="1971" w:type="dxa"/>
            <w:tcBorders>
              <w:top w:val="single" w:sz="4" w:space="0" w:color="auto"/>
            </w:tcBorders>
          </w:tcPr>
          <w:p>
            <w:pPr>
              <w:pStyle w:val="TableParagraph"/>
              <w:spacing w:before="22"/>
              <w:ind w:right="80"/>
              <w:jc w:val="center"/>
              <w:rPr>
                <w:rFonts w:hint="eastAsia"/>
                <w:sz w:val="21"/>
                <w:szCs w:val="21"/>
              </w:rPr>
            </w:pPr>
            <w:r>
              <w:rPr>
                <w:sz w:val="21"/>
                <w:szCs w:val="21"/>
              </w:rPr>
              <w:t>会议综合管理控制平台</w:t>
            </w:r>
          </w:p>
        </w:tc>
        <w:tc>
          <w:tcPr>
            <w:tcW w:w="2511" w:type="dxa"/>
            <w:tcBorders>
              <w:top w:val="single" w:sz="4" w:space="0" w:color="auto"/>
            </w:tcBorders>
          </w:tcPr>
          <w:p>
            <w:pPr>
              <w:pStyle w:val="TableParagraph"/>
              <w:spacing w:before="190"/>
              <w:ind w:right="124"/>
              <w:jc w:val="center"/>
              <w:rPr>
                <w:rFonts w:hint="eastAsia"/>
                <w:sz w:val="21"/>
                <w:szCs w:val="21"/>
              </w:rPr>
            </w:pPr>
            <w:r>
              <w:rPr>
                <w:sz w:val="21"/>
                <w:szCs w:val="21"/>
              </w:rPr>
              <w:t>SMC 2.0</w:t>
            </w:r>
          </w:p>
        </w:tc>
        <w:tc>
          <w:tcPr>
            <w:tcW w:w="1234" w:type="dxa"/>
            <w:tcBorders>
              <w:top w:val="single" w:sz="4" w:space="0" w:color="auto"/>
            </w:tcBorders>
          </w:tcPr>
          <w:p>
            <w:pPr>
              <w:pStyle w:val="TableParagraph"/>
              <w:spacing w:before="190"/>
              <w:ind w:left="7"/>
              <w:jc w:val="center"/>
              <w:rPr>
                <w:rFonts w:hint="eastAsia"/>
                <w:sz w:val="21"/>
                <w:szCs w:val="21"/>
              </w:rPr>
            </w:pPr>
            <w:r>
              <w:rPr>
                <w:sz w:val="21"/>
                <w:szCs w:val="21"/>
              </w:rPr>
              <w:t>1</w:t>
            </w:r>
          </w:p>
        </w:tc>
        <w:tc>
          <w:tcPr>
            <w:tcW w:w="2475" w:type="dxa"/>
            <w:tcBorders>
              <w:top w:val="single" w:sz="4" w:space="0" w:color="auto"/>
            </w:tcBorders>
          </w:tcPr>
          <w:p>
            <w:pPr>
              <w:pStyle w:val="TableParagraph"/>
              <w:spacing w:before="178"/>
              <w:jc w:val="center"/>
              <w:rPr>
                <w:rFonts w:hint="eastAsia"/>
                <w:sz w:val="21"/>
                <w:szCs w:val="21"/>
              </w:rPr>
            </w:pPr>
            <w:r>
              <w:rPr>
                <w:sz w:val="21"/>
                <w:szCs w:val="21"/>
              </w:rPr>
              <w:t>华为</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line="277" w:lineRule="exact"/>
              <w:ind w:right="96"/>
              <w:jc w:val="center"/>
              <w:rPr>
                <w:rFonts w:hint="eastAsia"/>
                <w:sz w:val="21"/>
                <w:szCs w:val="21"/>
              </w:rPr>
            </w:pPr>
            <w:r>
              <w:rPr>
                <w:sz w:val="21"/>
                <w:szCs w:val="21"/>
              </w:rPr>
              <w:t>9</w:t>
            </w:r>
          </w:p>
        </w:tc>
        <w:tc>
          <w:tcPr>
            <w:tcW w:w="1971" w:type="dxa"/>
          </w:tcPr>
          <w:p>
            <w:pPr>
              <w:pStyle w:val="TableParagraph"/>
              <w:spacing w:before="178"/>
              <w:jc w:val="center"/>
              <w:rPr>
                <w:rFonts w:hint="eastAsia"/>
                <w:sz w:val="21"/>
                <w:szCs w:val="21"/>
              </w:rPr>
            </w:pPr>
            <w:r>
              <w:rPr>
                <w:sz w:val="21"/>
                <w:szCs w:val="21"/>
              </w:rPr>
              <w:t>高清DVI 编码器</w:t>
            </w:r>
          </w:p>
        </w:tc>
        <w:tc>
          <w:tcPr>
            <w:tcW w:w="2511" w:type="dxa"/>
          </w:tcPr>
          <w:p>
            <w:pPr>
              <w:pStyle w:val="TableParagraph"/>
              <w:spacing w:before="190"/>
              <w:jc w:val="center"/>
              <w:rPr>
                <w:rFonts w:hint="eastAsia"/>
                <w:sz w:val="21"/>
                <w:szCs w:val="21"/>
              </w:rPr>
            </w:pPr>
            <w:r>
              <w:rPr>
                <w:sz w:val="21"/>
                <w:szCs w:val="21"/>
              </w:rPr>
              <w:t>Kloud-A6-END</w:t>
            </w:r>
          </w:p>
        </w:tc>
        <w:tc>
          <w:tcPr>
            <w:tcW w:w="1234" w:type="dxa"/>
          </w:tcPr>
          <w:p>
            <w:pPr>
              <w:pStyle w:val="TableParagraph"/>
              <w:spacing w:before="190"/>
              <w:ind w:right="383"/>
              <w:jc w:val="center"/>
              <w:rPr>
                <w:rFonts w:hint="eastAsia"/>
                <w:sz w:val="21"/>
                <w:szCs w:val="21"/>
              </w:rPr>
            </w:pPr>
            <w:r>
              <w:rPr>
                <w:sz w:val="21"/>
                <w:szCs w:val="21"/>
              </w:rPr>
              <w:t>88</w:t>
            </w:r>
          </w:p>
        </w:tc>
        <w:tc>
          <w:tcPr>
            <w:tcW w:w="2475" w:type="dxa"/>
          </w:tcPr>
          <w:p>
            <w:pPr>
              <w:pStyle w:val="TableParagraph"/>
              <w:spacing w:before="116"/>
              <w:jc w:val="center"/>
              <w:rPr>
                <w:rFonts w:hint="eastAsia"/>
                <w:sz w:val="21"/>
                <w:szCs w:val="21"/>
              </w:rPr>
            </w:pPr>
            <w:r>
              <w:rPr>
                <w:rFonts w:hint="eastAsia"/>
                <w:sz w:val="21"/>
                <w:szCs w:val="21"/>
              </w:rPr>
              <w:t>淳中科技</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line="277" w:lineRule="exact"/>
              <w:ind w:right="96"/>
              <w:jc w:val="center"/>
              <w:rPr>
                <w:rFonts w:hint="eastAsia"/>
                <w:sz w:val="21"/>
                <w:szCs w:val="21"/>
              </w:rPr>
            </w:pPr>
            <w:r>
              <w:rPr>
                <w:sz w:val="21"/>
                <w:szCs w:val="21"/>
              </w:rPr>
              <w:t>10</w:t>
            </w:r>
          </w:p>
        </w:tc>
        <w:tc>
          <w:tcPr>
            <w:tcW w:w="1971" w:type="dxa"/>
          </w:tcPr>
          <w:p>
            <w:pPr>
              <w:pStyle w:val="TableParagraph"/>
              <w:spacing w:before="178"/>
              <w:jc w:val="center"/>
              <w:rPr>
                <w:rFonts w:hint="eastAsia"/>
                <w:sz w:val="21"/>
                <w:szCs w:val="21"/>
              </w:rPr>
            </w:pPr>
            <w:r>
              <w:rPr>
                <w:sz w:val="21"/>
                <w:szCs w:val="21"/>
              </w:rPr>
              <w:t>高清DVI 解码器</w:t>
            </w:r>
          </w:p>
        </w:tc>
        <w:tc>
          <w:tcPr>
            <w:tcW w:w="2511" w:type="dxa"/>
          </w:tcPr>
          <w:p>
            <w:pPr>
              <w:pStyle w:val="TableParagraph"/>
              <w:spacing w:before="190"/>
              <w:ind w:right="395"/>
              <w:jc w:val="center"/>
              <w:rPr>
                <w:rFonts w:hint="eastAsia"/>
                <w:sz w:val="21"/>
                <w:szCs w:val="21"/>
              </w:rPr>
            </w:pPr>
            <w:r>
              <w:rPr>
                <w:sz w:val="21"/>
                <w:szCs w:val="21"/>
              </w:rPr>
              <w:t>Kloud-A6-DEH Pro</w:t>
            </w:r>
          </w:p>
        </w:tc>
        <w:tc>
          <w:tcPr>
            <w:tcW w:w="1234" w:type="dxa"/>
          </w:tcPr>
          <w:p>
            <w:pPr>
              <w:pStyle w:val="TableParagraph"/>
              <w:spacing w:before="190"/>
              <w:ind w:right="383"/>
              <w:jc w:val="center"/>
              <w:rPr>
                <w:rFonts w:hint="eastAsia"/>
                <w:sz w:val="21"/>
                <w:szCs w:val="21"/>
              </w:rPr>
            </w:pPr>
            <w:r>
              <w:rPr>
                <w:sz w:val="21"/>
                <w:szCs w:val="21"/>
              </w:rPr>
              <w:t>54</w:t>
            </w:r>
          </w:p>
        </w:tc>
        <w:tc>
          <w:tcPr>
            <w:tcW w:w="2475" w:type="dxa"/>
          </w:tcPr>
          <w:p>
            <w:pPr>
              <w:pStyle w:val="TableParagraph"/>
              <w:spacing w:before="116"/>
              <w:jc w:val="center"/>
              <w:rPr>
                <w:rFonts w:hint="eastAsia"/>
                <w:sz w:val="21"/>
                <w:szCs w:val="21"/>
              </w:rPr>
            </w:pPr>
            <w:r>
              <w:rPr>
                <w:rFonts w:hint="eastAsia"/>
                <w:sz w:val="21"/>
                <w:szCs w:val="21"/>
              </w:rPr>
              <w:t>淳中科技</w:t>
            </w:r>
          </w:p>
        </w:tc>
      </w:tr>
      <w:tr>
        <w:tblPrEx>
          <w:tblW w:w="0" w:type="auto"/>
          <w:tblInd w:w="114" w:type="dxa"/>
          <w:tblLayout w:type="fixed"/>
          <w:tblCellMar>
            <w:top w:w="0" w:type="dxa"/>
            <w:left w:w="0" w:type="dxa"/>
            <w:bottom w:w="0" w:type="dxa"/>
            <w:right w:w="0" w:type="dxa"/>
          </w:tblCellMar>
        </w:tblPrEx>
        <w:trPr>
          <w:trHeight w:val="624"/>
        </w:trPr>
        <w:tc>
          <w:tcPr>
            <w:tcW w:w="814" w:type="dxa"/>
          </w:tcPr>
          <w:p>
            <w:pPr>
              <w:pStyle w:val="TableParagraph"/>
              <w:spacing w:line="277" w:lineRule="exact"/>
              <w:ind w:right="96"/>
              <w:jc w:val="center"/>
              <w:rPr>
                <w:rFonts w:hint="eastAsia"/>
                <w:sz w:val="21"/>
                <w:szCs w:val="21"/>
              </w:rPr>
            </w:pPr>
            <w:r>
              <w:rPr>
                <w:sz w:val="21"/>
                <w:szCs w:val="21"/>
              </w:rPr>
              <w:t>11</w:t>
            </w:r>
          </w:p>
        </w:tc>
        <w:tc>
          <w:tcPr>
            <w:tcW w:w="1971" w:type="dxa"/>
          </w:tcPr>
          <w:p>
            <w:pPr>
              <w:pStyle w:val="TableParagraph"/>
              <w:spacing w:before="179"/>
              <w:jc w:val="center"/>
              <w:rPr>
                <w:rFonts w:hint="eastAsia"/>
                <w:sz w:val="21"/>
                <w:szCs w:val="21"/>
              </w:rPr>
            </w:pPr>
            <w:r>
              <w:rPr>
                <w:sz w:val="21"/>
                <w:szCs w:val="21"/>
              </w:rPr>
              <w:t>多媒体解码模块</w:t>
            </w:r>
          </w:p>
        </w:tc>
        <w:tc>
          <w:tcPr>
            <w:tcW w:w="2511" w:type="dxa"/>
          </w:tcPr>
          <w:p>
            <w:pPr>
              <w:pStyle w:val="TableParagraph"/>
              <w:spacing w:before="190"/>
              <w:jc w:val="center"/>
              <w:rPr>
                <w:rFonts w:hint="eastAsia"/>
                <w:sz w:val="21"/>
                <w:szCs w:val="21"/>
              </w:rPr>
            </w:pPr>
            <w:r>
              <w:rPr>
                <w:sz w:val="21"/>
                <w:szCs w:val="21"/>
              </w:rPr>
              <w:t>AP-A6-HIO</w:t>
            </w:r>
          </w:p>
        </w:tc>
        <w:tc>
          <w:tcPr>
            <w:tcW w:w="1234" w:type="dxa"/>
          </w:tcPr>
          <w:p>
            <w:pPr>
              <w:pStyle w:val="TableParagraph"/>
              <w:spacing w:before="190"/>
              <w:ind w:right="383"/>
              <w:jc w:val="center"/>
              <w:rPr>
                <w:rFonts w:hint="eastAsia"/>
                <w:sz w:val="21"/>
                <w:szCs w:val="21"/>
              </w:rPr>
            </w:pPr>
            <w:r>
              <w:rPr>
                <w:sz w:val="21"/>
                <w:szCs w:val="21"/>
              </w:rPr>
              <w:t>30</w:t>
            </w:r>
          </w:p>
        </w:tc>
        <w:tc>
          <w:tcPr>
            <w:tcW w:w="2475" w:type="dxa"/>
          </w:tcPr>
          <w:p>
            <w:pPr>
              <w:pStyle w:val="TableParagraph"/>
              <w:spacing w:before="117"/>
              <w:jc w:val="center"/>
              <w:rPr>
                <w:rFonts w:hint="eastAsia"/>
                <w:sz w:val="21"/>
                <w:szCs w:val="21"/>
              </w:rPr>
            </w:pPr>
            <w:r>
              <w:rPr>
                <w:rFonts w:hint="eastAsia"/>
                <w:sz w:val="21"/>
                <w:szCs w:val="21"/>
              </w:rPr>
              <w:t>淳中科技</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line="277" w:lineRule="exact"/>
              <w:ind w:right="96"/>
              <w:jc w:val="center"/>
              <w:rPr>
                <w:rFonts w:hint="eastAsia"/>
                <w:sz w:val="21"/>
                <w:szCs w:val="21"/>
              </w:rPr>
            </w:pPr>
            <w:r>
              <w:rPr>
                <w:sz w:val="21"/>
                <w:szCs w:val="21"/>
              </w:rPr>
              <w:t>12</w:t>
            </w:r>
          </w:p>
        </w:tc>
        <w:tc>
          <w:tcPr>
            <w:tcW w:w="1971" w:type="dxa"/>
          </w:tcPr>
          <w:p>
            <w:pPr>
              <w:pStyle w:val="TableParagraph"/>
              <w:spacing w:before="178"/>
              <w:jc w:val="center"/>
              <w:rPr>
                <w:rFonts w:hint="eastAsia"/>
                <w:sz w:val="21"/>
                <w:szCs w:val="21"/>
              </w:rPr>
            </w:pPr>
            <w:r>
              <w:rPr>
                <w:sz w:val="21"/>
                <w:szCs w:val="21"/>
              </w:rPr>
              <w:t>光网主机</w:t>
            </w:r>
          </w:p>
        </w:tc>
        <w:tc>
          <w:tcPr>
            <w:tcW w:w="2511" w:type="dxa"/>
          </w:tcPr>
          <w:p>
            <w:pPr>
              <w:pStyle w:val="TableParagraph"/>
              <w:spacing w:before="190"/>
              <w:ind w:right="353"/>
              <w:jc w:val="center"/>
              <w:rPr>
                <w:rFonts w:hint="eastAsia"/>
                <w:sz w:val="21"/>
                <w:szCs w:val="21"/>
              </w:rPr>
            </w:pPr>
            <w:r>
              <w:rPr>
                <w:sz w:val="21"/>
                <w:szCs w:val="21"/>
              </w:rPr>
              <w:t>TFL-1100CD-A7-Tx</w:t>
            </w:r>
          </w:p>
        </w:tc>
        <w:tc>
          <w:tcPr>
            <w:tcW w:w="1234" w:type="dxa"/>
          </w:tcPr>
          <w:p>
            <w:pPr>
              <w:pStyle w:val="TableParagraph"/>
              <w:spacing w:before="190"/>
              <w:ind w:right="383"/>
              <w:jc w:val="center"/>
              <w:rPr>
                <w:rFonts w:hint="eastAsia"/>
                <w:sz w:val="21"/>
                <w:szCs w:val="21"/>
              </w:rPr>
            </w:pPr>
            <w:r>
              <w:rPr>
                <w:sz w:val="21"/>
                <w:szCs w:val="21"/>
              </w:rPr>
              <w:t>11</w:t>
            </w:r>
          </w:p>
        </w:tc>
        <w:tc>
          <w:tcPr>
            <w:tcW w:w="2475" w:type="dxa"/>
          </w:tcPr>
          <w:p>
            <w:pPr>
              <w:pStyle w:val="TableParagraph"/>
              <w:spacing w:before="116"/>
              <w:jc w:val="center"/>
              <w:rPr>
                <w:rFonts w:hint="eastAsia"/>
                <w:sz w:val="21"/>
                <w:szCs w:val="21"/>
              </w:rPr>
            </w:pPr>
            <w:r>
              <w:rPr>
                <w:rFonts w:hint="eastAsia"/>
                <w:sz w:val="21"/>
                <w:szCs w:val="21"/>
              </w:rPr>
              <w:t>淳中科技</w:t>
            </w:r>
          </w:p>
        </w:tc>
      </w:tr>
      <w:tr>
        <w:tblPrEx>
          <w:tblW w:w="0" w:type="auto"/>
          <w:tblInd w:w="114" w:type="dxa"/>
          <w:tblLayout w:type="fixed"/>
          <w:tblCellMar>
            <w:top w:w="0" w:type="dxa"/>
            <w:left w:w="0" w:type="dxa"/>
            <w:bottom w:w="0" w:type="dxa"/>
            <w:right w:w="0" w:type="dxa"/>
          </w:tblCellMar>
        </w:tblPrEx>
        <w:trPr>
          <w:trHeight w:val="314"/>
        </w:trPr>
        <w:tc>
          <w:tcPr>
            <w:tcW w:w="814" w:type="dxa"/>
          </w:tcPr>
          <w:p>
            <w:pPr>
              <w:pStyle w:val="TableParagraph"/>
              <w:spacing w:before="17" w:line="277" w:lineRule="exact"/>
              <w:ind w:right="96"/>
              <w:jc w:val="center"/>
              <w:rPr>
                <w:rFonts w:hint="eastAsia"/>
                <w:sz w:val="21"/>
                <w:szCs w:val="21"/>
              </w:rPr>
            </w:pPr>
            <w:r>
              <w:rPr>
                <w:sz w:val="21"/>
                <w:szCs w:val="21"/>
              </w:rPr>
              <w:t>13</w:t>
            </w:r>
          </w:p>
        </w:tc>
        <w:tc>
          <w:tcPr>
            <w:tcW w:w="1971" w:type="dxa"/>
          </w:tcPr>
          <w:p>
            <w:pPr>
              <w:pStyle w:val="TableParagraph"/>
              <w:spacing w:before="25"/>
              <w:ind w:right="82"/>
              <w:jc w:val="center"/>
              <w:rPr>
                <w:rFonts w:hint="eastAsia"/>
                <w:sz w:val="21"/>
                <w:szCs w:val="21"/>
              </w:rPr>
            </w:pPr>
            <w:r>
              <w:rPr>
                <w:sz w:val="21"/>
                <w:szCs w:val="21"/>
              </w:rPr>
              <w:t>字幕机</w:t>
            </w:r>
          </w:p>
        </w:tc>
        <w:tc>
          <w:tcPr>
            <w:tcW w:w="2511" w:type="dxa"/>
          </w:tcPr>
          <w:p>
            <w:pPr>
              <w:pStyle w:val="TableParagraph"/>
              <w:spacing w:before="36"/>
              <w:jc w:val="center"/>
              <w:rPr>
                <w:rFonts w:hint="eastAsia"/>
                <w:sz w:val="21"/>
                <w:szCs w:val="21"/>
              </w:rPr>
            </w:pPr>
            <w:r>
              <w:rPr>
                <w:sz w:val="21"/>
                <w:szCs w:val="21"/>
              </w:rPr>
              <w:t>Gvt-HDCG1000</w:t>
            </w:r>
          </w:p>
        </w:tc>
        <w:tc>
          <w:tcPr>
            <w:tcW w:w="1234" w:type="dxa"/>
          </w:tcPr>
          <w:p>
            <w:pPr>
              <w:pStyle w:val="TableParagraph"/>
              <w:spacing w:before="36"/>
              <w:ind w:left="7"/>
              <w:jc w:val="center"/>
              <w:rPr>
                <w:rFonts w:hint="eastAsia"/>
                <w:sz w:val="21"/>
                <w:szCs w:val="21"/>
              </w:rPr>
            </w:pPr>
            <w:r>
              <w:rPr>
                <w:sz w:val="21"/>
                <w:szCs w:val="21"/>
              </w:rPr>
              <w:t>1</w:t>
            </w:r>
          </w:p>
        </w:tc>
        <w:tc>
          <w:tcPr>
            <w:tcW w:w="2475" w:type="dxa"/>
          </w:tcPr>
          <w:p>
            <w:pPr>
              <w:pStyle w:val="TableParagraph"/>
              <w:spacing w:before="25"/>
              <w:jc w:val="center"/>
              <w:rPr>
                <w:rFonts w:hint="eastAsia"/>
                <w:sz w:val="21"/>
                <w:szCs w:val="21"/>
              </w:rPr>
            </w:pPr>
            <w:r>
              <w:rPr>
                <w:sz w:val="21"/>
                <w:szCs w:val="21"/>
              </w:rPr>
              <w:t>名视鸿达</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line="277" w:lineRule="exact"/>
              <w:ind w:right="96"/>
              <w:jc w:val="center"/>
              <w:rPr>
                <w:rFonts w:hint="eastAsia"/>
                <w:sz w:val="21"/>
                <w:szCs w:val="21"/>
              </w:rPr>
            </w:pPr>
            <w:r>
              <w:rPr>
                <w:sz w:val="21"/>
                <w:szCs w:val="21"/>
              </w:rPr>
              <w:t>14</w:t>
            </w:r>
          </w:p>
        </w:tc>
        <w:tc>
          <w:tcPr>
            <w:tcW w:w="1971" w:type="dxa"/>
          </w:tcPr>
          <w:p>
            <w:pPr>
              <w:pStyle w:val="TableParagraph"/>
              <w:spacing w:before="22"/>
              <w:ind w:right="82"/>
              <w:jc w:val="center"/>
              <w:rPr>
                <w:rFonts w:hint="eastAsia"/>
                <w:sz w:val="21"/>
                <w:szCs w:val="21"/>
              </w:rPr>
            </w:pPr>
            <w:r>
              <w:rPr>
                <w:sz w:val="21"/>
                <w:szCs w:val="21"/>
              </w:rPr>
              <w:t>数字音频处理器-主用</w:t>
            </w:r>
          </w:p>
        </w:tc>
        <w:tc>
          <w:tcPr>
            <w:tcW w:w="2511" w:type="dxa"/>
          </w:tcPr>
          <w:p>
            <w:pPr>
              <w:pStyle w:val="TableParagraph"/>
              <w:spacing w:before="190"/>
              <w:jc w:val="center"/>
              <w:rPr>
                <w:rFonts w:hint="eastAsia"/>
                <w:sz w:val="21"/>
                <w:szCs w:val="21"/>
              </w:rPr>
            </w:pPr>
            <w:r>
              <w:rPr>
                <w:sz w:val="21"/>
                <w:szCs w:val="21"/>
              </w:rPr>
              <w:t>Converge pro2</w:t>
            </w:r>
          </w:p>
        </w:tc>
        <w:tc>
          <w:tcPr>
            <w:tcW w:w="1234" w:type="dxa"/>
          </w:tcPr>
          <w:p>
            <w:pPr>
              <w:pStyle w:val="TableParagraph"/>
              <w:spacing w:before="190"/>
              <w:ind w:left="7"/>
              <w:jc w:val="center"/>
              <w:rPr>
                <w:rFonts w:hint="eastAsia"/>
                <w:sz w:val="21"/>
                <w:szCs w:val="21"/>
              </w:rPr>
            </w:pPr>
            <w:r>
              <w:rPr>
                <w:sz w:val="21"/>
                <w:szCs w:val="21"/>
              </w:rPr>
              <w:t>1</w:t>
            </w:r>
          </w:p>
        </w:tc>
        <w:tc>
          <w:tcPr>
            <w:tcW w:w="2475" w:type="dxa"/>
          </w:tcPr>
          <w:p>
            <w:pPr>
              <w:pStyle w:val="TableParagraph"/>
              <w:spacing w:before="111"/>
              <w:jc w:val="center"/>
              <w:rPr>
                <w:rFonts w:hint="eastAsia"/>
                <w:sz w:val="21"/>
                <w:szCs w:val="21"/>
              </w:rPr>
            </w:pPr>
            <w:r>
              <w:rPr>
                <w:sz w:val="21"/>
                <w:szCs w:val="21"/>
              </w:rPr>
              <w:t>Clearone（</w:t>
            </w:r>
            <w:r>
              <w:rPr>
                <w:rFonts w:hint="eastAsia"/>
                <w:i/>
                <w:sz w:val="21"/>
                <w:szCs w:val="21"/>
              </w:rPr>
              <w:t>伟创力</w:t>
            </w:r>
            <w:r>
              <w:rPr>
                <w:sz w:val="21"/>
                <w:szCs w:val="21"/>
              </w:rPr>
              <w:t>）</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line="277" w:lineRule="exact"/>
              <w:ind w:right="96"/>
              <w:jc w:val="center"/>
              <w:rPr>
                <w:rFonts w:hint="eastAsia"/>
                <w:sz w:val="21"/>
                <w:szCs w:val="21"/>
              </w:rPr>
            </w:pPr>
            <w:r>
              <w:rPr>
                <w:sz w:val="21"/>
                <w:szCs w:val="21"/>
              </w:rPr>
              <w:t>15</w:t>
            </w:r>
          </w:p>
        </w:tc>
        <w:tc>
          <w:tcPr>
            <w:tcW w:w="1971" w:type="dxa"/>
          </w:tcPr>
          <w:p>
            <w:pPr>
              <w:pStyle w:val="TableParagraph"/>
              <w:spacing w:before="22"/>
              <w:ind w:right="82"/>
              <w:jc w:val="center"/>
              <w:rPr>
                <w:rFonts w:hint="eastAsia"/>
                <w:sz w:val="21"/>
                <w:szCs w:val="21"/>
              </w:rPr>
            </w:pPr>
            <w:r>
              <w:rPr>
                <w:sz w:val="21"/>
                <w:szCs w:val="21"/>
              </w:rPr>
              <w:t>数字音频处理器-备用</w:t>
            </w:r>
          </w:p>
        </w:tc>
        <w:tc>
          <w:tcPr>
            <w:tcW w:w="2511" w:type="dxa"/>
          </w:tcPr>
          <w:p>
            <w:pPr>
              <w:pStyle w:val="TableParagraph"/>
              <w:spacing w:before="190"/>
              <w:jc w:val="center"/>
              <w:rPr>
                <w:rFonts w:hint="eastAsia"/>
                <w:sz w:val="21"/>
                <w:szCs w:val="21"/>
              </w:rPr>
            </w:pPr>
            <w:r>
              <w:rPr>
                <w:sz w:val="21"/>
                <w:szCs w:val="21"/>
              </w:rPr>
              <w:t>Converge pro2</w:t>
            </w:r>
          </w:p>
        </w:tc>
        <w:tc>
          <w:tcPr>
            <w:tcW w:w="1234" w:type="dxa"/>
          </w:tcPr>
          <w:p>
            <w:pPr>
              <w:pStyle w:val="TableParagraph"/>
              <w:spacing w:before="190"/>
              <w:ind w:left="7"/>
              <w:jc w:val="center"/>
              <w:rPr>
                <w:rFonts w:hint="eastAsia"/>
                <w:sz w:val="21"/>
                <w:szCs w:val="21"/>
              </w:rPr>
            </w:pPr>
            <w:r>
              <w:rPr>
                <w:sz w:val="21"/>
                <w:szCs w:val="21"/>
              </w:rPr>
              <w:t>1</w:t>
            </w:r>
          </w:p>
        </w:tc>
        <w:tc>
          <w:tcPr>
            <w:tcW w:w="2475" w:type="dxa"/>
          </w:tcPr>
          <w:p>
            <w:pPr>
              <w:pStyle w:val="TableParagraph"/>
              <w:spacing w:before="111"/>
              <w:jc w:val="center"/>
              <w:rPr>
                <w:rFonts w:hint="eastAsia"/>
                <w:sz w:val="21"/>
                <w:szCs w:val="21"/>
              </w:rPr>
            </w:pPr>
            <w:r>
              <w:rPr>
                <w:sz w:val="21"/>
                <w:szCs w:val="21"/>
              </w:rPr>
              <w:t>Clearone（</w:t>
            </w:r>
            <w:r>
              <w:rPr>
                <w:rFonts w:hint="eastAsia"/>
                <w:i/>
                <w:sz w:val="21"/>
                <w:szCs w:val="21"/>
              </w:rPr>
              <w:t>伟创力</w:t>
            </w:r>
            <w:r>
              <w:rPr>
                <w:sz w:val="21"/>
                <w:szCs w:val="21"/>
              </w:rPr>
              <w:t>）</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5" w:line="277" w:lineRule="exact"/>
              <w:ind w:right="96"/>
              <w:jc w:val="center"/>
              <w:rPr>
                <w:rFonts w:hint="eastAsia"/>
                <w:sz w:val="21"/>
                <w:szCs w:val="21"/>
              </w:rPr>
            </w:pPr>
            <w:r>
              <w:rPr>
                <w:sz w:val="21"/>
                <w:szCs w:val="21"/>
              </w:rPr>
              <w:t>16</w:t>
            </w:r>
          </w:p>
        </w:tc>
        <w:tc>
          <w:tcPr>
            <w:tcW w:w="1971" w:type="dxa"/>
          </w:tcPr>
          <w:p>
            <w:pPr>
              <w:pStyle w:val="TableParagraph"/>
              <w:spacing w:before="22"/>
              <w:ind w:right="82"/>
              <w:jc w:val="center"/>
              <w:rPr>
                <w:rFonts w:hint="eastAsia"/>
                <w:sz w:val="21"/>
                <w:szCs w:val="21"/>
              </w:rPr>
            </w:pPr>
            <w:r>
              <w:rPr>
                <w:sz w:val="21"/>
                <w:szCs w:val="21"/>
              </w:rPr>
              <w:t>音箱</w:t>
            </w:r>
          </w:p>
        </w:tc>
        <w:tc>
          <w:tcPr>
            <w:tcW w:w="2511" w:type="dxa"/>
          </w:tcPr>
          <w:p>
            <w:pPr>
              <w:pStyle w:val="TableParagraph"/>
              <w:spacing w:before="34"/>
              <w:ind w:right="124"/>
              <w:jc w:val="center"/>
              <w:rPr>
                <w:rFonts w:hint="eastAsia"/>
                <w:sz w:val="21"/>
                <w:szCs w:val="21"/>
              </w:rPr>
            </w:pPr>
            <w:r>
              <w:rPr>
                <w:sz w:val="21"/>
                <w:szCs w:val="21"/>
              </w:rPr>
              <w:t>LSR305</w:t>
            </w:r>
          </w:p>
        </w:tc>
        <w:tc>
          <w:tcPr>
            <w:tcW w:w="1234" w:type="dxa"/>
          </w:tcPr>
          <w:p>
            <w:pPr>
              <w:pStyle w:val="TableParagraph"/>
              <w:spacing w:before="34"/>
              <w:ind w:left="7"/>
              <w:jc w:val="center"/>
              <w:rPr>
                <w:rFonts w:hint="eastAsia"/>
                <w:sz w:val="21"/>
                <w:szCs w:val="21"/>
              </w:rPr>
            </w:pPr>
            <w:r>
              <w:rPr>
                <w:sz w:val="21"/>
                <w:szCs w:val="21"/>
              </w:rPr>
              <w:t>2</w:t>
            </w:r>
          </w:p>
        </w:tc>
        <w:tc>
          <w:tcPr>
            <w:tcW w:w="2475" w:type="dxa"/>
          </w:tcPr>
          <w:p>
            <w:pPr>
              <w:pStyle w:val="TableParagraph"/>
              <w:spacing w:before="22"/>
              <w:jc w:val="center"/>
              <w:rPr>
                <w:rFonts w:hint="eastAsia"/>
                <w:sz w:val="21"/>
                <w:szCs w:val="21"/>
              </w:rPr>
            </w:pPr>
            <w:r>
              <w:rPr>
                <w:sz w:val="21"/>
                <w:szCs w:val="21"/>
              </w:rPr>
              <w:t>JBL（杰宝）</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5" w:line="277" w:lineRule="exact"/>
              <w:ind w:right="96"/>
              <w:jc w:val="center"/>
              <w:rPr>
                <w:rFonts w:hint="eastAsia"/>
                <w:sz w:val="21"/>
                <w:szCs w:val="21"/>
              </w:rPr>
            </w:pPr>
            <w:r>
              <w:rPr>
                <w:sz w:val="21"/>
                <w:szCs w:val="21"/>
              </w:rPr>
              <w:t>17</w:t>
            </w:r>
          </w:p>
        </w:tc>
        <w:tc>
          <w:tcPr>
            <w:tcW w:w="1971" w:type="dxa"/>
          </w:tcPr>
          <w:p>
            <w:pPr>
              <w:pStyle w:val="TableParagraph"/>
              <w:spacing w:before="22"/>
              <w:jc w:val="center"/>
              <w:rPr>
                <w:rFonts w:hint="eastAsia"/>
                <w:sz w:val="21"/>
                <w:szCs w:val="21"/>
              </w:rPr>
            </w:pPr>
            <w:r>
              <w:rPr>
                <w:sz w:val="21"/>
                <w:szCs w:val="21"/>
              </w:rPr>
              <w:t>有线话筒</w:t>
            </w:r>
          </w:p>
        </w:tc>
        <w:tc>
          <w:tcPr>
            <w:tcW w:w="2511" w:type="dxa"/>
          </w:tcPr>
          <w:p>
            <w:pPr>
              <w:pStyle w:val="TableParagraph"/>
              <w:spacing w:before="34"/>
              <w:jc w:val="center"/>
              <w:rPr>
                <w:rFonts w:hint="eastAsia"/>
                <w:sz w:val="21"/>
                <w:szCs w:val="21"/>
              </w:rPr>
            </w:pPr>
            <w:r>
              <w:rPr>
                <w:sz w:val="21"/>
                <w:szCs w:val="21"/>
              </w:rPr>
              <w:t>MX412DC</w:t>
            </w:r>
          </w:p>
        </w:tc>
        <w:tc>
          <w:tcPr>
            <w:tcW w:w="1234" w:type="dxa"/>
          </w:tcPr>
          <w:p>
            <w:pPr>
              <w:pStyle w:val="TableParagraph"/>
              <w:spacing w:before="34"/>
              <w:ind w:left="7"/>
              <w:jc w:val="center"/>
              <w:rPr>
                <w:rFonts w:hint="eastAsia"/>
                <w:sz w:val="21"/>
                <w:szCs w:val="21"/>
              </w:rPr>
            </w:pPr>
            <w:r>
              <w:rPr>
                <w:sz w:val="21"/>
                <w:szCs w:val="21"/>
              </w:rPr>
              <w:t>2</w:t>
            </w:r>
          </w:p>
        </w:tc>
        <w:tc>
          <w:tcPr>
            <w:tcW w:w="2475" w:type="dxa"/>
          </w:tcPr>
          <w:p>
            <w:pPr>
              <w:pStyle w:val="TableParagraph"/>
              <w:spacing w:before="22"/>
              <w:jc w:val="center"/>
              <w:rPr>
                <w:rFonts w:hint="eastAsia"/>
                <w:sz w:val="21"/>
                <w:szCs w:val="21"/>
              </w:rPr>
            </w:pPr>
            <w:r>
              <w:rPr>
                <w:sz w:val="21"/>
                <w:szCs w:val="21"/>
              </w:rPr>
              <w:t>舒尔</w:t>
            </w:r>
          </w:p>
        </w:tc>
      </w:tr>
      <w:tr>
        <w:tblPrEx>
          <w:tblW w:w="0" w:type="auto"/>
          <w:tblInd w:w="114" w:type="dxa"/>
          <w:tblLayout w:type="fixed"/>
          <w:tblCellMar>
            <w:top w:w="0" w:type="dxa"/>
            <w:left w:w="0" w:type="dxa"/>
            <w:bottom w:w="0" w:type="dxa"/>
            <w:right w:w="0" w:type="dxa"/>
          </w:tblCellMar>
        </w:tblPrEx>
        <w:trPr>
          <w:trHeight w:val="314"/>
        </w:trPr>
        <w:tc>
          <w:tcPr>
            <w:tcW w:w="814" w:type="dxa"/>
          </w:tcPr>
          <w:p>
            <w:pPr>
              <w:pStyle w:val="TableParagraph"/>
              <w:spacing w:before="15" w:line="279" w:lineRule="exact"/>
              <w:ind w:right="96"/>
              <w:jc w:val="center"/>
              <w:rPr>
                <w:rFonts w:hint="eastAsia"/>
                <w:sz w:val="21"/>
                <w:szCs w:val="21"/>
              </w:rPr>
            </w:pPr>
            <w:r>
              <w:rPr>
                <w:sz w:val="21"/>
                <w:szCs w:val="21"/>
              </w:rPr>
              <w:t>18</w:t>
            </w:r>
          </w:p>
        </w:tc>
        <w:tc>
          <w:tcPr>
            <w:tcW w:w="1971" w:type="dxa"/>
          </w:tcPr>
          <w:p>
            <w:pPr>
              <w:pStyle w:val="TableParagraph"/>
              <w:spacing w:before="23"/>
              <w:jc w:val="center"/>
              <w:rPr>
                <w:rFonts w:hint="eastAsia"/>
                <w:sz w:val="21"/>
                <w:szCs w:val="21"/>
              </w:rPr>
            </w:pPr>
            <w:r>
              <w:rPr>
                <w:sz w:val="21"/>
                <w:szCs w:val="21"/>
              </w:rPr>
              <w:t>无线话筒</w:t>
            </w:r>
          </w:p>
        </w:tc>
        <w:tc>
          <w:tcPr>
            <w:tcW w:w="2511" w:type="dxa"/>
          </w:tcPr>
          <w:p>
            <w:pPr>
              <w:pStyle w:val="TableParagraph"/>
              <w:spacing w:before="34"/>
              <w:jc w:val="center"/>
              <w:rPr>
                <w:rFonts w:hint="eastAsia"/>
                <w:sz w:val="21"/>
                <w:szCs w:val="21"/>
              </w:rPr>
            </w:pPr>
            <w:r>
              <w:rPr>
                <w:sz w:val="21"/>
                <w:szCs w:val="21"/>
              </w:rPr>
              <w:t>SLX24/SM58</w:t>
            </w:r>
          </w:p>
        </w:tc>
        <w:tc>
          <w:tcPr>
            <w:tcW w:w="1234" w:type="dxa"/>
          </w:tcPr>
          <w:p>
            <w:pPr>
              <w:pStyle w:val="TableParagraph"/>
              <w:spacing w:before="34"/>
              <w:ind w:left="7"/>
              <w:jc w:val="center"/>
              <w:rPr>
                <w:rFonts w:hint="eastAsia"/>
                <w:sz w:val="21"/>
                <w:szCs w:val="21"/>
              </w:rPr>
            </w:pPr>
            <w:r>
              <w:rPr>
                <w:sz w:val="21"/>
                <w:szCs w:val="21"/>
              </w:rPr>
              <w:t>2</w:t>
            </w:r>
          </w:p>
        </w:tc>
        <w:tc>
          <w:tcPr>
            <w:tcW w:w="2475" w:type="dxa"/>
          </w:tcPr>
          <w:p>
            <w:pPr>
              <w:pStyle w:val="TableParagraph"/>
              <w:spacing w:before="23"/>
              <w:jc w:val="center"/>
              <w:rPr>
                <w:rFonts w:hint="eastAsia"/>
                <w:sz w:val="21"/>
                <w:szCs w:val="21"/>
              </w:rPr>
            </w:pPr>
            <w:r>
              <w:rPr>
                <w:sz w:val="21"/>
                <w:szCs w:val="21"/>
              </w:rPr>
              <w:t>舒尔</w:t>
            </w:r>
          </w:p>
        </w:tc>
      </w:tr>
    </w:tbl>
    <w:p>
      <w:pPr>
        <w:jc w:val="center"/>
        <w:sectPr>
          <w:pgSz w:w="11910" w:h="16840"/>
          <w:pgMar w:top="1440" w:right="1160" w:bottom="1240" w:left="1480" w:header="0" w:footer="973" w:gutter="0"/>
          <w:cols w:num="1" w:space="720"/>
        </w:sectPr>
      </w:pPr>
    </w:p>
    <w:p>
      <w:pPr>
        <w:jc w:val="center"/>
        <w:rPr>
          <w:rFonts w:ascii="Calibri" w:hAnsi="Calibri"/>
          <w:sz w:val="2"/>
          <w:szCs w:val="2"/>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814"/>
        <w:gridCol w:w="1971"/>
        <w:gridCol w:w="2511"/>
        <w:gridCol w:w="1234"/>
        <w:gridCol w:w="2475"/>
      </w:tblGrid>
      <w:tr>
        <w:tblPrEx>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19</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监听耳麦</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K271</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5</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爱科技</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20</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内部通话系统</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TY-880PRO</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天影视通</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21</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电视墙服务器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TVS-HDX</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sz w:val="20"/>
              </w:rPr>
              <w:t>超然</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22</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LCD 液晶拼接显示屏</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VD55-L22</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24</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sz w:val="20"/>
              </w:rPr>
              <w:t>TCL</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23</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监控电视墙框架</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定做</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sz w:val="20"/>
              </w:rPr>
              <w:t>TCL</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24</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大屏拼接处理器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AP-A6-2454DFHI</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sz w:val="20"/>
              </w:rPr>
              <w:t>淳中科技</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25</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综合管理控制平台（定制）</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定制</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恒泰实达</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26</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综合管理控制平台主服务器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R430</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戴尔</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27</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综合管理控制平台备用服务器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right="124"/>
              <w:jc w:val="center"/>
              <w:rPr>
                <w:rFonts w:hint="eastAsia"/>
                <w:sz w:val="21"/>
              </w:rPr>
            </w:pPr>
            <w:r>
              <w:rPr>
                <w:sz w:val="21"/>
              </w:rPr>
              <w:t>R430</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戴尔</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28</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中控主机</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MULTICUSTOM/IP</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威尔</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29</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电源管理设备</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AP-A6-PW-8</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3</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淳中科技</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30</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控制终端</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Optiplex 3050MFF/3046M</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6</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戴尔</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31</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KVM 切换器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KH2516A</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宏正</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32</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KVM 信号延长器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CE700A</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2</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宏正</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33</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核心交换机</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RG-S7808C</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3</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锐捷</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34</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接入交换机</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RG-S2952G-E V3</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3</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锐捷</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35</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交换机光模块</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MINI-GBIC-LX-SM1310</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20</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hint="eastAsia"/>
                <w:sz w:val="20"/>
              </w:rPr>
              <w:t>锐捷</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36</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高清播放器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HMP8100</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1</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sz w:val="20"/>
              </w:rPr>
              <w:t>飞利浦</w:t>
            </w: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37</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管理控制主机</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定制</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2</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p>
        </w:tc>
      </w:tr>
      <w:tr>
        <w:tblPrEx>
          <w:tblW w:w="0" w:type="auto"/>
          <w:tblInd w:w="114" w:type="dxa"/>
          <w:tblLayout w:type="fixed"/>
          <w:tblCellMar>
            <w:top w:w="0" w:type="dxa"/>
            <w:left w:w="0" w:type="dxa"/>
            <w:bottom w:w="0" w:type="dxa"/>
            <w:right w:w="0" w:type="dxa"/>
          </w:tblCellMar>
        </w:tblPrEx>
        <w:trPr>
          <w:trHeight w:val="312"/>
        </w:trPr>
        <w:tc>
          <w:tcPr>
            <w:tcW w:w="814" w:type="dxa"/>
            <w:tcBorders>
              <w:top w:val="nil"/>
              <w:left w:val="single" w:sz="4" w:space="0" w:color="000000"/>
              <w:bottom w:val="single" w:sz="4" w:space="0" w:color="000000"/>
              <w:right w:val="single" w:sz="4" w:space="0" w:color="000000"/>
            </w:tcBorders>
          </w:tcPr>
          <w:p>
            <w:pPr>
              <w:pStyle w:val="TableParagraph"/>
              <w:spacing w:before="18"/>
              <w:ind w:right="96"/>
              <w:jc w:val="center"/>
              <w:rPr>
                <w:rFonts w:hint="eastAsia"/>
                <w:sz w:val="21"/>
              </w:rPr>
            </w:pPr>
            <w:r>
              <w:rPr>
                <w:sz w:val="21"/>
              </w:rPr>
              <w:t>38</w:t>
            </w:r>
          </w:p>
        </w:tc>
        <w:tc>
          <w:tcPr>
            <w:tcW w:w="1971" w:type="dxa"/>
            <w:tcBorders>
              <w:top w:val="nil"/>
              <w:left w:val="single" w:sz="4" w:space="0" w:color="000000"/>
              <w:bottom w:val="single" w:sz="4" w:space="0" w:color="000000"/>
              <w:right w:val="single" w:sz="4" w:space="0" w:color="000000"/>
            </w:tcBorders>
          </w:tcPr>
          <w:p>
            <w:pPr>
              <w:pStyle w:val="TableParagraph"/>
              <w:spacing w:before="18"/>
              <w:ind w:right="82"/>
              <w:jc w:val="center"/>
              <w:rPr>
                <w:rFonts w:hint="eastAsia"/>
                <w:sz w:val="21"/>
              </w:rPr>
            </w:pPr>
            <w:r>
              <w:rPr>
                <w:sz w:val="21"/>
              </w:rPr>
              <w:t>音频编解码器</w:t>
            </w:r>
          </w:p>
        </w:tc>
        <w:tc>
          <w:tcPr>
            <w:tcW w:w="2511" w:type="dxa"/>
            <w:tcBorders>
              <w:top w:val="nil"/>
              <w:left w:val="single" w:sz="4" w:space="0" w:color="000000"/>
              <w:bottom w:val="single" w:sz="4" w:space="0" w:color="000000"/>
              <w:right w:val="single" w:sz="4" w:space="0" w:color="000000"/>
            </w:tcBorders>
          </w:tcPr>
          <w:p>
            <w:pPr>
              <w:pStyle w:val="TableParagraph"/>
              <w:spacing w:before="18"/>
              <w:ind w:left="132" w:right="124"/>
              <w:jc w:val="center"/>
              <w:rPr>
                <w:rFonts w:hint="eastAsia"/>
                <w:sz w:val="21"/>
              </w:rPr>
            </w:pPr>
            <w:r>
              <w:rPr>
                <w:sz w:val="21"/>
              </w:rPr>
              <w:t>RDA1E</w:t>
            </w:r>
          </w:p>
        </w:tc>
        <w:tc>
          <w:tcPr>
            <w:tcW w:w="1234" w:type="dxa"/>
            <w:tcBorders>
              <w:top w:val="nil"/>
              <w:left w:val="single" w:sz="4" w:space="0" w:color="000000"/>
              <w:bottom w:val="single" w:sz="4" w:space="0" w:color="000000"/>
              <w:right w:val="single" w:sz="4" w:space="0" w:color="000000"/>
            </w:tcBorders>
          </w:tcPr>
          <w:p>
            <w:pPr>
              <w:pStyle w:val="TableParagraph"/>
              <w:spacing w:before="18"/>
              <w:ind w:left="7"/>
              <w:jc w:val="center"/>
              <w:rPr>
                <w:rFonts w:hint="eastAsia"/>
                <w:sz w:val="21"/>
              </w:rPr>
            </w:pPr>
            <w:r>
              <w:rPr>
                <w:sz w:val="21"/>
              </w:rPr>
              <w:t>6</w:t>
            </w:r>
          </w:p>
        </w:tc>
        <w:tc>
          <w:tcPr>
            <w:tcW w:w="2475" w:type="dxa"/>
            <w:tcBorders>
              <w:top w:val="nil"/>
              <w:left w:val="single" w:sz="4" w:space="0" w:color="000000"/>
              <w:bottom w:val="single" w:sz="4" w:space="0" w:color="000000"/>
              <w:right w:val="single" w:sz="4" w:space="0" w:color="000000"/>
            </w:tcBorders>
          </w:tcPr>
          <w:p>
            <w:pPr>
              <w:pStyle w:val="TableParagraph"/>
              <w:jc w:val="center"/>
              <w:rPr>
                <w:rFonts w:ascii="Times New Roman" w:hint="eastAsia"/>
                <w:sz w:val="20"/>
              </w:rPr>
            </w:pPr>
            <w:r>
              <w:rPr>
                <w:rFonts w:ascii="Times New Roman"/>
                <w:sz w:val="20"/>
              </w:rPr>
              <w:t>RD</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39</w:t>
            </w:r>
          </w:p>
        </w:tc>
        <w:tc>
          <w:tcPr>
            <w:tcW w:w="1971" w:type="dxa"/>
          </w:tcPr>
          <w:p>
            <w:pPr>
              <w:pStyle w:val="TableParagraph"/>
              <w:spacing w:before="17"/>
              <w:ind w:right="82"/>
              <w:jc w:val="center"/>
              <w:rPr>
                <w:rFonts w:hint="eastAsia"/>
                <w:sz w:val="21"/>
              </w:rPr>
            </w:pPr>
            <w:r>
              <w:rPr>
                <w:sz w:val="21"/>
              </w:rPr>
              <w:t>坐席 DVI 输入卡</w:t>
            </w:r>
          </w:p>
        </w:tc>
        <w:tc>
          <w:tcPr>
            <w:tcW w:w="2511" w:type="dxa"/>
          </w:tcPr>
          <w:p>
            <w:pPr>
              <w:pStyle w:val="TableParagraph"/>
              <w:spacing w:before="17"/>
              <w:ind w:left="130" w:right="124"/>
              <w:jc w:val="center"/>
              <w:rPr>
                <w:rFonts w:hint="eastAsia"/>
                <w:sz w:val="21"/>
              </w:rPr>
            </w:pPr>
            <w:r>
              <w:rPr>
                <w:sz w:val="21"/>
              </w:rPr>
              <w:t>CRONOS-0506-04D-IC</w:t>
            </w:r>
          </w:p>
        </w:tc>
        <w:tc>
          <w:tcPr>
            <w:tcW w:w="1234" w:type="dxa"/>
          </w:tcPr>
          <w:p>
            <w:pPr>
              <w:pStyle w:val="TableParagraph"/>
              <w:spacing w:before="17"/>
              <w:ind w:left="7"/>
              <w:jc w:val="center"/>
              <w:rPr>
                <w:rFonts w:hint="eastAsia"/>
                <w:sz w:val="21"/>
              </w:rPr>
            </w:pPr>
            <w:r>
              <w:rPr>
                <w:sz w:val="21"/>
              </w:rPr>
              <w:t>2</w:t>
            </w:r>
          </w:p>
        </w:tc>
        <w:tc>
          <w:tcPr>
            <w:tcW w:w="2475" w:type="dxa"/>
          </w:tcPr>
          <w:p>
            <w:pPr>
              <w:pStyle w:val="TableParagraph"/>
              <w:spacing w:before="17"/>
              <w:ind w:left="106"/>
              <w:jc w:val="center"/>
              <w:rPr>
                <w:rFonts w:hint="eastAsia"/>
                <w:sz w:val="21"/>
              </w:rPr>
            </w:pPr>
            <w:r>
              <w:rPr>
                <w:sz w:val="21"/>
              </w:rPr>
              <w:t>淳中</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40</w:t>
            </w:r>
          </w:p>
        </w:tc>
        <w:tc>
          <w:tcPr>
            <w:tcW w:w="1971" w:type="dxa"/>
          </w:tcPr>
          <w:p>
            <w:pPr>
              <w:pStyle w:val="TableParagraph"/>
              <w:spacing w:before="17"/>
              <w:ind w:right="82"/>
              <w:jc w:val="center"/>
              <w:rPr>
                <w:rFonts w:hint="eastAsia"/>
                <w:sz w:val="21"/>
              </w:rPr>
            </w:pPr>
            <w:r>
              <w:rPr>
                <w:sz w:val="21"/>
              </w:rPr>
              <w:t>坐席 DVI 输出卡</w:t>
            </w:r>
          </w:p>
        </w:tc>
        <w:tc>
          <w:tcPr>
            <w:tcW w:w="2511" w:type="dxa"/>
          </w:tcPr>
          <w:p>
            <w:pPr>
              <w:pStyle w:val="TableParagraph"/>
              <w:spacing w:before="17"/>
              <w:ind w:left="130" w:right="124"/>
              <w:jc w:val="center"/>
              <w:rPr>
                <w:rFonts w:hint="eastAsia"/>
                <w:sz w:val="21"/>
              </w:rPr>
            </w:pPr>
            <w:r>
              <w:rPr>
                <w:sz w:val="21"/>
              </w:rPr>
              <w:t>CRONOS-0506-04D-OC</w:t>
            </w:r>
          </w:p>
        </w:tc>
        <w:tc>
          <w:tcPr>
            <w:tcW w:w="1234" w:type="dxa"/>
          </w:tcPr>
          <w:p>
            <w:pPr>
              <w:pStyle w:val="TableParagraph"/>
              <w:spacing w:before="17"/>
              <w:ind w:left="7"/>
              <w:jc w:val="center"/>
              <w:rPr>
                <w:rFonts w:hint="eastAsia"/>
                <w:sz w:val="21"/>
              </w:rPr>
            </w:pPr>
            <w:r>
              <w:rPr>
                <w:sz w:val="21"/>
              </w:rPr>
              <w:t>2</w:t>
            </w:r>
          </w:p>
        </w:tc>
        <w:tc>
          <w:tcPr>
            <w:tcW w:w="2475" w:type="dxa"/>
          </w:tcPr>
          <w:p>
            <w:pPr>
              <w:pStyle w:val="TableParagraph"/>
              <w:spacing w:before="17"/>
              <w:ind w:left="106"/>
              <w:jc w:val="center"/>
              <w:rPr>
                <w:rFonts w:hint="eastAsia"/>
                <w:sz w:val="21"/>
              </w:rPr>
            </w:pPr>
            <w:r>
              <w:rPr>
                <w:sz w:val="21"/>
              </w:rPr>
              <w:t>淳中</w:t>
            </w:r>
          </w:p>
        </w:tc>
      </w:tr>
      <w:tr>
        <w:tblPrEx>
          <w:tblW w:w="0" w:type="auto"/>
          <w:tblInd w:w="114" w:type="dxa"/>
          <w:tblLayout w:type="fixed"/>
          <w:tblCellMar>
            <w:top w:w="0" w:type="dxa"/>
            <w:left w:w="0" w:type="dxa"/>
            <w:bottom w:w="0" w:type="dxa"/>
            <w:right w:w="0" w:type="dxa"/>
          </w:tblCellMar>
        </w:tblPrEx>
        <w:trPr>
          <w:trHeight w:val="313"/>
        </w:trPr>
        <w:tc>
          <w:tcPr>
            <w:tcW w:w="814" w:type="dxa"/>
          </w:tcPr>
          <w:p>
            <w:pPr>
              <w:pStyle w:val="TableParagraph"/>
              <w:spacing w:before="20"/>
              <w:ind w:right="96"/>
              <w:jc w:val="center"/>
              <w:rPr>
                <w:rFonts w:hint="eastAsia"/>
                <w:sz w:val="21"/>
              </w:rPr>
            </w:pPr>
            <w:r>
              <w:rPr>
                <w:sz w:val="21"/>
              </w:rPr>
              <w:t>41</w:t>
            </w:r>
          </w:p>
        </w:tc>
        <w:tc>
          <w:tcPr>
            <w:tcW w:w="1971" w:type="dxa"/>
          </w:tcPr>
          <w:p>
            <w:pPr>
              <w:pStyle w:val="TableParagraph"/>
              <w:spacing w:before="20"/>
              <w:ind w:right="82"/>
              <w:jc w:val="center"/>
              <w:rPr>
                <w:rFonts w:hint="eastAsia"/>
                <w:sz w:val="21"/>
              </w:rPr>
            </w:pPr>
            <w:r>
              <w:rPr>
                <w:sz w:val="21"/>
              </w:rPr>
              <w:t>集中供电设备</w:t>
            </w:r>
          </w:p>
        </w:tc>
        <w:tc>
          <w:tcPr>
            <w:tcW w:w="2511" w:type="dxa"/>
          </w:tcPr>
          <w:p>
            <w:pPr>
              <w:pStyle w:val="TableParagraph"/>
              <w:spacing w:before="20"/>
              <w:ind w:left="129" w:right="124"/>
              <w:jc w:val="center"/>
              <w:rPr>
                <w:rFonts w:hint="eastAsia"/>
                <w:sz w:val="21"/>
              </w:rPr>
            </w:pPr>
            <w:r>
              <w:rPr>
                <w:sz w:val="21"/>
              </w:rPr>
              <w:t>PS-24-A26</w:t>
            </w:r>
          </w:p>
        </w:tc>
        <w:tc>
          <w:tcPr>
            <w:tcW w:w="1234" w:type="dxa"/>
          </w:tcPr>
          <w:p>
            <w:pPr>
              <w:pStyle w:val="TableParagraph"/>
              <w:spacing w:before="20"/>
              <w:ind w:left="7"/>
              <w:jc w:val="center"/>
              <w:rPr>
                <w:rFonts w:hint="eastAsia"/>
                <w:sz w:val="21"/>
              </w:rPr>
            </w:pPr>
            <w:r>
              <w:rPr>
                <w:sz w:val="21"/>
              </w:rPr>
              <w:t>4</w:t>
            </w:r>
          </w:p>
        </w:tc>
        <w:tc>
          <w:tcPr>
            <w:tcW w:w="2475" w:type="dxa"/>
          </w:tcPr>
          <w:p>
            <w:pPr>
              <w:pStyle w:val="TableParagraph"/>
              <w:spacing w:before="20"/>
              <w:ind w:left="106"/>
              <w:jc w:val="center"/>
              <w:rPr>
                <w:rFonts w:hint="eastAsia"/>
                <w:sz w:val="21"/>
              </w:rPr>
            </w:pPr>
            <w:r>
              <w:rPr>
                <w:sz w:val="21"/>
              </w:rPr>
              <w:t>淳中</w:t>
            </w:r>
          </w:p>
        </w:tc>
      </w:tr>
      <w:tr>
        <w:tblPrEx>
          <w:tblW w:w="0" w:type="auto"/>
          <w:tblInd w:w="114" w:type="dxa"/>
          <w:tblLayout w:type="fixed"/>
          <w:tblCellMar>
            <w:top w:w="0" w:type="dxa"/>
            <w:left w:w="0" w:type="dxa"/>
            <w:bottom w:w="0" w:type="dxa"/>
            <w:right w:w="0" w:type="dxa"/>
          </w:tblCellMar>
        </w:tblPrEx>
        <w:trPr>
          <w:trHeight w:val="623"/>
        </w:trPr>
        <w:tc>
          <w:tcPr>
            <w:tcW w:w="814" w:type="dxa"/>
          </w:tcPr>
          <w:p>
            <w:pPr>
              <w:pStyle w:val="TableParagraph"/>
              <w:spacing w:before="173"/>
              <w:ind w:right="96"/>
              <w:jc w:val="center"/>
              <w:rPr>
                <w:rFonts w:hint="eastAsia"/>
                <w:sz w:val="21"/>
              </w:rPr>
            </w:pPr>
            <w:r>
              <w:rPr>
                <w:sz w:val="21"/>
              </w:rPr>
              <w:t>42</w:t>
            </w:r>
          </w:p>
        </w:tc>
        <w:tc>
          <w:tcPr>
            <w:tcW w:w="1971" w:type="dxa"/>
          </w:tcPr>
          <w:p>
            <w:pPr>
              <w:pStyle w:val="TableParagraph"/>
              <w:spacing w:before="173"/>
              <w:ind w:right="82"/>
              <w:jc w:val="center"/>
              <w:rPr>
                <w:rFonts w:hint="eastAsia"/>
                <w:sz w:val="21"/>
              </w:rPr>
            </w:pPr>
            <w:r>
              <w:rPr>
                <w:sz w:val="21"/>
              </w:rPr>
              <w:t>录播点播系统</w:t>
            </w:r>
          </w:p>
        </w:tc>
        <w:tc>
          <w:tcPr>
            <w:tcW w:w="2511" w:type="dxa"/>
          </w:tcPr>
          <w:p>
            <w:pPr>
              <w:pStyle w:val="TableParagraph"/>
              <w:spacing w:before="17"/>
              <w:ind w:left="132" w:right="124"/>
              <w:jc w:val="center"/>
              <w:rPr>
                <w:rFonts w:hint="eastAsia"/>
                <w:sz w:val="21"/>
              </w:rPr>
            </w:pPr>
            <w:r>
              <w:rPr>
                <w:sz w:val="21"/>
              </w:rPr>
              <w:t>灵视多媒体管理服务发布系统</w:t>
            </w:r>
          </w:p>
        </w:tc>
        <w:tc>
          <w:tcPr>
            <w:tcW w:w="1234" w:type="dxa"/>
          </w:tcPr>
          <w:p>
            <w:pPr>
              <w:pStyle w:val="TableParagraph"/>
              <w:spacing w:before="173"/>
              <w:ind w:left="7"/>
              <w:jc w:val="center"/>
              <w:rPr>
                <w:rFonts w:hint="eastAsia"/>
                <w:sz w:val="21"/>
              </w:rPr>
            </w:pPr>
            <w:r>
              <w:rPr>
                <w:sz w:val="21"/>
              </w:rPr>
              <w:t>1</w:t>
            </w:r>
          </w:p>
        </w:tc>
        <w:tc>
          <w:tcPr>
            <w:tcW w:w="2475" w:type="dxa"/>
          </w:tcPr>
          <w:p>
            <w:pPr>
              <w:pStyle w:val="TableParagraph"/>
              <w:spacing w:before="173"/>
              <w:ind w:left="106"/>
              <w:jc w:val="center"/>
              <w:rPr>
                <w:rFonts w:hint="eastAsia"/>
                <w:sz w:val="21"/>
              </w:rPr>
            </w:pPr>
            <w:r>
              <w:rPr>
                <w:sz w:val="21"/>
              </w:rPr>
              <w:t>钧辉伟业</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43</w:t>
            </w:r>
          </w:p>
        </w:tc>
        <w:tc>
          <w:tcPr>
            <w:tcW w:w="1971" w:type="dxa"/>
          </w:tcPr>
          <w:p>
            <w:pPr>
              <w:pStyle w:val="TableParagraph"/>
              <w:spacing w:before="17"/>
              <w:ind w:right="80"/>
              <w:jc w:val="center"/>
              <w:rPr>
                <w:rFonts w:hint="eastAsia"/>
                <w:sz w:val="21"/>
              </w:rPr>
            </w:pPr>
            <w:r>
              <w:rPr>
                <w:sz w:val="21"/>
              </w:rPr>
              <w:t>综合管理控制平台</w:t>
            </w:r>
          </w:p>
        </w:tc>
        <w:tc>
          <w:tcPr>
            <w:tcW w:w="2511" w:type="dxa"/>
          </w:tcPr>
          <w:p>
            <w:pPr>
              <w:pStyle w:val="TableParagraph"/>
              <w:spacing w:before="17"/>
              <w:ind w:left="132" w:right="124"/>
              <w:jc w:val="center"/>
              <w:rPr>
                <w:rFonts w:hint="eastAsia"/>
                <w:sz w:val="21"/>
              </w:rPr>
            </w:pPr>
            <w:r>
              <w:rPr>
                <w:sz w:val="21"/>
              </w:rPr>
              <w:t>定制</w:t>
            </w:r>
          </w:p>
        </w:tc>
        <w:tc>
          <w:tcPr>
            <w:tcW w:w="1234" w:type="dxa"/>
          </w:tcPr>
          <w:p>
            <w:pPr>
              <w:pStyle w:val="TableParagraph"/>
              <w:spacing w:before="29"/>
              <w:ind w:left="7"/>
              <w:jc w:val="center"/>
              <w:rPr>
                <w:rFonts w:ascii="Times New Roman" w:hint="eastAsia"/>
                <w:sz w:val="21"/>
              </w:rPr>
            </w:pPr>
            <w:r>
              <w:rPr>
                <w:rFonts w:ascii="Times New Roman"/>
                <w:sz w:val="21"/>
              </w:rPr>
              <w:t>1</w:t>
            </w:r>
          </w:p>
        </w:tc>
        <w:tc>
          <w:tcPr>
            <w:tcW w:w="2475" w:type="dxa"/>
          </w:tcPr>
          <w:p>
            <w:pPr>
              <w:pStyle w:val="TableParagraph"/>
              <w:spacing w:before="17"/>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44</w:t>
            </w:r>
          </w:p>
        </w:tc>
        <w:tc>
          <w:tcPr>
            <w:tcW w:w="1971" w:type="dxa"/>
          </w:tcPr>
          <w:p>
            <w:pPr>
              <w:pStyle w:val="TableParagraph"/>
              <w:spacing w:before="17"/>
              <w:ind w:right="80"/>
              <w:jc w:val="center"/>
              <w:rPr>
                <w:rFonts w:hint="eastAsia"/>
                <w:sz w:val="21"/>
              </w:rPr>
            </w:pPr>
            <w:r>
              <w:rPr>
                <w:sz w:val="21"/>
              </w:rPr>
              <w:t>注册服务器</w:t>
            </w:r>
          </w:p>
        </w:tc>
        <w:tc>
          <w:tcPr>
            <w:tcW w:w="2511" w:type="dxa"/>
          </w:tcPr>
          <w:p>
            <w:pPr>
              <w:pStyle w:val="TableParagraph"/>
              <w:spacing w:before="17"/>
              <w:ind w:left="132" w:right="124"/>
              <w:jc w:val="center"/>
              <w:rPr>
                <w:rFonts w:hint="eastAsia"/>
                <w:sz w:val="21"/>
              </w:rPr>
            </w:pPr>
            <w:r>
              <w:rPr>
                <w:sz w:val="21"/>
              </w:rPr>
              <w:t>定制</w:t>
            </w:r>
          </w:p>
        </w:tc>
        <w:tc>
          <w:tcPr>
            <w:tcW w:w="1234" w:type="dxa"/>
          </w:tcPr>
          <w:p>
            <w:pPr>
              <w:pStyle w:val="TableParagraph"/>
              <w:spacing w:before="29"/>
              <w:ind w:left="7"/>
              <w:jc w:val="center"/>
              <w:rPr>
                <w:rFonts w:ascii="Times New Roman" w:hint="eastAsia"/>
                <w:sz w:val="21"/>
              </w:rPr>
            </w:pPr>
            <w:r>
              <w:rPr>
                <w:rFonts w:ascii="Times New Roman"/>
                <w:sz w:val="21"/>
              </w:rPr>
              <w:t>2</w:t>
            </w:r>
          </w:p>
        </w:tc>
        <w:tc>
          <w:tcPr>
            <w:tcW w:w="2475" w:type="dxa"/>
          </w:tcPr>
          <w:p>
            <w:pPr>
              <w:pStyle w:val="TableParagraph"/>
              <w:spacing w:before="17"/>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45</w:t>
            </w:r>
          </w:p>
        </w:tc>
        <w:tc>
          <w:tcPr>
            <w:tcW w:w="1971" w:type="dxa"/>
          </w:tcPr>
          <w:p>
            <w:pPr>
              <w:pStyle w:val="TableParagraph"/>
              <w:spacing w:before="17"/>
              <w:ind w:right="82"/>
              <w:jc w:val="center"/>
              <w:rPr>
                <w:rFonts w:hint="eastAsia"/>
                <w:sz w:val="21"/>
              </w:rPr>
            </w:pPr>
            <w:r>
              <w:rPr>
                <w:sz w:val="21"/>
              </w:rPr>
              <w:t>分布式输入节点</w:t>
            </w:r>
          </w:p>
        </w:tc>
        <w:tc>
          <w:tcPr>
            <w:tcW w:w="2511" w:type="dxa"/>
          </w:tcPr>
          <w:p>
            <w:pPr>
              <w:pStyle w:val="TableParagraph"/>
              <w:spacing w:before="29"/>
              <w:ind w:left="132" w:right="124"/>
              <w:jc w:val="center"/>
              <w:rPr>
                <w:rFonts w:ascii="Times New Roman" w:hint="eastAsia"/>
                <w:sz w:val="21"/>
              </w:rPr>
            </w:pPr>
            <w:r>
              <w:rPr>
                <w:rFonts w:ascii="Times New Roman"/>
                <w:sz w:val="21"/>
              </w:rPr>
              <w:t>NYX-GQXMV5-EN-A26</w:t>
            </w:r>
          </w:p>
        </w:tc>
        <w:tc>
          <w:tcPr>
            <w:tcW w:w="1234" w:type="dxa"/>
          </w:tcPr>
          <w:p>
            <w:pPr>
              <w:pStyle w:val="TableParagraph"/>
              <w:spacing w:before="29"/>
              <w:ind w:right="500"/>
              <w:jc w:val="right"/>
              <w:rPr>
                <w:rFonts w:ascii="Times New Roman" w:hint="eastAsia"/>
                <w:sz w:val="21"/>
              </w:rPr>
            </w:pPr>
            <w:r>
              <w:rPr>
                <w:rFonts w:ascii="Times New Roman"/>
                <w:sz w:val="21"/>
              </w:rPr>
              <w:t>31</w:t>
            </w:r>
          </w:p>
        </w:tc>
        <w:tc>
          <w:tcPr>
            <w:tcW w:w="2475" w:type="dxa"/>
          </w:tcPr>
          <w:p>
            <w:pPr>
              <w:pStyle w:val="TableParagraph"/>
              <w:spacing w:before="17"/>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2"/>
        </w:trPr>
        <w:tc>
          <w:tcPr>
            <w:tcW w:w="814" w:type="dxa"/>
          </w:tcPr>
          <w:p>
            <w:pPr>
              <w:pStyle w:val="TableParagraph"/>
              <w:spacing w:before="18"/>
              <w:ind w:right="96"/>
              <w:jc w:val="center"/>
              <w:rPr>
                <w:rFonts w:hint="eastAsia"/>
                <w:sz w:val="21"/>
              </w:rPr>
            </w:pPr>
            <w:r>
              <w:rPr>
                <w:sz w:val="21"/>
              </w:rPr>
              <w:t>46</w:t>
            </w:r>
          </w:p>
        </w:tc>
        <w:tc>
          <w:tcPr>
            <w:tcW w:w="1971" w:type="dxa"/>
          </w:tcPr>
          <w:p>
            <w:pPr>
              <w:pStyle w:val="TableParagraph"/>
              <w:spacing w:before="18"/>
              <w:ind w:right="82"/>
              <w:jc w:val="center"/>
              <w:rPr>
                <w:rFonts w:hint="eastAsia"/>
                <w:sz w:val="21"/>
              </w:rPr>
            </w:pPr>
            <w:r>
              <w:rPr>
                <w:sz w:val="21"/>
              </w:rPr>
              <w:t>分布式输出节点</w:t>
            </w:r>
          </w:p>
        </w:tc>
        <w:tc>
          <w:tcPr>
            <w:tcW w:w="2511" w:type="dxa"/>
          </w:tcPr>
          <w:p>
            <w:pPr>
              <w:pStyle w:val="TableParagraph"/>
              <w:spacing w:before="30"/>
              <w:ind w:left="132" w:right="124"/>
              <w:jc w:val="center"/>
              <w:rPr>
                <w:rFonts w:ascii="Times New Roman" w:hint="eastAsia"/>
                <w:sz w:val="21"/>
              </w:rPr>
            </w:pPr>
            <w:r>
              <w:rPr>
                <w:rFonts w:ascii="Times New Roman"/>
                <w:sz w:val="21"/>
              </w:rPr>
              <w:t>NYX-GQXM5-DN-A26</w:t>
            </w:r>
          </w:p>
        </w:tc>
        <w:tc>
          <w:tcPr>
            <w:tcW w:w="1234" w:type="dxa"/>
          </w:tcPr>
          <w:p>
            <w:pPr>
              <w:pStyle w:val="TableParagraph"/>
              <w:spacing w:before="30"/>
              <w:ind w:right="500"/>
              <w:jc w:val="right"/>
              <w:rPr>
                <w:rFonts w:ascii="Times New Roman" w:hint="eastAsia"/>
                <w:sz w:val="21"/>
              </w:rPr>
            </w:pPr>
            <w:r>
              <w:rPr>
                <w:rFonts w:ascii="Times New Roman"/>
                <w:sz w:val="21"/>
              </w:rPr>
              <w:t>31</w:t>
            </w:r>
          </w:p>
        </w:tc>
        <w:tc>
          <w:tcPr>
            <w:tcW w:w="2475" w:type="dxa"/>
          </w:tcPr>
          <w:p>
            <w:pPr>
              <w:pStyle w:val="TableParagraph"/>
              <w:spacing w:before="18"/>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3"/>
        </w:trPr>
        <w:tc>
          <w:tcPr>
            <w:tcW w:w="814" w:type="dxa"/>
          </w:tcPr>
          <w:p>
            <w:pPr>
              <w:pStyle w:val="TableParagraph"/>
              <w:spacing w:before="20"/>
              <w:ind w:right="96"/>
              <w:jc w:val="center"/>
              <w:rPr>
                <w:rFonts w:hint="eastAsia"/>
                <w:sz w:val="21"/>
              </w:rPr>
            </w:pPr>
            <w:r>
              <w:rPr>
                <w:sz w:val="21"/>
              </w:rPr>
              <w:t>47</w:t>
            </w:r>
          </w:p>
        </w:tc>
        <w:tc>
          <w:tcPr>
            <w:tcW w:w="1971" w:type="dxa"/>
          </w:tcPr>
          <w:p>
            <w:pPr>
              <w:pStyle w:val="TableParagraph"/>
              <w:spacing w:before="20"/>
              <w:ind w:right="80"/>
              <w:jc w:val="center"/>
              <w:rPr>
                <w:rFonts w:hint="eastAsia"/>
                <w:sz w:val="21"/>
              </w:rPr>
            </w:pPr>
            <w:r>
              <w:rPr>
                <w:sz w:val="21"/>
              </w:rPr>
              <w:t>显控综合管理系统</w:t>
            </w:r>
          </w:p>
        </w:tc>
        <w:tc>
          <w:tcPr>
            <w:tcW w:w="2511" w:type="dxa"/>
          </w:tcPr>
          <w:p>
            <w:pPr>
              <w:pStyle w:val="TableParagraph"/>
              <w:spacing w:before="31"/>
              <w:ind w:left="129" w:right="124"/>
              <w:jc w:val="center"/>
              <w:rPr>
                <w:rFonts w:ascii="Times New Roman" w:hint="eastAsia"/>
                <w:sz w:val="21"/>
              </w:rPr>
            </w:pPr>
            <w:r>
              <w:rPr>
                <w:rFonts w:ascii="Times New Roman"/>
                <w:sz w:val="21"/>
              </w:rPr>
              <w:t>AT200-CMSGQX-A26</w:t>
            </w:r>
          </w:p>
        </w:tc>
        <w:tc>
          <w:tcPr>
            <w:tcW w:w="1234" w:type="dxa"/>
          </w:tcPr>
          <w:p>
            <w:pPr>
              <w:pStyle w:val="TableParagraph"/>
              <w:spacing w:before="31"/>
              <w:ind w:left="7"/>
              <w:jc w:val="center"/>
              <w:rPr>
                <w:rFonts w:ascii="Times New Roman" w:hint="eastAsia"/>
                <w:sz w:val="21"/>
              </w:rPr>
            </w:pPr>
            <w:r>
              <w:rPr>
                <w:rFonts w:ascii="Times New Roman"/>
                <w:sz w:val="21"/>
              </w:rPr>
              <w:t>1</w:t>
            </w:r>
          </w:p>
        </w:tc>
        <w:tc>
          <w:tcPr>
            <w:tcW w:w="2475" w:type="dxa"/>
          </w:tcPr>
          <w:p>
            <w:pPr>
              <w:pStyle w:val="TableParagraph"/>
              <w:spacing w:before="20"/>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48</w:t>
            </w:r>
          </w:p>
        </w:tc>
        <w:tc>
          <w:tcPr>
            <w:tcW w:w="1971" w:type="dxa"/>
          </w:tcPr>
          <w:p>
            <w:pPr>
              <w:pStyle w:val="TableParagraph"/>
              <w:spacing w:before="17"/>
              <w:ind w:right="82"/>
              <w:jc w:val="center"/>
              <w:rPr>
                <w:rFonts w:hint="eastAsia"/>
                <w:sz w:val="21"/>
              </w:rPr>
            </w:pPr>
            <w:r>
              <w:rPr>
                <w:sz w:val="21"/>
              </w:rPr>
              <w:t>流媒体转发系统</w:t>
            </w:r>
          </w:p>
        </w:tc>
        <w:tc>
          <w:tcPr>
            <w:tcW w:w="2511" w:type="dxa"/>
          </w:tcPr>
          <w:p>
            <w:pPr>
              <w:pStyle w:val="TableParagraph"/>
              <w:spacing w:before="29"/>
              <w:ind w:left="129" w:right="124"/>
              <w:jc w:val="center"/>
              <w:rPr>
                <w:rFonts w:ascii="Times New Roman" w:hint="eastAsia"/>
                <w:sz w:val="21"/>
              </w:rPr>
            </w:pPr>
            <w:r>
              <w:rPr>
                <w:rFonts w:ascii="Times New Roman"/>
                <w:sz w:val="21"/>
              </w:rPr>
              <w:t>AT200-VMSGQX-A26</w:t>
            </w:r>
          </w:p>
        </w:tc>
        <w:tc>
          <w:tcPr>
            <w:tcW w:w="1234" w:type="dxa"/>
          </w:tcPr>
          <w:p>
            <w:pPr>
              <w:pStyle w:val="TableParagraph"/>
              <w:spacing w:before="29"/>
              <w:ind w:left="7"/>
              <w:jc w:val="center"/>
              <w:rPr>
                <w:rFonts w:ascii="Times New Roman" w:hint="eastAsia"/>
                <w:sz w:val="21"/>
              </w:rPr>
            </w:pPr>
            <w:r>
              <w:rPr>
                <w:rFonts w:ascii="Times New Roman"/>
                <w:sz w:val="21"/>
              </w:rPr>
              <w:t>1</w:t>
            </w:r>
          </w:p>
        </w:tc>
        <w:tc>
          <w:tcPr>
            <w:tcW w:w="2475" w:type="dxa"/>
          </w:tcPr>
          <w:p>
            <w:pPr>
              <w:pStyle w:val="TableParagraph"/>
              <w:spacing w:before="17"/>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49</w:t>
            </w:r>
          </w:p>
        </w:tc>
        <w:tc>
          <w:tcPr>
            <w:tcW w:w="1971" w:type="dxa"/>
          </w:tcPr>
          <w:p>
            <w:pPr>
              <w:pStyle w:val="TableParagraph"/>
              <w:spacing w:before="17"/>
              <w:ind w:right="80"/>
              <w:jc w:val="center"/>
              <w:rPr>
                <w:rFonts w:hint="eastAsia"/>
                <w:sz w:val="21"/>
              </w:rPr>
            </w:pPr>
            <w:r>
              <w:rPr>
                <w:sz w:val="21"/>
              </w:rPr>
              <w:t>会控软件升级完善</w:t>
            </w:r>
          </w:p>
        </w:tc>
        <w:tc>
          <w:tcPr>
            <w:tcW w:w="2511" w:type="dxa"/>
          </w:tcPr>
          <w:p>
            <w:pPr>
              <w:pStyle w:val="TableParagraph"/>
              <w:spacing w:before="29"/>
              <w:ind w:left="129" w:right="124"/>
              <w:jc w:val="center"/>
              <w:rPr>
                <w:rFonts w:ascii="Times New Roman" w:hint="eastAsia"/>
                <w:sz w:val="21"/>
              </w:rPr>
            </w:pPr>
            <w:r>
              <w:rPr>
                <w:rFonts w:ascii="Times New Roman"/>
                <w:sz w:val="21"/>
              </w:rPr>
              <w:t>AT200-DZQX-A26</w:t>
            </w:r>
          </w:p>
        </w:tc>
        <w:tc>
          <w:tcPr>
            <w:tcW w:w="1234" w:type="dxa"/>
          </w:tcPr>
          <w:p>
            <w:pPr>
              <w:pStyle w:val="TableParagraph"/>
              <w:spacing w:before="29"/>
              <w:ind w:left="7"/>
              <w:jc w:val="center"/>
              <w:rPr>
                <w:rFonts w:ascii="Times New Roman" w:hint="eastAsia"/>
                <w:sz w:val="21"/>
              </w:rPr>
            </w:pPr>
            <w:r>
              <w:rPr>
                <w:rFonts w:ascii="Times New Roman"/>
                <w:sz w:val="21"/>
              </w:rPr>
              <w:t>1</w:t>
            </w:r>
          </w:p>
        </w:tc>
        <w:tc>
          <w:tcPr>
            <w:tcW w:w="2475" w:type="dxa"/>
          </w:tcPr>
          <w:p>
            <w:pPr>
              <w:pStyle w:val="TableParagraph"/>
              <w:spacing w:before="17"/>
              <w:ind w:left="106"/>
              <w:jc w:val="center"/>
              <w:rPr>
                <w:rFonts w:hint="eastAsia"/>
                <w:sz w:val="21"/>
              </w:rPr>
            </w:pPr>
            <w:r>
              <w:rPr>
                <w:sz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814" w:type="dxa"/>
          </w:tcPr>
          <w:p>
            <w:pPr>
              <w:pStyle w:val="TableParagraph"/>
              <w:spacing w:before="17"/>
              <w:ind w:right="96"/>
              <w:jc w:val="center"/>
              <w:rPr>
                <w:rFonts w:hint="eastAsia"/>
                <w:sz w:val="21"/>
              </w:rPr>
            </w:pPr>
            <w:r>
              <w:rPr>
                <w:sz w:val="21"/>
              </w:rPr>
              <w:t>50</w:t>
            </w:r>
          </w:p>
        </w:tc>
        <w:tc>
          <w:tcPr>
            <w:tcW w:w="1971" w:type="dxa"/>
          </w:tcPr>
          <w:p>
            <w:pPr>
              <w:pStyle w:val="TableParagraph"/>
              <w:spacing w:before="17"/>
              <w:ind w:right="82"/>
              <w:jc w:val="center"/>
              <w:rPr>
                <w:rFonts w:hint="eastAsia"/>
                <w:sz w:val="21"/>
              </w:rPr>
            </w:pPr>
            <w:r>
              <w:rPr>
                <w:sz w:val="21"/>
              </w:rPr>
              <w:t>录播接入服务器</w:t>
            </w:r>
          </w:p>
        </w:tc>
        <w:tc>
          <w:tcPr>
            <w:tcW w:w="2511" w:type="dxa"/>
          </w:tcPr>
          <w:p>
            <w:pPr>
              <w:pStyle w:val="TableParagraph"/>
              <w:spacing w:before="29"/>
              <w:ind w:left="128" w:right="124"/>
              <w:jc w:val="center"/>
              <w:rPr>
                <w:rFonts w:ascii="Times New Roman" w:hint="eastAsia"/>
                <w:sz w:val="21"/>
              </w:rPr>
            </w:pPr>
            <w:r>
              <w:rPr>
                <w:rFonts w:ascii="Times New Roman"/>
                <w:sz w:val="21"/>
              </w:rPr>
              <w:t>CH500A</w:t>
            </w:r>
          </w:p>
        </w:tc>
        <w:tc>
          <w:tcPr>
            <w:tcW w:w="1234" w:type="dxa"/>
          </w:tcPr>
          <w:p>
            <w:pPr>
              <w:pStyle w:val="TableParagraph"/>
              <w:spacing w:before="29"/>
              <w:ind w:left="7"/>
              <w:jc w:val="center"/>
              <w:rPr>
                <w:rFonts w:ascii="Times New Roman" w:hint="eastAsia"/>
                <w:sz w:val="21"/>
              </w:rPr>
            </w:pPr>
            <w:r>
              <w:rPr>
                <w:rFonts w:ascii="Times New Roman"/>
                <w:sz w:val="21"/>
              </w:rPr>
              <w:t>1</w:t>
            </w:r>
          </w:p>
        </w:tc>
        <w:tc>
          <w:tcPr>
            <w:tcW w:w="2475" w:type="dxa"/>
          </w:tcPr>
          <w:p>
            <w:pPr>
              <w:pStyle w:val="TableParagraph"/>
              <w:spacing w:before="17"/>
              <w:ind w:left="106"/>
              <w:jc w:val="center"/>
              <w:rPr>
                <w:rFonts w:hint="eastAsia"/>
                <w:sz w:val="21"/>
              </w:rPr>
            </w:pPr>
            <w:r>
              <w:rPr>
                <w:sz w:val="21"/>
              </w:rPr>
              <w:t>淳中科技</w:t>
            </w:r>
          </w:p>
        </w:tc>
      </w:tr>
    </w:tbl>
    <w:p>
      <w:pPr>
        <w:autoSpaceDE w:val="0"/>
        <w:autoSpaceDN w:val="0"/>
        <w:jc w:val="left"/>
        <w:rPr>
          <w:rFonts w:ascii="宋体" w:hAnsi="宋体" w:cs="宋体" w:hint="eastAsia"/>
          <w:kern w:val="0"/>
          <w:sz w:val="20"/>
          <w:szCs w:val="21"/>
          <w:lang w:val="zh-CN" w:bidi="zh-CN"/>
        </w:rPr>
      </w:pPr>
      <w:r>
        <w:rPr>
          <w:rFonts w:ascii="宋体" w:hAnsi="宋体" w:cs="宋体"/>
          <w:kern w:val="0"/>
          <w:szCs w:val="21"/>
        </w:rPr>
        <w:pict>
          <v:group id="组合 236" o:spid="_x0000_s1059" style="width:175.2pt;height:112.8pt;margin-top:215.3pt;margin-left:349.85pt;mso-position-horizontal-relative:page;mso-position-vertical-relative:page;mso-wrap-distance-bottom:0;mso-wrap-distance-left:9pt;mso-wrap-distance-right:9pt;mso-wrap-distance-top:0;position:absolute;z-index:-251657216" coordorigin="43268,41429" coordsize="21600,21600">
            <v:shape id="_x0000_s1060" style="width:10222;height:13345;left:52884;position:absolute;top:42757;v-text-anchor:top" coordsize="21600,21600" path="m10624,12972l10375,12739l10375,12739l10153,12490l10153,12490l9931,12241l9931,12241l9395,11602l9395,11602l9395,12848l9395,12848l6703,16040l6703,16040l6155,15371l6155,15371l6155,16710l6155,16710l3580,19778l3580,19778l1124,16835l1124,16835l3685,13782l3685,13782l6155,16710l6155,16710l6155,15371l6155,15371l4809,13782l4809,13782l4247,13113l4247,13113l4469,12848l4469,12848l6259,10714l6259,10714l6939,9920l6939,9920l7605,10714l7605,10714l9395,12848l9395,12848l9395,11602l9395,11602l7971,9920l7971,9920l7566,9422l7566,9422l7592,9048l7592,9048l7592,8861l7592,8861l7605,8674l7605,8674l6481,8846l6481,8846l6599,9515l6599,9515l6638,9733l6638,9733l5815,10714l5815,10714l4025,12848l4025,12848l2535,11073l2535,11073l2535,10356l2535,10356l1228,10932l1228,10932l1673,11400l1673,11400l2182,11991l2182,11991l3463,13518l3463,13518l902,16570l902,16570l,16835l,16835l444,17317l444,17317l928,17878l928,17878l1477,18517l1477,18517l2692,19949l2692,19949l3201,20588l3201,20588l3633,21133l3633,21133l3985,21600l3985,21600l4051,21335l4051,21335l4181,20821l4181,20821l4247,20572l4247,20572l3803,20043l3803,20043l4025,19778l4025,19778l6377,16975l6377,16975l8298,19280l8298,19280l9029,20152l9029,20152l9591,20852l9591,20852l9983,21366l9983,21366l10062,21086l10062,21086l10205,20510l10205,20510l10284,20214l10284,20214l9866,19778l9866,19778l9186,18984l9186,18984l7487,16975l7487,16975l6939,16305l6939,16305l7161,16040l7161,16040l9617,13113l9617,13113l10284,13907l10284,13907l10532,13206l10532,13206l10571,13113l10571,13113l10624,12972m14008,10107l14008,9780l14008,9780l13943,9437l13943,9437l13812,9079l13812,9079l13603,8721l13603,8721l13302,8301l13302,8301l12936,7787l12936,7787l12466,7210l12466,7210l11930,6541l11930,6541l11865,6619l11865,6619l11800,6681l11800,6681l11734,6759l11734,6759l12205,7678l12205,7678l12544,8519l12544,8519l12767,9282l12767,9282l12858,9967l12858,9967l12923,10527l12923,10527l13041,10886l13041,10886l13198,11041l13198,11041l13420,10979l13420,10979l13655,10823l13655,10823l13838,10621l13838,10621l13956,10372l13956,10372l14008,10107m14714,1604l14701,1339l14701,1339l14635,1059l14635,1059l14531,779l14531,779l14387,498l14387,498l14191,280l14191,280l13943,156l13943,156l13629,78l13629,78l13263,62l13263,62l12832,93l12832,93l12322,187l12322,187l11734,343l11734,343l11068,545l11068,545l11068,810l11068,810l11904,966l11904,966l12636,1152l12636,1152l13250,1355l13250,1355l13747,1620l13747,1620l14165,1838l14165,1838l14465,1916l14465,1916l14648,1838l14648,1838l14714,1604m20973,1573l20960,1324l20960,1324l20894,1075l20894,1075l20751,810l20751,810l20581,576l20581,576l20372,374l20372,374l20136,218l20136,218l19862,93l19862,93l19457,31l19457,31l18882,l18882,l18111,16l18111,16l17144,62l17144,62l17131,125l17131,125l17118,202l17118,202l17105,280l17105,280l18111,654l18111,654l18947,1012l18947,1012l19601,1355l19601,1355l20084,1697l20084,1697l20424,1962l20424,1962l20685,2071l20685,2071l20855,2025l20855,2025l20947,1838l20947,1838l20973,1573m21600,4968l21522,4563l21522,4563l21495,4454l21495,4454l21221,4547l21221,4547l20934,4563l20934,4563l20659,4485l20659,4485l20385,4283l20385,4283l20071,4018l20071,4018l19718,3675l19718,3675l19287,3224l19287,3224l18817,2679l18817,2679l18751,2756l18751,2756l18634,2897l18634,2897l19052,3473l19052,3473l19444,4002l19444,4002l19784,4470l19784,4470l20084,4890l20084,4890l20280,5310l20280,5310l20346,5669l20346,5669l20319,5996l20319,5996l20189,6276l20189,6276l18072,8799l18072,8799l17758,9017l17758,9017l17432,9032l17432,9032l17105,8861l17105,8861l16765,8487l16765,8487l12963,3971l12963,3971l12976,3738l12976,3738l13002,3395l13002,3395l13002,3208l13002,3208l11591,3738l11591,3738l11983,4174l11983,4174l12401,4641l12401,4641l12845,5155l12845,5155l16360,9328l16360,9328l16857,9858l16857,9858l17340,10107l17340,10107l17797,10060l17797,10060l18255,9733l18255,9733l18843,9032l18843,9032l21012,6447l21012,6447l21339,5980l21339,5980l21535,5482l21535,5482l21600,4968e" fillcolor="silver" stroked="f">
              <v:fill opacity="32897f"/>
            </v:shape>
            <v:shape id="_x0000_s1061" style="width:13969;height:12315;left:50899;position:absolute;top:41430;v-text-anchor:top" coordsize="21600,21600" path="m21600,16335l,16335l,16335l,21600l,21600l21600,21600l21600,21600l21600,16335m21600,10851l,10851l,10851l,16132l,16132l21600,16132l21600,16132l21600,10851m21600,5434l,5434l,5434l,10699l,10699l21600,10699l21600,10699l21600,5434m21600,l,l,l,5265l,5265l21600,5265l21600,5265l21600,e" fillcolor="white" stroked="f"/>
            <v:rect id="_x0000_s1062" style="width:643;height:3002;left:49563;position:absolute;top:53832;v-text-anchor:top" fillcolor="white" stroked="f"/>
            <v:rect id="_x0000_s1063" style="width:6295;height:3002;left:43268;position:absolute;top:53832;v-text-anchor:top" fillcolor="white" stroked="f"/>
            <v:rect id="_x0000_s1064" style="width:668;height:3002;left:50231;position:absolute;top:53832;v-text-anchor:top" fillcolor="white" stroked="f"/>
            <v:rect id="_x0000_s1065" style="width:13969;height:3002;left:50899;position:absolute;top:53832;v-text-anchor:top" fillcolor="white" stroked="f"/>
            <v:rect id="_x0000_s1066" style="width:643;height:3002;left:49563;position:absolute;top:56930;v-text-anchor:top" fillcolor="white" stroked="f"/>
            <v:rect id="_x0000_s1067" style="width:6295;height:3002;left:43268;position:absolute;top:56930;v-text-anchor:top" fillcolor="white" stroked="f"/>
            <v:rect id="_x0000_s1068" style="width:668;height:3002;left:50231;position:absolute;top:56930;v-text-anchor:top" fillcolor="white" stroked="f"/>
            <v:rect id="_x0000_s1069" style="width:13969;height:3002;left:50899;position:absolute;top:56930;v-text-anchor:top" fillcolor="white" stroked="f"/>
            <v:rect id="_x0000_s1070" style="width:643;height:3002;left:49563;position:absolute;top:60018;v-text-anchor:top" fillcolor="white" stroked="f"/>
            <v:rect id="_x0000_s1071" style="width:6295;height:3002;left:43268;position:absolute;top:60018;v-text-anchor:top" fillcolor="white" stroked="f"/>
            <v:rect id="_x0000_s1072" style="width:668;height:3002;left:50231;position:absolute;top:60018;v-text-anchor:top" fillcolor="white" stroked="f"/>
            <v:rect id="_x0000_s1073" style="width:13969;height:3002;left:50899;position:absolute;top:60018;v-text-anchor:top" fillcolor="white" stroked="f"/>
          </v:group>
        </w:pict>
      </w:r>
    </w:p>
    <w:p>
      <w:pPr>
        <w:autoSpaceDE w:val="0"/>
        <w:autoSpaceDN w:val="0"/>
        <w:spacing w:before="4"/>
        <w:jc w:val="left"/>
        <w:rPr>
          <w:rFonts w:ascii="宋体" w:hAnsi="宋体" w:cs="宋体" w:hint="eastAsia"/>
          <w:kern w:val="0"/>
          <w:szCs w:val="21"/>
          <w:lang w:val="zh-CN" w:bidi="zh-CN"/>
        </w:rPr>
      </w:pPr>
      <w:r>
        <w:rPr>
          <w:rFonts w:ascii="宋体" w:hAnsi="宋体" w:cs="宋体" w:hint="eastAsia"/>
          <w:kern w:val="0"/>
          <w:szCs w:val="21"/>
          <w:lang w:val="zh-CN" w:bidi="zh-CN"/>
        </w:rPr>
        <w:t>天镜厅</w:t>
      </w:r>
      <w:r>
        <w:rPr>
          <w:rFonts w:ascii="宋体" w:hAnsi="宋体" w:cs="宋体"/>
          <w:kern w:val="0"/>
          <w:szCs w:val="21"/>
          <w:lang w:val="zh-CN" w:bidi="zh-CN"/>
        </w:rPr>
        <w:t>大屏幕显示系统</w:t>
      </w:r>
      <w:r>
        <w:rPr>
          <w:rFonts w:ascii="宋体" w:hAnsi="宋体" w:cs="宋体" w:hint="eastAsia"/>
          <w:kern w:val="0"/>
          <w:szCs w:val="21"/>
          <w:lang w:val="zh-CN" w:bidi="zh-CN"/>
        </w:rPr>
        <w:t>：</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955"/>
        <w:gridCol w:w="2086"/>
        <w:gridCol w:w="2417"/>
        <w:gridCol w:w="1358"/>
        <w:gridCol w:w="2187"/>
      </w:tblGrid>
      <w:tr>
        <w:tblPrEx>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582"/>
        </w:trPr>
        <w:tc>
          <w:tcPr>
            <w:tcW w:w="955" w:type="dxa"/>
          </w:tcPr>
          <w:p>
            <w:pPr>
              <w:pStyle w:val="TableParagraph"/>
              <w:spacing w:before="162"/>
              <w:ind w:left="107"/>
              <w:jc w:val="center"/>
              <w:rPr>
                <w:rFonts w:hint="eastAsia"/>
                <w:b/>
                <w:sz w:val="21"/>
                <w:szCs w:val="21"/>
              </w:rPr>
            </w:pPr>
            <w:r>
              <w:rPr>
                <w:b/>
                <w:sz w:val="21"/>
                <w:szCs w:val="21"/>
              </w:rPr>
              <w:t>编号</w:t>
            </w:r>
          </w:p>
        </w:tc>
        <w:tc>
          <w:tcPr>
            <w:tcW w:w="2086" w:type="dxa"/>
          </w:tcPr>
          <w:p>
            <w:pPr>
              <w:pStyle w:val="TableParagraph"/>
              <w:spacing w:before="162"/>
              <w:ind w:left="107"/>
              <w:jc w:val="center"/>
              <w:rPr>
                <w:rFonts w:hint="eastAsia"/>
                <w:b/>
                <w:sz w:val="21"/>
                <w:szCs w:val="21"/>
              </w:rPr>
            </w:pPr>
            <w:r>
              <w:rPr>
                <w:b/>
                <w:sz w:val="21"/>
                <w:szCs w:val="21"/>
              </w:rPr>
              <w:t>名称</w:t>
            </w:r>
          </w:p>
        </w:tc>
        <w:tc>
          <w:tcPr>
            <w:tcW w:w="2417" w:type="dxa"/>
          </w:tcPr>
          <w:p>
            <w:pPr>
              <w:pStyle w:val="TableParagraph"/>
              <w:spacing w:before="162"/>
              <w:ind w:left="108"/>
              <w:jc w:val="center"/>
              <w:rPr>
                <w:rFonts w:hint="eastAsia"/>
                <w:b/>
                <w:sz w:val="21"/>
                <w:szCs w:val="21"/>
              </w:rPr>
            </w:pPr>
            <w:r>
              <w:rPr>
                <w:b/>
                <w:sz w:val="21"/>
                <w:szCs w:val="21"/>
              </w:rPr>
              <w:t>型号和规格</w:t>
            </w:r>
          </w:p>
        </w:tc>
        <w:tc>
          <w:tcPr>
            <w:tcW w:w="1358" w:type="dxa"/>
          </w:tcPr>
          <w:p>
            <w:pPr>
              <w:pStyle w:val="TableParagraph"/>
              <w:spacing w:before="162"/>
              <w:ind w:left="105"/>
              <w:jc w:val="center"/>
              <w:rPr>
                <w:rFonts w:hint="eastAsia"/>
                <w:b/>
                <w:sz w:val="21"/>
                <w:szCs w:val="21"/>
              </w:rPr>
            </w:pPr>
            <w:r>
              <w:rPr>
                <w:b/>
                <w:sz w:val="21"/>
                <w:szCs w:val="21"/>
              </w:rPr>
              <w:t>数量</w:t>
            </w:r>
          </w:p>
        </w:tc>
        <w:tc>
          <w:tcPr>
            <w:tcW w:w="2187" w:type="dxa"/>
          </w:tcPr>
          <w:p>
            <w:pPr>
              <w:pStyle w:val="TableParagraph"/>
              <w:spacing w:before="162"/>
              <w:ind w:left="109"/>
              <w:jc w:val="center"/>
              <w:rPr>
                <w:rFonts w:hint="eastAsia"/>
                <w:b/>
                <w:sz w:val="21"/>
                <w:szCs w:val="21"/>
              </w:rPr>
            </w:pPr>
            <w:r>
              <w:rPr>
                <w:b/>
                <w:sz w:val="21"/>
                <w:szCs w:val="21"/>
              </w:rPr>
              <w:t>备注</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w:t>
            </w:r>
          </w:p>
        </w:tc>
        <w:tc>
          <w:tcPr>
            <w:tcW w:w="2086" w:type="dxa"/>
          </w:tcPr>
          <w:p>
            <w:pPr>
              <w:pStyle w:val="TableParagraph"/>
              <w:spacing w:before="25"/>
              <w:jc w:val="center"/>
              <w:rPr>
                <w:rFonts w:hint="eastAsia"/>
                <w:sz w:val="21"/>
                <w:szCs w:val="21"/>
              </w:rPr>
            </w:pPr>
            <w:r>
              <w:rPr>
                <w:sz w:val="21"/>
                <w:szCs w:val="21"/>
              </w:rPr>
              <w:t>70 英寸显示单元</w:t>
            </w:r>
          </w:p>
        </w:tc>
        <w:tc>
          <w:tcPr>
            <w:tcW w:w="2417" w:type="dxa"/>
          </w:tcPr>
          <w:p>
            <w:pPr>
              <w:pStyle w:val="TableParagraph"/>
              <w:spacing w:before="25"/>
              <w:jc w:val="center"/>
              <w:rPr>
                <w:rFonts w:hint="eastAsia"/>
                <w:sz w:val="21"/>
                <w:szCs w:val="21"/>
              </w:rPr>
            </w:pPr>
            <w:r>
              <w:rPr>
                <w:sz w:val="21"/>
                <w:szCs w:val="21"/>
              </w:rPr>
              <w:t>VCVS-WLED70</w:t>
            </w:r>
          </w:p>
        </w:tc>
        <w:tc>
          <w:tcPr>
            <w:tcW w:w="1358" w:type="dxa"/>
          </w:tcPr>
          <w:p>
            <w:pPr>
              <w:pStyle w:val="TableParagraph"/>
              <w:spacing w:before="25"/>
              <w:ind w:right="568"/>
              <w:jc w:val="right"/>
              <w:rPr>
                <w:rFonts w:hint="eastAsia"/>
                <w:sz w:val="21"/>
                <w:szCs w:val="21"/>
              </w:rPr>
            </w:pPr>
            <w:r>
              <w:rPr>
                <w:sz w:val="21"/>
                <w:szCs w:val="21"/>
              </w:rPr>
              <w:t>40</w:t>
            </w:r>
          </w:p>
        </w:tc>
        <w:tc>
          <w:tcPr>
            <w:tcW w:w="2187" w:type="dxa"/>
          </w:tcPr>
          <w:p>
            <w:pPr>
              <w:pStyle w:val="TableParagraph"/>
              <w:spacing w:before="25"/>
              <w:jc w:val="center"/>
              <w:rPr>
                <w:rFonts w:hint="eastAsia"/>
                <w:sz w:val="21"/>
                <w:szCs w:val="21"/>
              </w:rPr>
            </w:pPr>
            <w:r>
              <w:rPr>
                <w:sz w:val="21"/>
                <w:szCs w:val="21"/>
              </w:rPr>
              <w:t>巨洋</w:t>
            </w:r>
          </w:p>
        </w:tc>
      </w:tr>
      <w:tr>
        <w:tblPrEx>
          <w:tblW w:w="0" w:type="auto"/>
          <w:tblInd w:w="114" w:type="dxa"/>
          <w:tblLayout w:type="fixed"/>
          <w:tblCellMar>
            <w:top w:w="0" w:type="dxa"/>
            <w:left w:w="0" w:type="dxa"/>
            <w:bottom w:w="0" w:type="dxa"/>
            <w:right w:w="0" w:type="dxa"/>
          </w:tblCellMar>
        </w:tblPrEx>
        <w:trPr>
          <w:trHeight w:val="312"/>
        </w:trPr>
        <w:tc>
          <w:tcPr>
            <w:tcW w:w="955" w:type="dxa"/>
          </w:tcPr>
          <w:p>
            <w:pPr>
              <w:pStyle w:val="TableParagraph"/>
              <w:spacing w:before="15" w:line="277" w:lineRule="exact"/>
              <w:ind w:right="96"/>
              <w:jc w:val="center"/>
              <w:rPr>
                <w:rFonts w:hint="eastAsia"/>
                <w:sz w:val="21"/>
                <w:szCs w:val="21"/>
              </w:rPr>
            </w:pPr>
            <w:r>
              <w:rPr>
                <w:sz w:val="21"/>
                <w:szCs w:val="21"/>
              </w:rPr>
              <w:t>2</w:t>
            </w:r>
          </w:p>
        </w:tc>
        <w:tc>
          <w:tcPr>
            <w:tcW w:w="2086" w:type="dxa"/>
          </w:tcPr>
          <w:p>
            <w:pPr>
              <w:pStyle w:val="TableParagraph"/>
              <w:spacing w:before="25"/>
              <w:jc w:val="center"/>
              <w:rPr>
                <w:rFonts w:hint="eastAsia"/>
                <w:sz w:val="21"/>
                <w:szCs w:val="21"/>
              </w:rPr>
            </w:pPr>
            <w:r>
              <w:rPr>
                <w:sz w:val="21"/>
                <w:szCs w:val="21"/>
              </w:rPr>
              <w:t>配套安装底座</w:t>
            </w:r>
          </w:p>
        </w:tc>
        <w:tc>
          <w:tcPr>
            <w:tcW w:w="2417" w:type="dxa"/>
          </w:tcPr>
          <w:p>
            <w:pPr>
              <w:pStyle w:val="TableParagraph"/>
              <w:spacing w:before="25"/>
              <w:ind w:left="34" w:right="27"/>
              <w:jc w:val="center"/>
              <w:rPr>
                <w:rFonts w:hint="eastAsia"/>
                <w:sz w:val="21"/>
                <w:szCs w:val="21"/>
              </w:rPr>
            </w:pPr>
            <w:r>
              <w:rPr>
                <w:sz w:val="21"/>
                <w:szCs w:val="21"/>
              </w:rPr>
              <w:t>配套</w:t>
            </w:r>
          </w:p>
        </w:tc>
        <w:tc>
          <w:tcPr>
            <w:tcW w:w="1358" w:type="dxa"/>
          </w:tcPr>
          <w:p>
            <w:pPr>
              <w:pStyle w:val="TableParagraph"/>
              <w:spacing w:before="25"/>
              <w:ind w:right="568"/>
              <w:jc w:val="right"/>
              <w:rPr>
                <w:rFonts w:hint="eastAsia"/>
                <w:sz w:val="21"/>
                <w:szCs w:val="21"/>
              </w:rPr>
            </w:pPr>
            <w:r>
              <w:rPr>
                <w:sz w:val="21"/>
                <w:szCs w:val="21"/>
              </w:rPr>
              <w:t>10</w:t>
            </w:r>
          </w:p>
        </w:tc>
        <w:tc>
          <w:tcPr>
            <w:tcW w:w="2187" w:type="dxa"/>
          </w:tcPr>
          <w:p>
            <w:pPr>
              <w:pStyle w:val="TableParagraph"/>
              <w:spacing w:before="25"/>
              <w:jc w:val="center"/>
              <w:rPr>
                <w:rFonts w:hint="eastAsia"/>
                <w:sz w:val="21"/>
                <w:szCs w:val="21"/>
              </w:rPr>
            </w:pPr>
            <w:r>
              <w:rPr>
                <w:sz w:val="21"/>
                <w:szCs w:val="21"/>
              </w:rPr>
              <w:t>巨洋</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3</w:t>
            </w:r>
          </w:p>
        </w:tc>
        <w:tc>
          <w:tcPr>
            <w:tcW w:w="2086" w:type="dxa"/>
          </w:tcPr>
          <w:p>
            <w:pPr>
              <w:pStyle w:val="TableParagraph"/>
              <w:spacing w:before="25"/>
              <w:jc w:val="center"/>
              <w:rPr>
                <w:rFonts w:hint="eastAsia"/>
                <w:sz w:val="21"/>
                <w:szCs w:val="21"/>
              </w:rPr>
            </w:pPr>
            <w:r>
              <w:rPr>
                <w:sz w:val="21"/>
                <w:szCs w:val="21"/>
              </w:rPr>
              <w:t>多屏处理器</w:t>
            </w:r>
          </w:p>
        </w:tc>
        <w:tc>
          <w:tcPr>
            <w:tcW w:w="2417" w:type="dxa"/>
          </w:tcPr>
          <w:p>
            <w:pPr>
              <w:pStyle w:val="TableParagraph"/>
              <w:spacing w:before="25"/>
              <w:jc w:val="center"/>
              <w:rPr>
                <w:rFonts w:hint="eastAsia"/>
                <w:sz w:val="21"/>
                <w:szCs w:val="21"/>
              </w:rPr>
            </w:pPr>
            <w:r>
              <w:rPr>
                <w:sz w:val="21"/>
                <w:szCs w:val="21"/>
              </w:rPr>
              <w:t>APLX-28U-A05</w:t>
            </w:r>
          </w:p>
        </w:tc>
        <w:tc>
          <w:tcPr>
            <w:tcW w:w="1358" w:type="dxa"/>
          </w:tcPr>
          <w:p>
            <w:pPr>
              <w:pStyle w:val="TableParagraph"/>
              <w:spacing w:before="25"/>
              <w:ind w:right="619"/>
              <w:jc w:val="right"/>
              <w:rPr>
                <w:rFonts w:hint="eastAsia"/>
                <w:sz w:val="21"/>
                <w:szCs w:val="21"/>
              </w:rPr>
            </w:pPr>
            <w:r>
              <w:rPr>
                <w:w w:val="99"/>
                <w:sz w:val="21"/>
                <w:szCs w:val="21"/>
              </w:rPr>
              <w:t>1</w:t>
            </w:r>
          </w:p>
        </w:tc>
        <w:tc>
          <w:tcPr>
            <w:tcW w:w="2187" w:type="dxa"/>
          </w:tcPr>
          <w:p>
            <w:pPr>
              <w:pStyle w:val="TableParagraph"/>
              <w:spacing w:before="25"/>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481"/>
        </w:trPr>
        <w:tc>
          <w:tcPr>
            <w:tcW w:w="955" w:type="dxa"/>
          </w:tcPr>
          <w:p>
            <w:pPr>
              <w:pStyle w:val="TableParagraph"/>
              <w:spacing w:before="185" w:line="277" w:lineRule="exact"/>
              <w:ind w:right="96"/>
              <w:jc w:val="center"/>
              <w:rPr>
                <w:rFonts w:hint="eastAsia"/>
                <w:sz w:val="21"/>
                <w:szCs w:val="21"/>
              </w:rPr>
            </w:pPr>
            <w:r>
              <w:rPr>
                <w:sz w:val="21"/>
                <w:szCs w:val="21"/>
              </w:rPr>
              <w:t>4</w:t>
            </w:r>
          </w:p>
        </w:tc>
        <w:tc>
          <w:tcPr>
            <w:tcW w:w="2086" w:type="dxa"/>
          </w:tcPr>
          <w:p>
            <w:pPr>
              <w:pStyle w:val="TableParagraph"/>
              <w:spacing w:before="111"/>
              <w:jc w:val="center"/>
              <w:rPr>
                <w:rFonts w:hint="eastAsia"/>
                <w:sz w:val="21"/>
                <w:szCs w:val="21"/>
              </w:rPr>
            </w:pPr>
            <w:r>
              <w:rPr>
                <w:sz w:val="21"/>
                <w:szCs w:val="21"/>
              </w:rPr>
              <w:t>坐席协作系统主机</w:t>
            </w:r>
          </w:p>
        </w:tc>
        <w:tc>
          <w:tcPr>
            <w:tcW w:w="2417" w:type="dxa"/>
          </w:tcPr>
          <w:p>
            <w:pPr>
              <w:pStyle w:val="TableParagraph"/>
              <w:spacing w:before="111"/>
              <w:jc w:val="center"/>
              <w:rPr>
                <w:rFonts w:hint="eastAsia"/>
                <w:sz w:val="21"/>
                <w:szCs w:val="21"/>
              </w:rPr>
            </w:pPr>
            <w:r>
              <w:rPr>
                <w:sz w:val="21"/>
                <w:szCs w:val="21"/>
              </w:rPr>
              <w:t>CRONOS-28U-0506-160160</w:t>
            </w:r>
          </w:p>
        </w:tc>
        <w:tc>
          <w:tcPr>
            <w:tcW w:w="1358" w:type="dxa"/>
          </w:tcPr>
          <w:p>
            <w:pPr>
              <w:pStyle w:val="TableParagraph"/>
              <w:spacing w:before="111"/>
              <w:ind w:right="619"/>
              <w:jc w:val="right"/>
              <w:rPr>
                <w:rFonts w:hint="eastAsia"/>
                <w:sz w:val="21"/>
                <w:szCs w:val="21"/>
              </w:rPr>
            </w:pPr>
            <w:r>
              <w:rPr>
                <w:w w:val="99"/>
                <w:sz w:val="21"/>
                <w:szCs w:val="21"/>
              </w:rPr>
              <w:t>1</w:t>
            </w:r>
          </w:p>
        </w:tc>
        <w:tc>
          <w:tcPr>
            <w:tcW w:w="2187" w:type="dxa"/>
          </w:tcPr>
          <w:p>
            <w:pPr>
              <w:pStyle w:val="TableParagraph"/>
              <w:spacing w:before="111"/>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5</w:t>
            </w:r>
          </w:p>
        </w:tc>
        <w:tc>
          <w:tcPr>
            <w:tcW w:w="2086" w:type="dxa"/>
          </w:tcPr>
          <w:p>
            <w:pPr>
              <w:pStyle w:val="TableParagraph"/>
              <w:spacing w:before="25"/>
              <w:jc w:val="center"/>
              <w:rPr>
                <w:rFonts w:hint="eastAsia"/>
                <w:sz w:val="21"/>
                <w:szCs w:val="21"/>
              </w:rPr>
            </w:pPr>
            <w:r>
              <w:rPr>
                <w:sz w:val="21"/>
                <w:szCs w:val="21"/>
              </w:rPr>
              <w:t>DVI 接口输入端</w:t>
            </w:r>
          </w:p>
        </w:tc>
        <w:tc>
          <w:tcPr>
            <w:tcW w:w="2417" w:type="dxa"/>
          </w:tcPr>
          <w:p>
            <w:pPr>
              <w:pStyle w:val="TableParagraph"/>
              <w:spacing w:before="25"/>
              <w:jc w:val="center"/>
              <w:rPr>
                <w:rFonts w:hint="eastAsia"/>
                <w:sz w:val="21"/>
                <w:szCs w:val="21"/>
              </w:rPr>
            </w:pPr>
            <w:r>
              <w:rPr>
                <w:sz w:val="21"/>
                <w:szCs w:val="21"/>
              </w:rPr>
              <w:t>TFL-1100A-D-Tx-A05</w:t>
            </w:r>
          </w:p>
        </w:tc>
        <w:tc>
          <w:tcPr>
            <w:tcW w:w="1358" w:type="dxa"/>
          </w:tcPr>
          <w:p>
            <w:pPr>
              <w:pStyle w:val="TableParagraph"/>
              <w:spacing w:before="25"/>
              <w:ind w:right="619"/>
              <w:jc w:val="right"/>
              <w:rPr>
                <w:rFonts w:hint="eastAsia"/>
                <w:sz w:val="21"/>
                <w:szCs w:val="21"/>
              </w:rPr>
            </w:pPr>
            <w:r>
              <w:rPr>
                <w:w w:val="99"/>
                <w:sz w:val="21"/>
                <w:szCs w:val="21"/>
              </w:rPr>
              <w:t>5</w:t>
            </w:r>
          </w:p>
        </w:tc>
        <w:tc>
          <w:tcPr>
            <w:tcW w:w="2187" w:type="dxa"/>
          </w:tcPr>
          <w:p>
            <w:pPr>
              <w:pStyle w:val="TableParagraph"/>
              <w:spacing w:before="25"/>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6</w:t>
            </w:r>
          </w:p>
        </w:tc>
        <w:tc>
          <w:tcPr>
            <w:tcW w:w="2086" w:type="dxa"/>
          </w:tcPr>
          <w:p>
            <w:pPr>
              <w:pStyle w:val="TableParagraph"/>
              <w:spacing w:before="25"/>
              <w:jc w:val="center"/>
              <w:rPr>
                <w:rFonts w:hint="eastAsia"/>
                <w:sz w:val="21"/>
                <w:szCs w:val="21"/>
              </w:rPr>
            </w:pPr>
            <w:r>
              <w:rPr>
                <w:sz w:val="21"/>
                <w:szCs w:val="21"/>
              </w:rPr>
              <w:t>HDMI 接口输入端</w:t>
            </w:r>
          </w:p>
        </w:tc>
        <w:tc>
          <w:tcPr>
            <w:tcW w:w="2417" w:type="dxa"/>
          </w:tcPr>
          <w:p>
            <w:pPr>
              <w:pStyle w:val="TableParagraph"/>
              <w:spacing w:before="25"/>
              <w:jc w:val="center"/>
              <w:rPr>
                <w:rFonts w:hint="eastAsia"/>
                <w:sz w:val="21"/>
                <w:szCs w:val="21"/>
              </w:rPr>
            </w:pPr>
            <w:r>
              <w:rPr>
                <w:sz w:val="21"/>
                <w:szCs w:val="21"/>
              </w:rPr>
              <w:t>TFL-1400A-UH-Tx-A05</w:t>
            </w:r>
          </w:p>
        </w:tc>
        <w:tc>
          <w:tcPr>
            <w:tcW w:w="1358" w:type="dxa"/>
          </w:tcPr>
          <w:p>
            <w:pPr>
              <w:pStyle w:val="TableParagraph"/>
              <w:spacing w:before="25"/>
              <w:ind w:right="619"/>
              <w:jc w:val="right"/>
              <w:rPr>
                <w:rFonts w:hint="eastAsia"/>
                <w:sz w:val="21"/>
                <w:szCs w:val="21"/>
              </w:rPr>
            </w:pPr>
            <w:r>
              <w:rPr>
                <w:w w:val="99"/>
                <w:sz w:val="21"/>
                <w:szCs w:val="21"/>
              </w:rPr>
              <w:t>1</w:t>
            </w:r>
          </w:p>
        </w:tc>
        <w:tc>
          <w:tcPr>
            <w:tcW w:w="2187" w:type="dxa"/>
          </w:tcPr>
          <w:p>
            <w:pPr>
              <w:pStyle w:val="TableParagraph"/>
              <w:spacing w:before="25"/>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7</w:t>
            </w:r>
          </w:p>
        </w:tc>
        <w:tc>
          <w:tcPr>
            <w:tcW w:w="2086" w:type="dxa"/>
          </w:tcPr>
          <w:p>
            <w:pPr>
              <w:pStyle w:val="TableParagraph"/>
              <w:spacing w:before="25"/>
              <w:jc w:val="center"/>
              <w:rPr>
                <w:rFonts w:hint="eastAsia"/>
                <w:sz w:val="21"/>
                <w:szCs w:val="21"/>
              </w:rPr>
            </w:pPr>
            <w:r>
              <w:rPr>
                <w:sz w:val="21"/>
                <w:szCs w:val="21"/>
              </w:rPr>
              <w:t>DVI 接口输出端</w:t>
            </w:r>
          </w:p>
        </w:tc>
        <w:tc>
          <w:tcPr>
            <w:tcW w:w="2417" w:type="dxa"/>
          </w:tcPr>
          <w:p>
            <w:pPr>
              <w:pStyle w:val="TableParagraph"/>
              <w:spacing w:before="25"/>
              <w:jc w:val="center"/>
              <w:rPr>
                <w:rFonts w:hint="eastAsia"/>
                <w:sz w:val="21"/>
                <w:szCs w:val="21"/>
              </w:rPr>
            </w:pPr>
            <w:r>
              <w:rPr>
                <w:sz w:val="21"/>
                <w:szCs w:val="21"/>
              </w:rPr>
              <w:t>TFL-1100A-D-Rx-A05</w:t>
            </w:r>
          </w:p>
        </w:tc>
        <w:tc>
          <w:tcPr>
            <w:tcW w:w="1358" w:type="dxa"/>
          </w:tcPr>
          <w:p>
            <w:pPr>
              <w:pStyle w:val="TableParagraph"/>
              <w:spacing w:before="25"/>
              <w:ind w:right="619"/>
              <w:jc w:val="right"/>
              <w:rPr>
                <w:rFonts w:hint="eastAsia"/>
                <w:sz w:val="21"/>
                <w:szCs w:val="21"/>
              </w:rPr>
            </w:pPr>
            <w:r>
              <w:rPr>
                <w:w w:val="99"/>
                <w:sz w:val="21"/>
                <w:szCs w:val="21"/>
              </w:rPr>
              <w:t>4</w:t>
            </w:r>
          </w:p>
        </w:tc>
        <w:tc>
          <w:tcPr>
            <w:tcW w:w="2187" w:type="dxa"/>
          </w:tcPr>
          <w:p>
            <w:pPr>
              <w:pStyle w:val="TableParagraph"/>
              <w:spacing w:before="25"/>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8</w:t>
            </w:r>
          </w:p>
        </w:tc>
        <w:tc>
          <w:tcPr>
            <w:tcW w:w="2086" w:type="dxa"/>
          </w:tcPr>
          <w:p>
            <w:pPr>
              <w:pStyle w:val="TableParagraph"/>
              <w:spacing w:before="25"/>
              <w:jc w:val="center"/>
              <w:rPr>
                <w:rFonts w:hint="eastAsia"/>
                <w:sz w:val="21"/>
                <w:szCs w:val="21"/>
              </w:rPr>
            </w:pPr>
            <w:r>
              <w:rPr>
                <w:sz w:val="21"/>
                <w:szCs w:val="21"/>
              </w:rPr>
              <w:t>KVM 接收端</w:t>
            </w:r>
          </w:p>
        </w:tc>
        <w:tc>
          <w:tcPr>
            <w:tcW w:w="2417" w:type="dxa"/>
          </w:tcPr>
          <w:p>
            <w:pPr>
              <w:pStyle w:val="TableParagraph"/>
              <w:spacing w:before="25"/>
              <w:jc w:val="center"/>
              <w:rPr>
                <w:rFonts w:hint="eastAsia"/>
                <w:sz w:val="21"/>
                <w:szCs w:val="21"/>
              </w:rPr>
            </w:pPr>
            <w:r>
              <w:rPr>
                <w:sz w:val="21"/>
                <w:szCs w:val="21"/>
              </w:rPr>
              <w:t>MC-F80C-D-US-A05</w:t>
            </w:r>
          </w:p>
        </w:tc>
        <w:tc>
          <w:tcPr>
            <w:tcW w:w="1358" w:type="dxa"/>
          </w:tcPr>
          <w:p>
            <w:pPr>
              <w:pStyle w:val="TableParagraph"/>
              <w:spacing w:before="25"/>
              <w:ind w:right="568"/>
              <w:jc w:val="right"/>
              <w:rPr>
                <w:rFonts w:hint="eastAsia"/>
                <w:sz w:val="21"/>
                <w:szCs w:val="21"/>
              </w:rPr>
            </w:pPr>
            <w:r>
              <w:rPr>
                <w:sz w:val="21"/>
                <w:szCs w:val="21"/>
              </w:rPr>
              <w:t>46</w:t>
            </w:r>
          </w:p>
        </w:tc>
        <w:tc>
          <w:tcPr>
            <w:tcW w:w="2187" w:type="dxa"/>
          </w:tcPr>
          <w:p>
            <w:pPr>
              <w:pStyle w:val="TableParagraph"/>
              <w:spacing w:before="25"/>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9</w:t>
            </w:r>
          </w:p>
        </w:tc>
        <w:tc>
          <w:tcPr>
            <w:tcW w:w="2086" w:type="dxa"/>
          </w:tcPr>
          <w:p>
            <w:pPr>
              <w:pStyle w:val="TableParagraph"/>
              <w:spacing w:before="25"/>
              <w:jc w:val="center"/>
              <w:rPr>
                <w:rFonts w:hint="eastAsia"/>
                <w:sz w:val="21"/>
                <w:szCs w:val="21"/>
              </w:rPr>
            </w:pPr>
            <w:r>
              <w:rPr>
                <w:sz w:val="21"/>
                <w:szCs w:val="21"/>
              </w:rPr>
              <w:t>KVM 发送端</w:t>
            </w:r>
          </w:p>
        </w:tc>
        <w:tc>
          <w:tcPr>
            <w:tcW w:w="2417" w:type="dxa"/>
          </w:tcPr>
          <w:p>
            <w:pPr>
              <w:pStyle w:val="TableParagraph"/>
              <w:spacing w:before="25"/>
              <w:jc w:val="center"/>
              <w:rPr>
                <w:rFonts w:hint="eastAsia"/>
                <w:sz w:val="21"/>
                <w:szCs w:val="21"/>
              </w:rPr>
            </w:pPr>
            <w:r>
              <w:rPr>
                <w:sz w:val="21"/>
                <w:szCs w:val="21"/>
              </w:rPr>
              <w:t>MC-F80A-D-PC-A05</w:t>
            </w:r>
          </w:p>
        </w:tc>
        <w:tc>
          <w:tcPr>
            <w:tcW w:w="1358" w:type="dxa"/>
          </w:tcPr>
          <w:p>
            <w:pPr>
              <w:pStyle w:val="TableParagraph"/>
              <w:spacing w:before="25"/>
              <w:ind w:right="568"/>
              <w:jc w:val="right"/>
              <w:rPr>
                <w:rFonts w:hint="eastAsia"/>
                <w:sz w:val="21"/>
                <w:szCs w:val="21"/>
              </w:rPr>
            </w:pPr>
            <w:r>
              <w:rPr>
                <w:sz w:val="21"/>
                <w:szCs w:val="21"/>
              </w:rPr>
              <w:t>46</w:t>
            </w:r>
          </w:p>
        </w:tc>
        <w:tc>
          <w:tcPr>
            <w:tcW w:w="2187" w:type="dxa"/>
          </w:tcPr>
          <w:p>
            <w:pPr>
              <w:pStyle w:val="TableParagraph"/>
              <w:spacing w:before="25"/>
              <w:jc w:val="center"/>
              <w:rPr>
                <w:rFonts w:hint="eastAsia"/>
                <w:sz w:val="21"/>
                <w:szCs w:val="21"/>
              </w:rPr>
            </w:pPr>
            <w:r>
              <w:rPr>
                <w:sz w:val="21"/>
                <w:szCs w:val="21"/>
              </w:rPr>
              <w:t>淳中科技</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10</w:t>
            </w:r>
          </w:p>
        </w:tc>
        <w:tc>
          <w:tcPr>
            <w:tcW w:w="2086" w:type="dxa"/>
          </w:tcPr>
          <w:p>
            <w:pPr>
              <w:pStyle w:val="TableParagraph"/>
              <w:spacing w:before="25"/>
              <w:jc w:val="center"/>
              <w:rPr>
                <w:rFonts w:hint="eastAsia"/>
                <w:sz w:val="21"/>
                <w:szCs w:val="21"/>
              </w:rPr>
            </w:pPr>
            <w:r>
              <w:rPr>
                <w:sz w:val="21"/>
                <w:szCs w:val="21"/>
              </w:rPr>
              <w:t>扩声音柱 1</w:t>
            </w:r>
          </w:p>
        </w:tc>
        <w:tc>
          <w:tcPr>
            <w:tcW w:w="2417" w:type="dxa"/>
          </w:tcPr>
          <w:p>
            <w:pPr>
              <w:pStyle w:val="TableParagraph"/>
              <w:spacing w:before="25"/>
              <w:ind w:left="37" w:right="27"/>
              <w:jc w:val="center"/>
              <w:rPr>
                <w:rFonts w:hint="eastAsia"/>
                <w:sz w:val="21"/>
                <w:szCs w:val="21"/>
              </w:rPr>
            </w:pPr>
            <w:r>
              <w:rPr>
                <w:sz w:val="21"/>
                <w:szCs w:val="21"/>
              </w:rPr>
              <w:t>ENT-FR</w:t>
            </w:r>
          </w:p>
        </w:tc>
        <w:tc>
          <w:tcPr>
            <w:tcW w:w="1358" w:type="dxa"/>
          </w:tcPr>
          <w:p>
            <w:pPr>
              <w:pStyle w:val="TableParagraph"/>
              <w:spacing w:before="25"/>
              <w:ind w:right="619"/>
              <w:jc w:val="right"/>
              <w:rPr>
                <w:rFonts w:hint="eastAsia"/>
                <w:sz w:val="21"/>
                <w:szCs w:val="21"/>
              </w:rPr>
            </w:pPr>
            <w:r>
              <w:rPr>
                <w:w w:val="99"/>
                <w:sz w:val="21"/>
                <w:szCs w:val="21"/>
              </w:rPr>
              <w:t>2</w:t>
            </w:r>
          </w:p>
        </w:tc>
        <w:tc>
          <w:tcPr>
            <w:tcW w:w="2187" w:type="dxa"/>
          </w:tcPr>
          <w:p>
            <w:pPr>
              <w:pStyle w:val="TableParagraph"/>
              <w:spacing w:before="25"/>
              <w:jc w:val="center"/>
              <w:rPr>
                <w:rFonts w:hint="eastAsia"/>
                <w:sz w:val="21"/>
                <w:szCs w:val="21"/>
              </w:rPr>
            </w:pPr>
            <w:r>
              <w:rPr>
                <w:sz w:val="21"/>
                <w:szCs w:val="21"/>
              </w:rPr>
              <w:t>Community</w:t>
            </w:r>
          </w:p>
        </w:tc>
      </w:tr>
      <w:tr>
        <w:tblPrEx>
          <w:tblW w:w="0" w:type="auto"/>
          <w:tblInd w:w="114" w:type="dxa"/>
          <w:tblLayout w:type="fixed"/>
          <w:tblCellMar>
            <w:top w:w="0" w:type="dxa"/>
            <w:left w:w="0" w:type="dxa"/>
            <w:bottom w:w="0" w:type="dxa"/>
            <w:right w:w="0" w:type="dxa"/>
          </w:tblCellMar>
        </w:tblPrEx>
        <w:trPr>
          <w:trHeight w:val="312"/>
        </w:trPr>
        <w:tc>
          <w:tcPr>
            <w:tcW w:w="955" w:type="dxa"/>
          </w:tcPr>
          <w:p>
            <w:pPr>
              <w:pStyle w:val="TableParagraph"/>
              <w:spacing w:before="15" w:line="277" w:lineRule="exact"/>
              <w:ind w:right="96"/>
              <w:jc w:val="center"/>
              <w:rPr>
                <w:rFonts w:hint="eastAsia"/>
                <w:sz w:val="21"/>
                <w:szCs w:val="21"/>
              </w:rPr>
            </w:pPr>
            <w:r>
              <w:rPr>
                <w:sz w:val="21"/>
                <w:szCs w:val="21"/>
              </w:rPr>
              <w:t>11</w:t>
            </w:r>
          </w:p>
        </w:tc>
        <w:tc>
          <w:tcPr>
            <w:tcW w:w="2086" w:type="dxa"/>
          </w:tcPr>
          <w:p>
            <w:pPr>
              <w:pStyle w:val="TableParagraph"/>
              <w:spacing w:before="26"/>
              <w:jc w:val="center"/>
              <w:rPr>
                <w:rFonts w:hint="eastAsia"/>
                <w:sz w:val="21"/>
                <w:szCs w:val="21"/>
              </w:rPr>
            </w:pPr>
            <w:r>
              <w:rPr>
                <w:sz w:val="21"/>
                <w:szCs w:val="21"/>
              </w:rPr>
              <w:t>扩声音柱 2</w:t>
            </w:r>
          </w:p>
        </w:tc>
        <w:tc>
          <w:tcPr>
            <w:tcW w:w="2417" w:type="dxa"/>
          </w:tcPr>
          <w:p>
            <w:pPr>
              <w:pStyle w:val="TableParagraph"/>
              <w:spacing w:before="26"/>
              <w:ind w:left="37" w:right="27"/>
              <w:jc w:val="center"/>
              <w:rPr>
                <w:rFonts w:hint="eastAsia"/>
                <w:sz w:val="21"/>
                <w:szCs w:val="21"/>
              </w:rPr>
            </w:pPr>
            <w:r>
              <w:rPr>
                <w:sz w:val="21"/>
                <w:szCs w:val="21"/>
              </w:rPr>
              <w:t>ENT-212</w:t>
            </w:r>
          </w:p>
        </w:tc>
        <w:tc>
          <w:tcPr>
            <w:tcW w:w="1358" w:type="dxa"/>
          </w:tcPr>
          <w:p>
            <w:pPr>
              <w:pStyle w:val="TableParagraph"/>
              <w:spacing w:before="26"/>
              <w:ind w:right="619"/>
              <w:jc w:val="right"/>
              <w:rPr>
                <w:rFonts w:hint="eastAsia"/>
                <w:sz w:val="21"/>
                <w:szCs w:val="21"/>
              </w:rPr>
            </w:pPr>
            <w:r>
              <w:rPr>
                <w:w w:val="99"/>
                <w:sz w:val="21"/>
                <w:szCs w:val="21"/>
              </w:rPr>
              <w:t>2</w:t>
            </w:r>
          </w:p>
        </w:tc>
        <w:tc>
          <w:tcPr>
            <w:tcW w:w="2187" w:type="dxa"/>
          </w:tcPr>
          <w:p>
            <w:pPr>
              <w:pStyle w:val="TableParagraph"/>
              <w:spacing w:before="26"/>
              <w:jc w:val="center"/>
              <w:rPr>
                <w:rFonts w:hint="eastAsia"/>
                <w:sz w:val="21"/>
                <w:szCs w:val="21"/>
              </w:rPr>
            </w:pPr>
            <w:r>
              <w:rPr>
                <w:sz w:val="21"/>
                <w:szCs w:val="21"/>
              </w:rPr>
              <w:t>R&amp;H</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12</w:t>
            </w:r>
          </w:p>
        </w:tc>
        <w:tc>
          <w:tcPr>
            <w:tcW w:w="2086" w:type="dxa"/>
          </w:tcPr>
          <w:p>
            <w:pPr>
              <w:pStyle w:val="TableParagraph"/>
              <w:spacing w:before="25"/>
              <w:jc w:val="center"/>
              <w:rPr>
                <w:rFonts w:hint="eastAsia"/>
                <w:sz w:val="21"/>
                <w:szCs w:val="21"/>
              </w:rPr>
            </w:pPr>
            <w:r>
              <w:rPr>
                <w:sz w:val="21"/>
                <w:szCs w:val="21"/>
              </w:rPr>
              <w:t>功放</w:t>
            </w:r>
          </w:p>
        </w:tc>
        <w:tc>
          <w:tcPr>
            <w:tcW w:w="2417" w:type="dxa"/>
          </w:tcPr>
          <w:p>
            <w:pPr>
              <w:pStyle w:val="TableParagraph"/>
              <w:spacing w:before="25"/>
              <w:ind w:left="34" w:right="27"/>
              <w:jc w:val="center"/>
              <w:rPr>
                <w:rFonts w:hint="eastAsia"/>
                <w:sz w:val="21"/>
                <w:szCs w:val="21"/>
              </w:rPr>
            </w:pPr>
            <w:r>
              <w:rPr>
                <w:sz w:val="21"/>
                <w:szCs w:val="21"/>
              </w:rPr>
              <w:t>HPA2800</w:t>
            </w:r>
          </w:p>
        </w:tc>
        <w:tc>
          <w:tcPr>
            <w:tcW w:w="1358" w:type="dxa"/>
          </w:tcPr>
          <w:p>
            <w:pPr>
              <w:pStyle w:val="TableParagraph"/>
              <w:spacing w:before="25"/>
              <w:ind w:right="619"/>
              <w:jc w:val="right"/>
              <w:rPr>
                <w:rFonts w:hint="eastAsia"/>
                <w:sz w:val="21"/>
                <w:szCs w:val="21"/>
              </w:rPr>
            </w:pPr>
            <w:r>
              <w:rPr>
                <w:w w:val="99"/>
                <w:sz w:val="21"/>
                <w:szCs w:val="21"/>
              </w:rPr>
              <w:t>1</w:t>
            </w:r>
          </w:p>
        </w:tc>
        <w:tc>
          <w:tcPr>
            <w:tcW w:w="2187" w:type="dxa"/>
          </w:tcPr>
          <w:p>
            <w:pPr>
              <w:pStyle w:val="TableParagraph"/>
              <w:spacing w:before="25"/>
              <w:jc w:val="center"/>
              <w:rPr>
                <w:rFonts w:hint="eastAsia"/>
                <w:sz w:val="21"/>
                <w:szCs w:val="21"/>
              </w:rPr>
            </w:pPr>
            <w:r>
              <w:rPr>
                <w:sz w:val="21"/>
                <w:szCs w:val="21"/>
              </w:rPr>
              <w:t>Symetrix</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13</w:t>
            </w:r>
          </w:p>
        </w:tc>
        <w:tc>
          <w:tcPr>
            <w:tcW w:w="2086" w:type="dxa"/>
          </w:tcPr>
          <w:p>
            <w:pPr>
              <w:pStyle w:val="TableParagraph"/>
              <w:spacing w:before="25"/>
              <w:jc w:val="center"/>
              <w:rPr>
                <w:rFonts w:hint="eastAsia"/>
                <w:sz w:val="21"/>
                <w:szCs w:val="21"/>
              </w:rPr>
            </w:pPr>
            <w:r>
              <w:rPr>
                <w:sz w:val="21"/>
                <w:szCs w:val="21"/>
              </w:rPr>
              <w:t>数字音频处理器</w:t>
            </w:r>
          </w:p>
        </w:tc>
        <w:tc>
          <w:tcPr>
            <w:tcW w:w="2417" w:type="dxa"/>
          </w:tcPr>
          <w:p>
            <w:pPr>
              <w:pStyle w:val="TableParagraph"/>
              <w:spacing w:before="25"/>
              <w:jc w:val="center"/>
              <w:rPr>
                <w:rFonts w:hint="eastAsia"/>
                <w:sz w:val="21"/>
                <w:szCs w:val="21"/>
              </w:rPr>
            </w:pPr>
            <w:r>
              <w:rPr>
                <w:sz w:val="21"/>
                <w:szCs w:val="21"/>
              </w:rPr>
              <w:t>Radius AEC</w:t>
            </w:r>
          </w:p>
        </w:tc>
        <w:tc>
          <w:tcPr>
            <w:tcW w:w="1358" w:type="dxa"/>
          </w:tcPr>
          <w:p>
            <w:pPr>
              <w:pStyle w:val="TableParagraph"/>
              <w:spacing w:before="25"/>
              <w:ind w:right="619"/>
              <w:jc w:val="right"/>
              <w:rPr>
                <w:rFonts w:hint="eastAsia"/>
                <w:sz w:val="21"/>
                <w:szCs w:val="21"/>
              </w:rPr>
            </w:pPr>
            <w:r>
              <w:rPr>
                <w:w w:val="99"/>
                <w:sz w:val="21"/>
                <w:szCs w:val="21"/>
              </w:rPr>
              <w:t>1</w:t>
            </w:r>
          </w:p>
        </w:tc>
        <w:tc>
          <w:tcPr>
            <w:tcW w:w="2187" w:type="dxa"/>
          </w:tcPr>
          <w:p>
            <w:pPr>
              <w:pStyle w:val="TableParagraph"/>
              <w:spacing w:before="25"/>
              <w:jc w:val="center"/>
              <w:rPr>
                <w:rFonts w:hint="eastAsia"/>
                <w:sz w:val="21"/>
                <w:szCs w:val="21"/>
              </w:rPr>
            </w:pPr>
            <w:r>
              <w:rPr>
                <w:sz w:val="21"/>
                <w:szCs w:val="21"/>
              </w:rPr>
              <w:t>Schoeps</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14</w:t>
            </w:r>
          </w:p>
        </w:tc>
        <w:tc>
          <w:tcPr>
            <w:tcW w:w="2086" w:type="dxa"/>
          </w:tcPr>
          <w:p>
            <w:pPr>
              <w:pStyle w:val="TableParagraph"/>
              <w:spacing w:before="25"/>
              <w:jc w:val="center"/>
              <w:rPr>
                <w:rFonts w:hint="eastAsia"/>
                <w:sz w:val="21"/>
                <w:szCs w:val="21"/>
              </w:rPr>
            </w:pPr>
            <w:r>
              <w:rPr>
                <w:sz w:val="21"/>
                <w:szCs w:val="21"/>
              </w:rPr>
              <w:t>有线话筒</w:t>
            </w:r>
          </w:p>
        </w:tc>
        <w:tc>
          <w:tcPr>
            <w:tcW w:w="2417" w:type="dxa"/>
          </w:tcPr>
          <w:p>
            <w:pPr>
              <w:pStyle w:val="TableParagraph"/>
              <w:spacing w:before="25"/>
              <w:jc w:val="center"/>
              <w:rPr>
                <w:rFonts w:hint="eastAsia"/>
                <w:sz w:val="21"/>
                <w:szCs w:val="21"/>
              </w:rPr>
            </w:pPr>
            <w:r>
              <w:rPr>
                <w:sz w:val="21"/>
                <w:szCs w:val="21"/>
              </w:rPr>
              <w:t>CCM41Ug+TCg</w:t>
            </w:r>
          </w:p>
        </w:tc>
        <w:tc>
          <w:tcPr>
            <w:tcW w:w="1358" w:type="dxa"/>
          </w:tcPr>
          <w:p>
            <w:pPr>
              <w:pStyle w:val="TableParagraph"/>
              <w:spacing w:before="25"/>
              <w:ind w:right="619"/>
              <w:jc w:val="right"/>
              <w:rPr>
                <w:rFonts w:hint="eastAsia"/>
                <w:sz w:val="21"/>
                <w:szCs w:val="21"/>
              </w:rPr>
            </w:pPr>
            <w:r>
              <w:rPr>
                <w:w w:val="99"/>
                <w:sz w:val="21"/>
                <w:szCs w:val="21"/>
              </w:rPr>
              <w:t>3</w:t>
            </w:r>
          </w:p>
        </w:tc>
        <w:tc>
          <w:tcPr>
            <w:tcW w:w="2187" w:type="dxa"/>
          </w:tcPr>
          <w:p>
            <w:pPr>
              <w:pStyle w:val="TableParagraph"/>
              <w:spacing w:before="25"/>
              <w:jc w:val="center"/>
              <w:rPr>
                <w:rFonts w:hint="eastAsia"/>
                <w:sz w:val="21"/>
                <w:szCs w:val="21"/>
              </w:rPr>
            </w:pPr>
            <w:r>
              <w:rPr>
                <w:sz w:val="21"/>
                <w:szCs w:val="21"/>
              </w:rPr>
              <w:t>SHURE</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rPr>
                <w:sz w:val="21"/>
                <w:szCs w:val="21"/>
              </w:rPr>
              <w:t>15</w:t>
            </w:r>
          </w:p>
        </w:tc>
        <w:tc>
          <w:tcPr>
            <w:tcW w:w="2086" w:type="dxa"/>
          </w:tcPr>
          <w:p>
            <w:pPr>
              <w:pStyle w:val="TableParagraph"/>
              <w:spacing w:before="27"/>
              <w:jc w:val="center"/>
              <w:rPr>
                <w:rFonts w:hint="eastAsia"/>
                <w:sz w:val="21"/>
                <w:szCs w:val="21"/>
              </w:rPr>
            </w:pPr>
            <w:r>
              <w:rPr>
                <w:sz w:val="21"/>
                <w:szCs w:val="21"/>
              </w:rPr>
              <w:t>无线头戴话筒</w:t>
            </w:r>
          </w:p>
        </w:tc>
        <w:tc>
          <w:tcPr>
            <w:tcW w:w="2417" w:type="dxa"/>
          </w:tcPr>
          <w:p>
            <w:pPr>
              <w:pStyle w:val="TableParagraph"/>
              <w:spacing w:before="27"/>
              <w:jc w:val="center"/>
              <w:rPr>
                <w:rFonts w:hint="eastAsia"/>
                <w:sz w:val="21"/>
                <w:szCs w:val="21"/>
              </w:rPr>
            </w:pPr>
            <w:r>
              <w:rPr>
                <w:sz w:val="21"/>
                <w:szCs w:val="21"/>
              </w:rPr>
              <w:t>ULXD4/ULXD1/MX153T</w:t>
            </w:r>
          </w:p>
        </w:tc>
        <w:tc>
          <w:tcPr>
            <w:tcW w:w="1358" w:type="dxa"/>
          </w:tcPr>
          <w:p>
            <w:pPr>
              <w:pStyle w:val="TableParagraph"/>
              <w:spacing w:before="27"/>
              <w:ind w:right="619"/>
              <w:jc w:val="right"/>
              <w:rPr>
                <w:rFonts w:hint="eastAsia"/>
                <w:sz w:val="21"/>
                <w:szCs w:val="21"/>
              </w:rPr>
            </w:pPr>
            <w:r>
              <w:rPr>
                <w:w w:val="99"/>
                <w:sz w:val="21"/>
                <w:szCs w:val="21"/>
              </w:rPr>
              <w:t>1</w:t>
            </w:r>
          </w:p>
        </w:tc>
        <w:tc>
          <w:tcPr>
            <w:tcW w:w="2187" w:type="dxa"/>
          </w:tcPr>
          <w:p>
            <w:pPr>
              <w:pStyle w:val="TableParagraph"/>
              <w:spacing w:before="27"/>
              <w:jc w:val="center"/>
              <w:rPr>
                <w:rFonts w:hint="eastAsia"/>
                <w:sz w:val="21"/>
                <w:szCs w:val="21"/>
              </w:rPr>
            </w:pPr>
            <w:r>
              <w:rPr>
                <w:sz w:val="21"/>
                <w:szCs w:val="21"/>
              </w:rPr>
              <w:t>博世</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16</w:t>
            </w:r>
          </w:p>
        </w:tc>
        <w:tc>
          <w:tcPr>
            <w:tcW w:w="2086" w:type="dxa"/>
          </w:tcPr>
          <w:p>
            <w:pPr>
              <w:pStyle w:val="TableParagraph"/>
              <w:spacing w:before="25"/>
              <w:jc w:val="center"/>
              <w:rPr>
                <w:rFonts w:hint="eastAsia"/>
                <w:sz w:val="21"/>
                <w:szCs w:val="21"/>
              </w:rPr>
            </w:pPr>
            <w:r>
              <w:rPr>
                <w:sz w:val="21"/>
                <w:szCs w:val="21"/>
              </w:rPr>
              <w:t>数字会议讨论主机</w:t>
            </w:r>
          </w:p>
        </w:tc>
        <w:tc>
          <w:tcPr>
            <w:tcW w:w="2417" w:type="dxa"/>
          </w:tcPr>
          <w:p>
            <w:pPr>
              <w:pStyle w:val="TableParagraph"/>
              <w:spacing w:before="25"/>
              <w:jc w:val="center"/>
              <w:rPr>
                <w:rFonts w:hint="eastAsia"/>
                <w:sz w:val="21"/>
                <w:szCs w:val="21"/>
              </w:rPr>
            </w:pPr>
            <w:r>
              <w:rPr>
                <w:sz w:val="21"/>
                <w:szCs w:val="21"/>
              </w:rPr>
              <w:t>DCNM-WAP</w:t>
            </w:r>
          </w:p>
        </w:tc>
        <w:tc>
          <w:tcPr>
            <w:tcW w:w="1358" w:type="dxa"/>
          </w:tcPr>
          <w:p>
            <w:pPr>
              <w:pStyle w:val="TableParagraph"/>
              <w:spacing w:before="25"/>
              <w:ind w:right="619"/>
              <w:jc w:val="right"/>
              <w:rPr>
                <w:rFonts w:hint="eastAsia"/>
                <w:sz w:val="21"/>
                <w:szCs w:val="21"/>
              </w:rPr>
            </w:pPr>
            <w:r>
              <w:rPr>
                <w:w w:val="99"/>
                <w:sz w:val="21"/>
                <w:szCs w:val="21"/>
              </w:rPr>
              <w:t>1</w:t>
            </w:r>
          </w:p>
        </w:tc>
        <w:tc>
          <w:tcPr>
            <w:tcW w:w="2187" w:type="dxa"/>
          </w:tcPr>
          <w:p>
            <w:pPr>
              <w:pStyle w:val="TableParagraph"/>
              <w:spacing w:before="25"/>
              <w:jc w:val="center"/>
              <w:rPr>
                <w:rFonts w:hint="eastAsia"/>
                <w:sz w:val="21"/>
                <w:szCs w:val="21"/>
              </w:rPr>
            </w:pPr>
            <w:r>
              <w:rPr>
                <w:sz w:val="21"/>
                <w:szCs w:val="21"/>
              </w:rPr>
              <w:t>博世</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17</w:t>
            </w:r>
          </w:p>
        </w:tc>
        <w:tc>
          <w:tcPr>
            <w:tcW w:w="2086" w:type="dxa"/>
          </w:tcPr>
          <w:p>
            <w:pPr>
              <w:pStyle w:val="TableParagraph"/>
              <w:spacing w:before="25"/>
              <w:jc w:val="center"/>
              <w:rPr>
                <w:rFonts w:hint="eastAsia"/>
                <w:sz w:val="21"/>
                <w:szCs w:val="21"/>
              </w:rPr>
            </w:pPr>
            <w:r>
              <w:rPr>
                <w:sz w:val="21"/>
                <w:szCs w:val="21"/>
              </w:rPr>
              <w:t>主席、讨论代表机</w:t>
            </w:r>
          </w:p>
        </w:tc>
        <w:tc>
          <w:tcPr>
            <w:tcW w:w="2417" w:type="dxa"/>
          </w:tcPr>
          <w:p>
            <w:pPr>
              <w:pStyle w:val="TableParagraph"/>
              <w:spacing w:before="25"/>
              <w:ind w:left="37" w:right="27"/>
              <w:jc w:val="center"/>
              <w:rPr>
                <w:rFonts w:hint="eastAsia"/>
                <w:sz w:val="21"/>
                <w:szCs w:val="21"/>
              </w:rPr>
            </w:pPr>
            <w:r>
              <w:rPr>
                <w:sz w:val="21"/>
                <w:szCs w:val="21"/>
              </w:rPr>
              <w:t>DCNM-WD</w:t>
            </w:r>
          </w:p>
        </w:tc>
        <w:tc>
          <w:tcPr>
            <w:tcW w:w="1358" w:type="dxa"/>
          </w:tcPr>
          <w:p>
            <w:pPr>
              <w:pStyle w:val="TableParagraph"/>
              <w:spacing w:before="25"/>
              <w:ind w:right="619"/>
              <w:jc w:val="right"/>
              <w:rPr>
                <w:rFonts w:hint="eastAsia"/>
                <w:sz w:val="21"/>
                <w:szCs w:val="21"/>
              </w:rPr>
            </w:pPr>
            <w:r>
              <w:rPr>
                <w:w w:val="99"/>
                <w:sz w:val="21"/>
                <w:szCs w:val="21"/>
              </w:rPr>
              <w:t>5</w:t>
            </w:r>
          </w:p>
        </w:tc>
        <w:tc>
          <w:tcPr>
            <w:tcW w:w="2187" w:type="dxa"/>
          </w:tcPr>
          <w:p>
            <w:pPr>
              <w:pStyle w:val="TableParagraph"/>
              <w:spacing w:before="25"/>
              <w:jc w:val="center"/>
              <w:rPr>
                <w:rFonts w:hint="eastAsia"/>
                <w:sz w:val="21"/>
                <w:szCs w:val="21"/>
              </w:rPr>
            </w:pPr>
            <w:r>
              <w:rPr>
                <w:sz w:val="21"/>
                <w:szCs w:val="21"/>
              </w:rPr>
              <w:t>博世</w:t>
            </w:r>
          </w:p>
        </w:tc>
      </w:tr>
      <w:tr>
        <w:tblPrEx>
          <w:tblW w:w="0" w:type="auto"/>
          <w:tblInd w:w="114" w:type="dxa"/>
          <w:tblLayout w:type="fixed"/>
          <w:tblCellMar>
            <w:top w:w="0" w:type="dxa"/>
            <w:left w:w="0" w:type="dxa"/>
            <w:bottom w:w="0" w:type="dxa"/>
            <w:right w:w="0" w:type="dxa"/>
          </w:tblCellMar>
        </w:tblPrEx>
        <w:trPr>
          <w:trHeight w:val="311"/>
        </w:trPr>
        <w:tc>
          <w:tcPr>
            <w:tcW w:w="955" w:type="dxa"/>
          </w:tcPr>
          <w:p>
            <w:pPr>
              <w:pStyle w:val="TableParagraph"/>
              <w:spacing w:before="15" w:line="277" w:lineRule="exact"/>
              <w:ind w:right="96"/>
              <w:jc w:val="center"/>
              <w:rPr>
                <w:rFonts w:hint="eastAsia"/>
                <w:sz w:val="21"/>
                <w:szCs w:val="21"/>
              </w:rPr>
            </w:pPr>
            <w:r>
              <w:rPr>
                <w:sz w:val="21"/>
                <w:szCs w:val="21"/>
              </w:rPr>
              <w:t>18</w:t>
            </w:r>
          </w:p>
        </w:tc>
        <w:tc>
          <w:tcPr>
            <w:tcW w:w="2086" w:type="dxa"/>
          </w:tcPr>
          <w:p>
            <w:pPr>
              <w:pStyle w:val="TableParagraph"/>
              <w:spacing w:before="25"/>
              <w:jc w:val="center"/>
              <w:rPr>
                <w:rFonts w:hint="eastAsia"/>
                <w:sz w:val="21"/>
                <w:szCs w:val="21"/>
              </w:rPr>
            </w:pPr>
            <w:r>
              <w:rPr>
                <w:sz w:val="21"/>
                <w:szCs w:val="21"/>
              </w:rPr>
              <w:t>无线手持话筒</w:t>
            </w:r>
          </w:p>
        </w:tc>
        <w:tc>
          <w:tcPr>
            <w:tcW w:w="2417" w:type="dxa"/>
          </w:tcPr>
          <w:p>
            <w:pPr>
              <w:pStyle w:val="TableParagraph"/>
              <w:spacing w:before="25"/>
              <w:jc w:val="center"/>
              <w:rPr>
                <w:rFonts w:hint="eastAsia"/>
                <w:sz w:val="21"/>
                <w:szCs w:val="21"/>
              </w:rPr>
            </w:pPr>
            <w:r>
              <w:rPr>
                <w:sz w:val="21"/>
                <w:szCs w:val="21"/>
              </w:rPr>
              <w:t>ULXD4/ULXD2/Beta58</w:t>
            </w:r>
          </w:p>
        </w:tc>
        <w:tc>
          <w:tcPr>
            <w:tcW w:w="1358" w:type="dxa"/>
          </w:tcPr>
          <w:p>
            <w:pPr>
              <w:pStyle w:val="TableParagraph"/>
              <w:spacing w:before="25"/>
              <w:ind w:right="619"/>
              <w:jc w:val="right"/>
              <w:rPr>
                <w:rFonts w:hint="eastAsia"/>
                <w:sz w:val="21"/>
                <w:szCs w:val="21"/>
              </w:rPr>
            </w:pPr>
            <w:r>
              <w:rPr>
                <w:w w:val="99"/>
                <w:sz w:val="21"/>
                <w:szCs w:val="21"/>
              </w:rPr>
              <w:t>2</w:t>
            </w:r>
          </w:p>
        </w:tc>
        <w:tc>
          <w:tcPr>
            <w:tcW w:w="2187" w:type="dxa"/>
          </w:tcPr>
          <w:p>
            <w:pPr>
              <w:pStyle w:val="TableParagraph"/>
              <w:spacing w:before="25"/>
              <w:jc w:val="center"/>
              <w:rPr>
                <w:rFonts w:hint="eastAsia"/>
                <w:sz w:val="21"/>
                <w:szCs w:val="21"/>
              </w:rPr>
            </w:pPr>
            <w:r>
              <w:rPr>
                <w:sz w:val="21"/>
                <w:szCs w:val="21"/>
              </w:rPr>
              <w:t>SHURE</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rPr>
                <w:sz w:val="21"/>
                <w:szCs w:val="21"/>
              </w:rPr>
              <w:t>19</w:t>
            </w:r>
          </w:p>
        </w:tc>
        <w:tc>
          <w:tcPr>
            <w:tcW w:w="2086" w:type="dxa"/>
          </w:tcPr>
          <w:p>
            <w:pPr>
              <w:pStyle w:val="TableParagraph"/>
              <w:spacing w:before="27"/>
              <w:jc w:val="center"/>
              <w:rPr>
                <w:rFonts w:hint="eastAsia"/>
                <w:sz w:val="21"/>
                <w:szCs w:val="21"/>
              </w:rPr>
            </w:pPr>
            <w:r>
              <w:rPr>
                <w:sz w:val="21"/>
                <w:szCs w:val="21"/>
              </w:rPr>
              <w:t>电源时序器</w:t>
            </w:r>
          </w:p>
        </w:tc>
        <w:tc>
          <w:tcPr>
            <w:tcW w:w="2417" w:type="dxa"/>
          </w:tcPr>
          <w:p>
            <w:pPr>
              <w:pStyle w:val="TableParagraph"/>
              <w:spacing w:before="27"/>
              <w:ind w:left="34" w:right="27"/>
              <w:jc w:val="center"/>
              <w:rPr>
                <w:rFonts w:hint="eastAsia"/>
                <w:sz w:val="21"/>
                <w:szCs w:val="21"/>
              </w:rPr>
            </w:pPr>
            <w:r>
              <w:rPr>
                <w:sz w:val="21"/>
                <w:szCs w:val="21"/>
              </w:rPr>
              <w:t>定制</w:t>
            </w:r>
          </w:p>
        </w:tc>
        <w:tc>
          <w:tcPr>
            <w:tcW w:w="1358" w:type="dxa"/>
          </w:tcPr>
          <w:p>
            <w:pPr>
              <w:pStyle w:val="TableParagraph"/>
              <w:spacing w:before="27"/>
              <w:ind w:right="619"/>
              <w:jc w:val="right"/>
              <w:rPr>
                <w:rFonts w:hint="eastAsia"/>
                <w:sz w:val="21"/>
                <w:szCs w:val="21"/>
              </w:rPr>
            </w:pPr>
            <w:r>
              <w:rPr>
                <w:w w:val="99"/>
                <w:sz w:val="21"/>
                <w:szCs w:val="21"/>
              </w:rPr>
              <w:t>1</w:t>
            </w:r>
          </w:p>
        </w:tc>
        <w:tc>
          <w:tcPr>
            <w:tcW w:w="2187" w:type="dxa"/>
          </w:tcPr>
          <w:p>
            <w:pPr>
              <w:pStyle w:val="TableParagraph"/>
              <w:spacing w:before="27"/>
              <w:jc w:val="center"/>
              <w:rPr>
                <w:rFonts w:hint="eastAsia"/>
                <w:sz w:val="21"/>
                <w:szCs w:val="21"/>
              </w:rPr>
            </w:pPr>
            <w:r>
              <w:rPr>
                <w:sz w:val="21"/>
                <w:szCs w:val="21"/>
              </w:rPr>
              <w:t>金视</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20</w:t>
            </w:r>
          </w:p>
        </w:tc>
        <w:tc>
          <w:tcPr>
            <w:tcW w:w="2086" w:type="dxa"/>
          </w:tcPr>
          <w:p>
            <w:pPr>
              <w:pStyle w:val="TableParagraph"/>
              <w:spacing w:before="27"/>
              <w:jc w:val="center"/>
              <w:rPr>
                <w:rFonts w:hint="eastAsia"/>
                <w:sz w:val="21"/>
                <w:szCs w:val="21"/>
              </w:rPr>
            </w:pPr>
            <w:r>
              <w:rPr>
                <w:sz w:val="20"/>
              </w:rPr>
              <w:t>多媒体地/墙插</w:t>
            </w:r>
          </w:p>
        </w:tc>
        <w:tc>
          <w:tcPr>
            <w:tcW w:w="2417" w:type="dxa"/>
          </w:tcPr>
          <w:p>
            <w:pPr>
              <w:pStyle w:val="TableParagraph"/>
              <w:spacing w:before="27"/>
              <w:ind w:left="34" w:right="27"/>
              <w:jc w:val="center"/>
              <w:rPr>
                <w:rFonts w:hint="eastAsia"/>
                <w:sz w:val="21"/>
                <w:szCs w:val="21"/>
              </w:rPr>
            </w:pPr>
            <w:r>
              <w:rPr>
                <w:sz w:val="20"/>
              </w:rPr>
              <w:t>JS-DC146</w:t>
            </w:r>
          </w:p>
        </w:tc>
        <w:tc>
          <w:tcPr>
            <w:tcW w:w="1358" w:type="dxa"/>
          </w:tcPr>
          <w:p>
            <w:pPr>
              <w:pStyle w:val="TableParagraph"/>
              <w:spacing w:before="27"/>
              <w:ind w:right="619"/>
              <w:jc w:val="right"/>
              <w:rPr>
                <w:rFonts w:hint="eastAsia"/>
                <w:w w:val="99"/>
                <w:sz w:val="21"/>
                <w:szCs w:val="21"/>
              </w:rPr>
            </w:pPr>
            <w:r>
              <w:rPr>
                <w:w w:val="99"/>
                <w:sz w:val="20"/>
              </w:rPr>
              <w:t>2</w:t>
            </w:r>
          </w:p>
        </w:tc>
        <w:tc>
          <w:tcPr>
            <w:tcW w:w="2187" w:type="dxa"/>
          </w:tcPr>
          <w:p>
            <w:pPr>
              <w:pStyle w:val="TableParagraph"/>
              <w:spacing w:before="27"/>
              <w:jc w:val="center"/>
              <w:rPr>
                <w:rFonts w:hint="eastAsia"/>
                <w:sz w:val="21"/>
                <w:szCs w:val="21"/>
              </w:rPr>
            </w:pP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21</w:t>
            </w:r>
          </w:p>
        </w:tc>
        <w:tc>
          <w:tcPr>
            <w:tcW w:w="2086" w:type="dxa"/>
          </w:tcPr>
          <w:p>
            <w:pPr>
              <w:pStyle w:val="TableParagraph"/>
              <w:spacing w:before="27"/>
              <w:jc w:val="center"/>
              <w:rPr>
                <w:rFonts w:hint="eastAsia"/>
                <w:sz w:val="21"/>
                <w:szCs w:val="21"/>
              </w:rPr>
            </w:pPr>
            <w:r>
              <w:rPr>
                <w:sz w:val="20"/>
              </w:rPr>
              <w:t>数字摄像头</w:t>
            </w:r>
          </w:p>
        </w:tc>
        <w:tc>
          <w:tcPr>
            <w:tcW w:w="2417" w:type="dxa"/>
          </w:tcPr>
          <w:p>
            <w:pPr>
              <w:pStyle w:val="TableParagraph"/>
              <w:spacing w:before="27"/>
              <w:ind w:left="34" w:right="27"/>
              <w:jc w:val="center"/>
              <w:rPr>
                <w:rFonts w:hint="eastAsia"/>
                <w:sz w:val="21"/>
                <w:szCs w:val="21"/>
              </w:rPr>
            </w:pPr>
            <w:r>
              <w:rPr>
                <w:sz w:val="20"/>
              </w:rPr>
              <w:t>HWMC 58</w:t>
            </w:r>
          </w:p>
        </w:tc>
        <w:tc>
          <w:tcPr>
            <w:tcW w:w="1358" w:type="dxa"/>
          </w:tcPr>
          <w:p>
            <w:pPr>
              <w:pStyle w:val="TableParagraph"/>
              <w:spacing w:before="27"/>
              <w:ind w:right="619"/>
              <w:jc w:val="right"/>
              <w:rPr>
                <w:rFonts w:hint="eastAsia"/>
                <w:w w:val="99"/>
                <w:sz w:val="21"/>
                <w:szCs w:val="21"/>
              </w:rPr>
            </w:pPr>
            <w:r>
              <w:rPr>
                <w:w w:val="99"/>
                <w:sz w:val="20"/>
              </w:rPr>
              <w:t>1</w:t>
            </w:r>
          </w:p>
        </w:tc>
        <w:tc>
          <w:tcPr>
            <w:tcW w:w="2187" w:type="dxa"/>
          </w:tcPr>
          <w:p>
            <w:pPr>
              <w:pStyle w:val="TableParagraph"/>
              <w:spacing w:before="27"/>
              <w:jc w:val="center"/>
              <w:rPr>
                <w:rFonts w:hint="eastAsia"/>
                <w:sz w:val="21"/>
                <w:szCs w:val="21"/>
              </w:rPr>
            </w:pPr>
            <w:r>
              <w:rPr>
                <w:sz w:val="20"/>
              </w:rPr>
              <w:t>HP</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22</w:t>
            </w:r>
          </w:p>
        </w:tc>
        <w:tc>
          <w:tcPr>
            <w:tcW w:w="2086" w:type="dxa"/>
          </w:tcPr>
          <w:p>
            <w:pPr>
              <w:pStyle w:val="TableParagraph"/>
              <w:spacing w:before="27"/>
              <w:jc w:val="center"/>
              <w:rPr>
                <w:rFonts w:hint="eastAsia"/>
                <w:sz w:val="21"/>
                <w:szCs w:val="21"/>
              </w:rPr>
            </w:pPr>
            <w:r>
              <w:rPr>
                <w:sz w:val="20"/>
              </w:rPr>
              <w:t>展示生成设备</w:t>
            </w:r>
          </w:p>
        </w:tc>
        <w:tc>
          <w:tcPr>
            <w:tcW w:w="2417" w:type="dxa"/>
          </w:tcPr>
          <w:p>
            <w:pPr>
              <w:pStyle w:val="TableParagraph"/>
              <w:spacing w:before="20"/>
              <w:ind w:left="39" w:right="27"/>
              <w:jc w:val="center"/>
              <w:rPr>
                <w:rFonts w:hint="eastAsia"/>
                <w:sz w:val="20"/>
              </w:rPr>
            </w:pPr>
            <w:r>
              <w:rPr>
                <w:sz w:val="20"/>
              </w:rPr>
              <w:t>Z840 图形工作站及 W9100</w:t>
            </w:r>
          </w:p>
          <w:p>
            <w:pPr>
              <w:pStyle w:val="TableParagraph"/>
              <w:spacing w:before="27"/>
              <w:ind w:left="34" w:right="27"/>
              <w:jc w:val="center"/>
              <w:rPr>
                <w:rFonts w:hint="eastAsia"/>
                <w:sz w:val="21"/>
                <w:szCs w:val="21"/>
              </w:rPr>
            </w:pPr>
            <w:r>
              <w:rPr>
                <w:sz w:val="20"/>
              </w:rPr>
              <w:t>显卡和配套同步卡</w:t>
            </w:r>
          </w:p>
        </w:tc>
        <w:tc>
          <w:tcPr>
            <w:tcW w:w="1358" w:type="dxa"/>
          </w:tcPr>
          <w:p>
            <w:pPr>
              <w:pStyle w:val="TableParagraph"/>
              <w:spacing w:before="27"/>
              <w:ind w:right="619"/>
              <w:jc w:val="right"/>
              <w:rPr>
                <w:rFonts w:hint="eastAsia"/>
                <w:w w:val="99"/>
                <w:sz w:val="21"/>
                <w:szCs w:val="21"/>
              </w:rPr>
            </w:pPr>
            <w:r>
              <w:rPr>
                <w:w w:val="99"/>
                <w:sz w:val="20"/>
              </w:rPr>
              <w:t>1</w:t>
            </w:r>
          </w:p>
        </w:tc>
        <w:tc>
          <w:tcPr>
            <w:tcW w:w="2187" w:type="dxa"/>
          </w:tcPr>
          <w:p>
            <w:pPr>
              <w:pStyle w:val="TableParagraph"/>
              <w:spacing w:before="27"/>
              <w:jc w:val="center"/>
              <w:rPr>
                <w:rFonts w:hint="eastAsia"/>
                <w:sz w:val="21"/>
                <w:szCs w:val="21"/>
              </w:rPr>
            </w:pPr>
            <w:r>
              <w:rPr>
                <w:sz w:val="20"/>
              </w:rPr>
              <w:t>HP</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23</w:t>
            </w:r>
          </w:p>
        </w:tc>
        <w:tc>
          <w:tcPr>
            <w:tcW w:w="2086" w:type="dxa"/>
          </w:tcPr>
          <w:p>
            <w:pPr>
              <w:pStyle w:val="TableParagraph"/>
              <w:spacing w:before="27"/>
              <w:jc w:val="center"/>
              <w:rPr>
                <w:rFonts w:hint="eastAsia"/>
                <w:sz w:val="21"/>
                <w:szCs w:val="21"/>
              </w:rPr>
            </w:pPr>
            <w:r>
              <w:rPr>
                <w:sz w:val="20"/>
              </w:rPr>
              <w:t>可视化控制终端</w:t>
            </w:r>
          </w:p>
        </w:tc>
        <w:tc>
          <w:tcPr>
            <w:tcW w:w="2417" w:type="dxa"/>
          </w:tcPr>
          <w:p>
            <w:pPr>
              <w:pStyle w:val="TableParagraph"/>
              <w:spacing w:before="27"/>
              <w:ind w:left="34" w:right="27"/>
              <w:jc w:val="center"/>
              <w:rPr>
                <w:rFonts w:hint="eastAsia"/>
                <w:sz w:val="21"/>
                <w:szCs w:val="21"/>
              </w:rPr>
            </w:pPr>
            <w:r>
              <w:rPr>
                <w:sz w:val="20"/>
              </w:rPr>
              <w:t>Z240</w:t>
            </w:r>
          </w:p>
        </w:tc>
        <w:tc>
          <w:tcPr>
            <w:tcW w:w="1358" w:type="dxa"/>
          </w:tcPr>
          <w:p>
            <w:pPr>
              <w:pStyle w:val="TableParagraph"/>
              <w:spacing w:before="27"/>
              <w:ind w:right="619"/>
              <w:jc w:val="right"/>
              <w:rPr>
                <w:rFonts w:hint="eastAsia"/>
                <w:w w:val="99"/>
                <w:sz w:val="21"/>
                <w:szCs w:val="21"/>
              </w:rPr>
            </w:pPr>
            <w:r>
              <w:rPr>
                <w:w w:val="99"/>
                <w:sz w:val="20"/>
              </w:rPr>
              <w:t>2</w:t>
            </w:r>
          </w:p>
        </w:tc>
        <w:tc>
          <w:tcPr>
            <w:tcW w:w="2187" w:type="dxa"/>
          </w:tcPr>
          <w:p>
            <w:pPr>
              <w:pStyle w:val="TableParagraph"/>
              <w:spacing w:before="27"/>
              <w:jc w:val="center"/>
              <w:rPr>
                <w:rFonts w:hint="eastAsia"/>
                <w:sz w:val="21"/>
                <w:szCs w:val="21"/>
              </w:rPr>
            </w:pPr>
            <w:r>
              <w:rPr>
                <w:sz w:val="20"/>
              </w:rPr>
              <w:t>HP</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24</w:t>
            </w:r>
          </w:p>
        </w:tc>
        <w:tc>
          <w:tcPr>
            <w:tcW w:w="2086" w:type="dxa"/>
          </w:tcPr>
          <w:p>
            <w:pPr>
              <w:pStyle w:val="TableParagraph"/>
              <w:spacing w:before="27"/>
              <w:jc w:val="center"/>
              <w:rPr>
                <w:rFonts w:hint="eastAsia"/>
                <w:sz w:val="21"/>
                <w:szCs w:val="21"/>
              </w:rPr>
            </w:pPr>
            <w:r>
              <w:rPr>
                <w:sz w:val="20"/>
              </w:rPr>
              <w:t>数据接入设备</w:t>
            </w:r>
          </w:p>
        </w:tc>
        <w:tc>
          <w:tcPr>
            <w:tcW w:w="2417" w:type="dxa"/>
          </w:tcPr>
          <w:p>
            <w:pPr>
              <w:pStyle w:val="TableParagraph"/>
              <w:spacing w:before="27"/>
              <w:ind w:left="34" w:right="27"/>
              <w:jc w:val="center"/>
              <w:rPr>
                <w:rFonts w:hint="eastAsia"/>
                <w:sz w:val="21"/>
                <w:szCs w:val="21"/>
              </w:rPr>
            </w:pPr>
            <w:r>
              <w:rPr>
                <w:sz w:val="20"/>
              </w:rPr>
              <w:t>DL388</w:t>
            </w:r>
          </w:p>
        </w:tc>
        <w:tc>
          <w:tcPr>
            <w:tcW w:w="1358" w:type="dxa"/>
          </w:tcPr>
          <w:p>
            <w:pPr>
              <w:pStyle w:val="TableParagraph"/>
              <w:spacing w:before="27"/>
              <w:ind w:right="619"/>
              <w:jc w:val="right"/>
              <w:rPr>
                <w:rFonts w:hint="eastAsia"/>
                <w:w w:val="99"/>
                <w:sz w:val="21"/>
                <w:szCs w:val="21"/>
              </w:rPr>
            </w:pPr>
            <w:r>
              <w:rPr>
                <w:w w:val="99"/>
                <w:sz w:val="20"/>
              </w:rPr>
              <w:t>1</w:t>
            </w:r>
          </w:p>
        </w:tc>
        <w:tc>
          <w:tcPr>
            <w:tcW w:w="2187" w:type="dxa"/>
          </w:tcPr>
          <w:p>
            <w:pPr>
              <w:pStyle w:val="TableParagraph"/>
              <w:spacing w:before="27"/>
              <w:jc w:val="center"/>
              <w:rPr>
                <w:rFonts w:hint="eastAsia"/>
                <w:sz w:val="21"/>
                <w:szCs w:val="21"/>
              </w:rPr>
            </w:pPr>
            <w:r>
              <w:rPr>
                <w:sz w:val="20"/>
              </w:rPr>
              <w:t>HP</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25</w:t>
            </w:r>
          </w:p>
        </w:tc>
        <w:tc>
          <w:tcPr>
            <w:tcW w:w="2086" w:type="dxa"/>
          </w:tcPr>
          <w:p>
            <w:pPr>
              <w:pStyle w:val="TableParagraph"/>
              <w:spacing w:before="27"/>
              <w:jc w:val="center"/>
              <w:rPr>
                <w:rFonts w:hint="eastAsia"/>
                <w:sz w:val="21"/>
                <w:szCs w:val="21"/>
              </w:rPr>
            </w:pPr>
            <w:r>
              <w:rPr>
                <w:sz w:val="20"/>
              </w:rPr>
              <w:t>应用生产终端</w:t>
            </w:r>
          </w:p>
        </w:tc>
        <w:tc>
          <w:tcPr>
            <w:tcW w:w="2417" w:type="dxa"/>
          </w:tcPr>
          <w:p>
            <w:pPr>
              <w:pStyle w:val="TableParagraph"/>
              <w:spacing w:before="27"/>
              <w:ind w:left="34" w:right="27"/>
              <w:jc w:val="center"/>
              <w:rPr>
                <w:rFonts w:hint="eastAsia"/>
                <w:sz w:val="21"/>
                <w:szCs w:val="21"/>
              </w:rPr>
            </w:pPr>
            <w:r>
              <w:rPr>
                <w:sz w:val="20"/>
              </w:rPr>
              <w:t>DL388</w:t>
            </w:r>
          </w:p>
        </w:tc>
        <w:tc>
          <w:tcPr>
            <w:tcW w:w="1358" w:type="dxa"/>
          </w:tcPr>
          <w:p>
            <w:pPr>
              <w:pStyle w:val="TableParagraph"/>
              <w:spacing w:before="27"/>
              <w:ind w:right="619"/>
              <w:jc w:val="right"/>
              <w:rPr>
                <w:rFonts w:hint="eastAsia"/>
                <w:w w:val="99"/>
                <w:sz w:val="21"/>
                <w:szCs w:val="21"/>
              </w:rPr>
            </w:pPr>
            <w:r>
              <w:rPr>
                <w:w w:val="99"/>
                <w:sz w:val="20"/>
              </w:rPr>
              <w:t>1</w:t>
            </w:r>
          </w:p>
        </w:tc>
        <w:tc>
          <w:tcPr>
            <w:tcW w:w="2187" w:type="dxa"/>
          </w:tcPr>
          <w:p>
            <w:pPr>
              <w:pStyle w:val="TableParagraph"/>
              <w:spacing w:before="27"/>
              <w:jc w:val="center"/>
              <w:rPr>
                <w:rFonts w:hint="eastAsia"/>
                <w:sz w:val="21"/>
                <w:szCs w:val="21"/>
              </w:rPr>
            </w:pPr>
            <w:r>
              <w:rPr>
                <w:sz w:val="20"/>
              </w:rPr>
              <w:t>铁力山</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26</w:t>
            </w:r>
          </w:p>
        </w:tc>
        <w:tc>
          <w:tcPr>
            <w:tcW w:w="2086" w:type="dxa"/>
          </w:tcPr>
          <w:p>
            <w:pPr>
              <w:pStyle w:val="TableParagraph"/>
              <w:spacing w:before="27"/>
              <w:jc w:val="center"/>
              <w:rPr>
                <w:rFonts w:hint="eastAsia"/>
                <w:sz w:val="21"/>
                <w:szCs w:val="21"/>
              </w:rPr>
            </w:pPr>
            <w:r>
              <w:rPr>
                <w:sz w:val="20"/>
              </w:rPr>
              <w:t>一线坐席调度台</w:t>
            </w:r>
          </w:p>
        </w:tc>
        <w:tc>
          <w:tcPr>
            <w:tcW w:w="2417" w:type="dxa"/>
          </w:tcPr>
          <w:p>
            <w:pPr>
              <w:pStyle w:val="TableParagraph"/>
              <w:spacing w:before="27"/>
              <w:ind w:left="34" w:right="27"/>
              <w:jc w:val="center"/>
              <w:rPr>
                <w:rFonts w:hint="eastAsia"/>
                <w:sz w:val="21"/>
                <w:szCs w:val="21"/>
              </w:rPr>
            </w:pPr>
            <w:r>
              <w:rPr>
                <w:sz w:val="20"/>
              </w:rPr>
              <w:t>定制</w:t>
            </w:r>
          </w:p>
        </w:tc>
        <w:tc>
          <w:tcPr>
            <w:tcW w:w="1358" w:type="dxa"/>
          </w:tcPr>
          <w:p>
            <w:pPr>
              <w:pStyle w:val="TableParagraph"/>
              <w:spacing w:before="27"/>
              <w:ind w:right="619"/>
              <w:jc w:val="right"/>
              <w:rPr>
                <w:rFonts w:hint="eastAsia"/>
                <w:w w:val="99"/>
                <w:sz w:val="21"/>
                <w:szCs w:val="21"/>
              </w:rPr>
            </w:pPr>
            <w:r>
              <w:rPr>
                <w:w w:val="99"/>
                <w:sz w:val="20"/>
              </w:rPr>
              <w:t>9</w:t>
            </w:r>
          </w:p>
        </w:tc>
        <w:tc>
          <w:tcPr>
            <w:tcW w:w="2187" w:type="dxa"/>
          </w:tcPr>
          <w:p>
            <w:pPr>
              <w:pStyle w:val="TableParagraph"/>
              <w:spacing w:before="27"/>
              <w:jc w:val="center"/>
              <w:rPr>
                <w:rFonts w:hint="eastAsia"/>
                <w:sz w:val="21"/>
                <w:szCs w:val="21"/>
              </w:rPr>
            </w:pPr>
            <w:r>
              <w:rPr>
                <w:rFonts w:hint="eastAsia"/>
                <w:sz w:val="20"/>
              </w:rPr>
              <w:t>照</w:t>
            </w:r>
            <w:r>
              <w:rPr>
                <w:sz w:val="20"/>
              </w:rPr>
              <w:t>章</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27</w:t>
            </w:r>
          </w:p>
        </w:tc>
        <w:tc>
          <w:tcPr>
            <w:tcW w:w="2086" w:type="dxa"/>
          </w:tcPr>
          <w:p>
            <w:pPr>
              <w:pStyle w:val="TableParagraph"/>
              <w:spacing w:before="27"/>
              <w:jc w:val="center"/>
              <w:rPr>
                <w:rFonts w:hint="eastAsia"/>
                <w:sz w:val="21"/>
                <w:szCs w:val="21"/>
              </w:rPr>
            </w:pPr>
            <w:r>
              <w:rPr>
                <w:sz w:val="20"/>
              </w:rPr>
              <w:t>二线坐席调度台</w:t>
            </w:r>
          </w:p>
        </w:tc>
        <w:tc>
          <w:tcPr>
            <w:tcW w:w="2417" w:type="dxa"/>
          </w:tcPr>
          <w:p>
            <w:pPr>
              <w:pStyle w:val="TableParagraph"/>
              <w:spacing w:before="27"/>
              <w:ind w:left="34" w:right="27"/>
              <w:jc w:val="center"/>
              <w:rPr>
                <w:rFonts w:hint="eastAsia"/>
                <w:sz w:val="21"/>
                <w:szCs w:val="21"/>
              </w:rPr>
            </w:pPr>
            <w:r>
              <w:rPr>
                <w:sz w:val="20"/>
              </w:rPr>
              <w:t>定制</w:t>
            </w:r>
          </w:p>
        </w:tc>
        <w:tc>
          <w:tcPr>
            <w:tcW w:w="1358" w:type="dxa"/>
          </w:tcPr>
          <w:p>
            <w:pPr>
              <w:pStyle w:val="TableParagraph"/>
              <w:spacing w:before="27"/>
              <w:ind w:right="619"/>
              <w:jc w:val="right"/>
              <w:rPr>
                <w:rFonts w:hint="eastAsia"/>
                <w:w w:val="99"/>
                <w:sz w:val="21"/>
                <w:szCs w:val="21"/>
              </w:rPr>
            </w:pPr>
            <w:r>
              <w:rPr>
                <w:sz w:val="20"/>
              </w:rPr>
              <w:t>10</w:t>
            </w:r>
          </w:p>
        </w:tc>
        <w:tc>
          <w:tcPr>
            <w:tcW w:w="2187" w:type="dxa"/>
          </w:tcPr>
          <w:p>
            <w:pPr>
              <w:pStyle w:val="TableParagraph"/>
              <w:spacing w:before="27"/>
              <w:jc w:val="center"/>
              <w:rPr>
                <w:rFonts w:hint="eastAsia"/>
                <w:sz w:val="21"/>
                <w:szCs w:val="21"/>
              </w:rPr>
            </w:pPr>
            <w:r>
              <w:rPr>
                <w:sz w:val="20"/>
              </w:rPr>
              <w:t>金豪</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28</w:t>
            </w:r>
          </w:p>
        </w:tc>
        <w:tc>
          <w:tcPr>
            <w:tcW w:w="2086" w:type="dxa"/>
          </w:tcPr>
          <w:p>
            <w:pPr>
              <w:pStyle w:val="TableParagraph"/>
              <w:spacing w:before="27"/>
              <w:jc w:val="center"/>
              <w:rPr>
                <w:rFonts w:hint="eastAsia"/>
                <w:sz w:val="21"/>
                <w:szCs w:val="21"/>
              </w:rPr>
            </w:pPr>
            <w:r>
              <w:rPr>
                <w:sz w:val="20"/>
              </w:rPr>
              <w:t>一线坐席座椅</w:t>
            </w:r>
          </w:p>
        </w:tc>
        <w:tc>
          <w:tcPr>
            <w:tcW w:w="2417" w:type="dxa"/>
          </w:tcPr>
          <w:p>
            <w:pPr>
              <w:pStyle w:val="TableParagraph"/>
              <w:spacing w:before="27"/>
              <w:ind w:left="34" w:right="27"/>
              <w:jc w:val="center"/>
              <w:rPr>
                <w:rFonts w:hint="eastAsia"/>
                <w:sz w:val="21"/>
                <w:szCs w:val="21"/>
              </w:rPr>
            </w:pPr>
            <w:r>
              <w:rPr>
                <w:sz w:val="20"/>
              </w:rPr>
              <w:t>定制</w:t>
            </w:r>
          </w:p>
        </w:tc>
        <w:tc>
          <w:tcPr>
            <w:tcW w:w="1358" w:type="dxa"/>
          </w:tcPr>
          <w:p>
            <w:pPr>
              <w:pStyle w:val="TableParagraph"/>
              <w:spacing w:before="27"/>
              <w:ind w:right="619"/>
              <w:jc w:val="right"/>
              <w:rPr>
                <w:rFonts w:hint="eastAsia"/>
                <w:w w:val="99"/>
                <w:sz w:val="21"/>
                <w:szCs w:val="21"/>
              </w:rPr>
            </w:pPr>
            <w:r>
              <w:rPr>
                <w:w w:val="99"/>
                <w:sz w:val="20"/>
              </w:rPr>
              <w:t>9</w:t>
            </w:r>
          </w:p>
        </w:tc>
        <w:tc>
          <w:tcPr>
            <w:tcW w:w="2187" w:type="dxa"/>
          </w:tcPr>
          <w:p>
            <w:pPr>
              <w:pStyle w:val="TableParagraph"/>
              <w:spacing w:before="27"/>
              <w:jc w:val="center"/>
              <w:rPr>
                <w:rFonts w:hint="eastAsia"/>
                <w:sz w:val="21"/>
                <w:szCs w:val="21"/>
              </w:rPr>
            </w:pPr>
            <w:r>
              <w:rPr>
                <w:rFonts w:hint="eastAsia"/>
                <w:sz w:val="21"/>
                <w:szCs w:val="21"/>
              </w:rPr>
              <w:t>松</w:t>
            </w:r>
            <w:r>
              <w:rPr>
                <w:sz w:val="21"/>
                <w:szCs w:val="21"/>
              </w:rPr>
              <w:t>林</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29</w:t>
            </w:r>
          </w:p>
        </w:tc>
        <w:tc>
          <w:tcPr>
            <w:tcW w:w="2086" w:type="dxa"/>
          </w:tcPr>
          <w:p>
            <w:pPr>
              <w:pStyle w:val="TableParagraph"/>
              <w:spacing w:before="27"/>
              <w:jc w:val="center"/>
              <w:rPr>
                <w:rFonts w:hint="eastAsia"/>
                <w:sz w:val="21"/>
                <w:szCs w:val="21"/>
              </w:rPr>
            </w:pPr>
            <w:r>
              <w:rPr>
                <w:sz w:val="20"/>
              </w:rPr>
              <w:t>二线坐席座椅</w:t>
            </w:r>
          </w:p>
        </w:tc>
        <w:tc>
          <w:tcPr>
            <w:tcW w:w="2417" w:type="dxa"/>
          </w:tcPr>
          <w:p>
            <w:pPr>
              <w:pStyle w:val="TableParagraph"/>
              <w:spacing w:before="27"/>
              <w:ind w:left="34" w:right="27"/>
              <w:jc w:val="center"/>
              <w:rPr>
                <w:rFonts w:hint="eastAsia"/>
                <w:sz w:val="21"/>
                <w:szCs w:val="21"/>
              </w:rPr>
            </w:pPr>
            <w:r>
              <w:rPr>
                <w:sz w:val="20"/>
              </w:rPr>
              <w:t>定制</w:t>
            </w:r>
          </w:p>
        </w:tc>
        <w:tc>
          <w:tcPr>
            <w:tcW w:w="1358" w:type="dxa"/>
          </w:tcPr>
          <w:p>
            <w:pPr>
              <w:pStyle w:val="TableParagraph"/>
              <w:spacing w:before="27"/>
              <w:ind w:right="619"/>
              <w:jc w:val="right"/>
              <w:rPr>
                <w:rFonts w:hint="eastAsia"/>
                <w:w w:val="99"/>
                <w:sz w:val="21"/>
                <w:szCs w:val="21"/>
              </w:rPr>
            </w:pPr>
            <w:r>
              <w:rPr>
                <w:sz w:val="20"/>
              </w:rPr>
              <w:t>10</w:t>
            </w:r>
          </w:p>
        </w:tc>
        <w:tc>
          <w:tcPr>
            <w:tcW w:w="2187" w:type="dxa"/>
          </w:tcPr>
          <w:p>
            <w:pPr>
              <w:pStyle w:val="TableParagraph"/>
              <w:spacing w:before="27"/>
              <w:jc w:val="center"/>
              <w:rPr>
                <w:rFonts w:hint="eastAsia"/>
                <w:sz w:val="21"/>
                <w:szCs w:val="21"/>
              </w:rPr>
            </w:pPr>
            <w:r>
              <w:rPr>
                <w:rFonts w:hint="eastAsia"/>
                <w:sz w:val="21"/>
                <w:szCs w:val="21"/>
              </w:rPr>
              <w:t>铁力</w:t>
            </w:r>
            <w:r>
              <w:rPr>
                <w:sz w:val="21"/>
                <w:szCs w:val="21"/>
              </w:rPr>
              <w:t>山</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sz w:val="21"/>
                <w:szCs w:val="21"/>
              </w:rPr>
            </w:pPr>
            <w:r>
              <w:t>30</w:t>
            </w:r>
          </w:p>
        </w:tc>
        <w:tc>
          <w:tcPr>
            <w:tcW w:w="2086" w:type="dxa"/>
          </w:tcPr>
          <w:p>
            <w:pPr>
              <w:pStyle w:val="TableParagraph"/>
              <w:spacing w:before="27"/>
              <w:jc w:val="center"/>
              <w:rPr>
                <w:rFonts w:hint="eastAsia"/>
                <w:sz w:val="21"/>
                <w:szCs w:val="21"/>
              </w:rPr>
            </w:pPr>
            <w:r>
              <w:rPr>
                <w:rFonts w:hint="eastAsia"/>
                <w:sz w:val="20"/>
              </w:rPr>
              <w:t>一线坐席</w:t>
            </w:r>
            <w:r>
              <w:rPr>
                <w:sz w:val="20"/>
              </w:rPr>
              <w:t>显示器</w:t>
            </w:r>
          </w:p>
        </w:tc>
        <w:tc>
          <w:tcPr>
            <w:tcW w:w="2417" w:type="dxa"/>
          </w:tcPr>
          <w:p>
            <w:pPr>
              <w:pStyle w:val="TableParagraph"/>
              <w:spacing w:before="27"/>
              <w:ind w:left="34" w:right="27"/>
              <w:jc w:val="center"/>
              <w:rPr>
                <w:rFonts w:hint="eastAsia"/>
                <w:sz w:val="21"/>
                <w:szCs w:val="21"/>
              </w:rPr>
            </w:pPr>
            <w:r>
              <w:rPr>
                <w:rFonts w:hint="eastAsia"/>
                <w:sz w:val="21"/>
                <w:szCs w:val="21"/>
              </w:rPr>
              <w:t>P</w:t>
            </w:r>
            <w:r>
              <w:rPr>
                <w:sz w:val="21"/>
                <w:szCs w:val="21"/>
              </w:rPr>
              <w:t>2725</w:t>
            </w:r>
          </w:p>
        </w:tc>
        <w:tc>
          <w:tcPr>
            <w:tcW w:w="1358" w:type="dxa"/>
          </w:tcPr>
          <w:p>
            <w:pPr>
              <w:pStyle w:val="TableParagraph"/>
              <w:spacing w:before="27"/>
              <w:ind w:right="619"/>
              <w:jc w:val="right"/>
              <w:rPr>
                <w:rFonts w:hint="eastAsia"/>
                <w:w w:val="99"/>
                <w:sz w:val="21"/>
                <w:szCs w:val="21"/>
              </w:rPr>
            </w:pPr>
            <w:r>
              <w:rPr>
                <w:sz w:val="20"/>
              </w:rPr>
              <w:t>29</w:t>
            </w:r>
          </w:p>
        </w:tc>
        <w:tc>
          <w:tcPr>
            <w:tcW w:w="2187" w:type="dxa"/>
          </w:tcPr>
          <w:p>
            <w:pPr>
              <w:pStyle w:val="TableParagraph"/>
              <w:spacing w:before="27"/>
              <w:jc w:val="center"/>
              <w:rPr>
                <w:rFonts w:hint="eastAsia"/>
                <w:sz w:val="21"/>
                <w:szCs w:val="21"/>
              </w:rPr>
            </w:pPr>
            <w:r>
              <w:rPr>
                <w:rFonts w:hint="eastAsia"/>
                <w:sz w:val="20"/>
              </w:rPr>
              <w:t>Dell</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rPr>
                <w:rFonts w:hint="eastAsia"/>
              </w:rPr>
              <w:t>31</w:t>
            </w:r>
          </w:p>
        </w:tc>
        <w:tc>
          <w:tcPr>
            <w:tcW w:w="2086" w:type="dxa"/>
          </w:tcPr>
          <w:p>
            <w:pPr>
              <w:pStyle w:val="TableParagraph"/>
              <w:spacing w:before="27"/>
              <w:jc w:val="center"/>
              <w:rPr>
                <w:rFonts w:hint="eastAsia"/>
                <w:sz w:val="20"/>
              </w:rPr>
            </w:pPr>
            <w:r>
              <w:rPr>
                <w:rFonts w:hint="eastAsia"/>
                <w:sz w:val="20"/>
              </w:rPr>
              <w:t>二线</w:t>
            </w:r>
            <w:r>
              <w:rPr>
                <w:sz w:val="20"/>
              </w:rPr>
              <w:t>坐席</w:t>
            </w:r>
            <w:r>
              <w:rPr>
                <w:rFonts w:hint="eastAsia"/>
                <w:sz w:val="20"/>
              </w:rPr>
              <w:t>显示器</w:t>
            </w:r>
          </w:p>
        </w:tc>
        <w:tc>
          <w:tcPr>
            <w:tcW w:w="2417" w:type="dxa"/>
          </w:tcPr>
          <w:p>
            <w:pPr>
              <w:pStyle w:val="TableParagraph"/>
              <w:spacing w:before="27"/>
              <w:ind w:left="34" w:right="27"/>
              <w:jc w:val="center"/>
              <w:rPr>
                <w:rFonts w:hint="eastAsia"/>
                <w:sz w:val="20"/>
              </w:rPr>
            </w:pPr>
            <w:r>
              <w:rPr>
                <w:sz w:val="20"/>
              </w:rPr>
              <w:t>E271i</w:t>
            </w:r>
          </w:p>
        </w:tc>
        <w:tc>
          <w:tcPr>
            <w:tcW w:w="1358" w:type="dxa"/>
          </w:tcPr>
          <w:p>
            <w:pPr>
              <w:pStyle w:val="TableParagraph"/>
              <w:spacing w:before="27"/>
              <w:ind w:right="619"/>
              <w:jc w:val="right"/>
              <w:rPr>
                <w:rFonts w:hint="eastAsia"/>
                <w:sz w:val="20"/>
              </w:rPr>
            </w:pPr>
            <w:r>
              <w:rPr>
                <w:rFonts w:hint="eastAsia"/>
                <w:sz w:val="20"/>
              </w:rPr>
              <w:t>20</w:t>
            </w:r>
          </w:p>
        </w:tc>
        <w:tc>
          <w:tcPr>
            <w:tcW w:w="2187" w:type="dxa"/>
          </w:tcPr>
          <w:p>
            <w:pPr>
              <w:pStyle w:val="TableParagraph"/>
              <w:spacing w:before="27"/>
              <w:jc w:val="center"/>
              <w:rPr>
                <w:rFonts w:hint="eastAsia"/>
                <w:sz w:val="20"/>
              </w:rPr>
            </w:pPr>
            <w:r>
              <w:rPr>
                <w:rFonts w:hint="eastAsia"/>
                <w:sz w:val="20"/>
              </w:rPr>
              <w:t>飞利浦</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t>32</w:t>
            </w:r>
          </w:p>
        </w:tc>
        <w:tc>
          <w:tcPr>
            <w:tcW w:w="2086" w:type="dxa"/>
          </w:tcPr>
          <w:p>
            <w:pPr>
              <w:pStyle w:val="TableParagraph"/>
              <w:spacing w:before="27"/>
              <w:jc w:val="center"/>
              <w:rPr>
                <w:rFonts w:hint="eastAsia"/>
                <w:sz w:val="20"/>
              </w:rPr>
            </w:pPr>
            <w:r>
              <w:rPr>
                <w:rFonts w:hint="eastAsia"/>
                <w:sz w:val="20"/>
              </w:rPr>
              <w:t>液晶</w:t>
            </w:r>
            <w:r>
              <w:rPr>
                <w:sz w:val="20"/>
              </w:rPr>
              <w:t>电视</w:t>
            </w:r>
          </w:p>
        </w:tc>
        <w:tc>
          <w:tcPr>
            <w:tcW w:w="2417" w:type="dxa"/>
          </w:tcPr>
          <w:p>
            <w:pPr>
              <w:pStyle w:val="TableParagraph"/>
              <w:spacing w:before="27"/>
              <w:ind w:left="34" w:right="27"/>
              <w:jc w:val="center"/>
              <w:rPr>
                <w:rFonts w:hint="eastAsia"/>
                <w:sz w:val="20"/>
              </w:rPr>
            </w:pPr>
            <w:r>
              <w:rPr>
                <w:sz w:val="20"/>
              </w:rPr>
              <w:t>Vidda S55 Pro</w:t>
            </w:r>
          </w:p>
        </w:tc>
        <w:tc>
          <w:tcPr>
            <w:tcW w:w="1358" w:type="dxa"/>
          </w:tcPr>
          <w:p>
            <w:pPr>
              <w:pStyle w:val="TableParagraph"/>
              <w:spacing w:before="27"/>
              <w:ind w:right="619"/>
              <w:jc w:val="right"/>
              <w:rPr>
                <w:rFonts w:hint="eastAsia"/>
                <w:sz w:val="20"/>
              </w:rPr>
            </w:pPr>
            <w:r>
              <w:rPr>
                <w:rFonts w:hint="eastAsia"/>
                <w:sz w:val="20"/>
              </w:rPr>
              <w:t>3</w:t>
            </w:r>
          </w:p>
        </w:tc>
        <w:tc>
          <w:tcPr>
            <w:tcW w:w="2187" w:type="dxa"/>
          </w:tcPr>
          <w:p>
            <w:pPr>
              <w:pStyle w:val="TableParagraph"/>
              <w:spacing w:before="27"/>
              <w:jc w:val="center"/>
              <w:rPr>
                <w:rFonts w:hint="eastAsia"/>
                <w:sz w:val="20"/>
              </w:rPr>
            </w:pPr>
            <w:r>
              <w:rPr>
                <w:rFonts w:hint="eastAsia"/>
                <w:sz w:val="20"/>
              </w:rPr>
              <w:t>海信</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t>33</w:t>
            </w:r>
          </w:p>
        </w:tc>
        <w:tc>
          <w:tcPr>
            <w:tcW w:w="2086" w:type="dxa"/>
          </w:tcPr>
          <w:p>
            <w:pPr>
              <w:pStyle w:val="TableParagraph"/>
              <w:spacing w:before="27"/>
              <w:jc w:val="center"/>
              <w:rPr>
                <w:rFonts w:hint="eastAsia"/>
                <w:sz w:val="20"/>
              </w:rPr>
            </w:pPr>
            <w:r>
              <w:rPr>
                <w:sz w:val="20"/>
              </w:rPr>
              <w:t>无线接入系统</w:t>
            </w:r>
          </w:p>
        </w:tc>
        <w:tc>
          <w:tcPr>
            <w:tcW w:w="2417" w:type="dxa"/>
          </w:tcPr>
          <w:p>
            <w:pPr>
              <w:pStyle w:val="TableParagraph"/>
              <w:spacing w:before="27"/>
              <w:ind w:left="34" w:right="27"/>
              <w:jc w:val="center"/>
              <w:rPr>
                <w:rFonts w:hint="eastAsia"/>
                <w:sz w:val="20"/>
              </w:rPr>
            </w:pPr>
            <w:r>
              <w:rPr>
                <w:sz w:val="20"/>
              </w:rPr>
              <w:t>clickshare</w:t>
            </w:r>
          </w:p>
        </w:tc>
        <w:tc>
          <w:tcPr>
            <w:tcW w:w="1358" w:type="dxa"/>
          </w:tcPr>
          <w:p>
            <w:pPr>
              <w:pStyle w:val="TableParagraph"/>
              <w:spacing w:before="27"/>
              <w:ind w:right="619"/>
              <w:jc w:val="right"/>
              <w:rPr>
                <w:rFonts w:hint="eastAsia"/>
                <w:w w:val="99"/>
                <w:sz w:val="20"/>
              </w:rPr>
            </w:pPr>
            <w:r>
              <w:rPr>
                <w:w w:val="99"/>
                <w:sz w:val="20"/>
              </w:rPr>
              <w:t>1</w:t>
            </w:r>
          </w:p>
        </w:tc>
        <w:tc>
          <w:tcPr>
            <w:tcW w:w="2187" w:type="dxa"/>
          </w:tcPr>
          <w:p>
            <w:pPr>
              <w:pStyle w:val="TableParagraph"/>
              <w:spacing w:before="27"/>
              <w:jc w:val="center"/>
              <w:rPr>
                <w:rFonts w:hint="eastAsia"/>
                <w:sz w:val="20"/>
              </w:rPr>
            </w:pPr>
            <w:r>
              <w:rPr>
                <w:sz w:val="20"/>
              </w:rPr>
              <w:t>巴可</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t>34</w:t>
            </w:r>
          </w:p>
        </w:tc>
        <w:tc>
          <w:tcPr>
            <w:tcW w:w="2086" w:type="dxa"/>
          </w:tcPr>
          <w:p>
            <w:pPr>
              <w:pStyle w:val="TableParagraph"/>
              <w:spacing w:before="27"/>
              <w:jc w:val="center"/>
              <w:rPr>
                <w:rFonts w:hint="eastAsia"/>
                <w:sz w:val="20"/>
              </w:rPr>
            </w:pPr>
            <w:r>
              <w:rPr>
                <w:rFonts w:hint="eastAsia"/>
                <w:sz w:val="20"/>
              </w:rPr>
              <w:t>一线运维</w:t>
            </w:r>
            <w:r>
              <w:rPr>
                <w:sz w:val="20"/>
              </w:rPr>
              <w:t>终端</w:t>
            </w:r>
          </w:p>
        </w:tc>
        <w:tc>
          <w:tcPr>
            <w:tcW w:w="2417" w:type="dxa"/>
          </w:tcPr>
          <w:p>
            <w:pPr>
              <w:pStyle w:val="TableParagraph"/>
              <w:spacing w:before="27"/>
              <w:ind w:left="34" w:right="27"/>
              <w:jc w:val="center"/>
              <w:rPr>
                <w:rFonts w:hint="eastAsia"/>
                <w:sz w:val="20"/>
              </w:rPr>
            </w:pPr>
            <w:r>
              <w:rPr>
                <w:sz w:val="20"/>
              </w:rPr>
              <w:t>5500IBR</w:t>
            </w:r>
          </w:p>
        </w:tc>
        <w:tc>
          <w:tcPr>
            <w:tcW w:w="1358" w:type="dxa"/>
          </w:tcPr>
          <w:p>
            <w:pPr>
              <w:pStyle w:val="TableParagraph"/>
              <w:spacing w:before="27"/>
              <w:ind w:right="619"/>
              <w:jc w:val="right"/>
              <w:rPr>
                <w:rFonts w:hint="eastAsia"/>
                <w:w w:val="99"/>
                <w:sz w:val="20"/>
              </w:rPr>
            </w:pPr>
            <w:r>
              <w:rPr>
                <w:sz w:val="20"/>
              </w:rPr>
              <w:t>16</w:t>
            </w:r>
          </w:p>
        </w:tc>
        <w:tc>
          <w:tcPr>
            <w:tcW w:w="2187" w:type="dxa"/>
          </w:tcPr>
          <w:p>
            <w:pPr>
              <w:pStyle w:val="TableParagraph"/>
              <w:spacing w:before="27"/>
              <w:jc w:val="center"/>
              <w:rPr>
                <w:rFonts w:hint="eastAsia"/>
                <w:sz w:val="20"/>
              </w:rPr>
            </w:pPr>
            <w:r>
              <w:rPr>
                <w:rFonts w:hint="eastAsia"/>
                <w:sz w:val="20"/>
              </w:rPr>
              <w:t>联想</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t>35</w:t>
            </w:r>
          </w:p>
        </w:tc>
        <w:tc>
          <w:tcPr>
            <w:tcW w:w="2086" w:type="dxa"/>
          </w:tcPr>
          <w:p>
            <w:pPr>
              <w:pStyle w:val="TableParagraph"/>
              <w:spacing w:before="27"/>
              <w:jc w:val="center"/>
              <w:rPr>
                <w:rFonts w:hint="eastAsia"/>
                <w:sz w:val="20"/>
              </w:rPr>
            </w:pPr>
            <w:r>
              <w:rPr>
                <w:sz w:val="20"/>
              </w:rPr>
              <w:t>高清投影机</w:t>
            </w:r>
          </w:p>
        </w:tc>
        <w:tc>
          <w:tcPr>
            <w:tcW w:w="2417" w:type="dxa"/>
          </w:tcPr>
          <w:p>
            <w:pPr>
              <w:pStyle w:val="TableParagraph"/>
              <w:spacing w:before="27"/>
              <w:ind w:left="34" w:right="27"/>
              <w:jc w:val="center"/>
              <w:rPr>
                <w:rFonts w:hint="eastAsia"/>
                <w:sz w:val="20"/>
              </w:rPr>
            </w:pPr>
            <w:r>
              <w:rPr>
                <w:sz w:val="20"/>
              </w:rPr>
              <w:t>PHT23A</w:t>
            </w:r>
          </w:p>
        </w:tc>
        <w:tc>
          <w:tcPr>
            <w:tcW w:w="1358" w:type="dxa"/>
          </w:tcPr>
          <w:p>
            <w:pPr>
              <w:pStyle w:val="TableParagraph"/>
              <w:spacing w:before="27"/>
              <w:ind w:right="619"/>
              <w:jc w:val="right"/>
              <w:rPr>
                <w:rFonts w:hint="eastAsia"/>
                <w:w w:val="99"/>
                <w:sz w:val="20"/>
              </w:rPr>
            </w:pPr>
            <w:r>
              <w:rPr>
                <w:w w:val="99"/>
                <w:sz w:val="20"/>
              </w:rPr>
              <w:t>1</w:t>
            </w:r>
          </w:p>
        </w:tc>
        <w:tc>
          <w:tcPr>
            <w:tcW w:w="2187" w:type="dxa"/>
          </w:tcPr>
          <w:p>
            <w:pPr>
              <w:pStyle w:val="TableParagraph"/>
              <w:spacing w:before="27"/>
              <w:jc w:val="center"/>
              <w:rPr>
                <w:rFonts w:hint="eastAsia"/>
                <w:sz w:val="20"/>
              </w:rPr>
            </w:pPr>
            <w:r>
              <w:rPr>
                <w:sz w:val="20"/>
              </w:rPr>
              <w:t>中科极光</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t>36</w:t>
            </w:r>
          </w:p>
        </w:tc>
        <w:tc>
          <w:tcPr>
            <w:tcW w:w="2086" w:type="dxa"/>
          </w:tcPr>
          <w:p>
            <w:pPr>
              <w:pStyle w:val="TableParagraph"/>
              <w:spacing w:before="27"/>
              <w:jc w:val="center"/>
              <w:rPr>
                <w:rFonts w:hint="eastAsia"/>
                <w:sz w:val="20"/>
              </w:rPr>
            </w:pPr>
            <w:r>
              <w:rPr>
                <w:sz w:val="20"/>
              </w:rPr>
              <w:t>投影机吊架</w:t>
            </w:r>
          </w:p>
        </w:tc>
        <w:tc>
          <w:tcPr>
            <w:tcW w:w="2417" w:type="dxa"/>
          </w:tcPr>
          <w:p>
            <w:pPr>
              <w:pStyle w:val="TableParagraph"/>
              <w:spacing w:before="27"/>
              <w:ind w:left="34" w:right="27"/>
              <w:jc w:val="center"/>
              <w:rPr>
                <w:rFonts w:hint="eastAsia"/>
                <w:sz w:val="20"/>
              </w:rPr>
            </w:pPr>
            <w:r>
              <w:rPr>
                <w:sz w:val="20"/>
              </w:rPr>
              <w:t>定制</w:t>
            </w:r>
          </w:p>
        </w:tc>
        <w:tc>
          <w:tcPr>
            <w:tcW w:w="1358" w:type="dxa"/>
          </w:tcPr>
          <w:p>
            <w:pPr>
              <w:pStyle w:val="TableParagraph"/>
              <w:spacing w:before="27"/>
              <w:ind w:right="619"/>
              <w:jc w:val="right"/>
              <w:rPr>
                <w:rFonts w:hint="eastAsia"/>
                <w:w w:val="99"/>
                <w:sz w:val="20"/>
              </w:rPr>
            </w:pPr>
            <w:r>
              <w:rPr>
                <w:w w:val="99"/>
                <w:sz w:val="20"/>
              </w:rPr>
              <w:t>1</w:t>
            </w:r>
          </w:p>
        </w:tc>
        <w:tc>
          <w:tcPr>
            <w:tcW w:w="2187" w:type="dxa"/>
          </w:tcPr>
          <w:p>
            <w:pPr>
              <w:pStyle w:val="TableParagraph"/>
              <w:spacing w:before="27"/>
              <w:jc w:val="center"/>
              <w:rPr>
                <w:rFonts w:hint="eastAsia"/>
                <w:sz w:val="20"/>
              </w:rPr>
            </w:pPr>
            <w:r>
              <w:rPr>
                <w:sz w:val="20"/>
              </w:rPr>
              <w:t>中科极光</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t>37</w:t>
            </w:r>
          </w:p>
        </w:tc>
        <w:tc>
          <w:tcPr>
            <w:tcW w:w="2086" w:type="dxa"/>
          </w:tcPr>
          <w:p>
            <w:pPr>
              <w:pStyle w:val="TableParagraph"/>
              <w:spacing w:before="27"/>
              <w:jc w:val="center"/>
              <w:rPr>
                <w:rFonts w:hint="eastAsia"/>
                <w:sz w:val="20"/>
              </w:rPr>
            </w:pPr>
            <w:r>
              <w:rPr>
                <w:sz w:val="20"/>
              </w:rPr>
              <w:t>投影幕</w:t>
            </w:r>
          </w:p>
        </w:tc>
        <w:tc>
          <w:tcPr>
            <w:tcW w:w="2417" w:type="dxa"/>
          </w:tcPr>
          <w:p>
            <w:pPr>
              <w:pStyle w:val="TableParagraph"/>
              <w:spacing w:before="27"/>
              <w:ind w:left="34" w:right="27"/>
              <w:jc w:val="center"/>
              <w:rPr>
                <w:rFonts w:hint="eastAsia"/>
                <w:sz w:val="20"/>
              </w:rPr>
            </w:pPr>
            <w:r>
              <w:rPr>
                <w:sz w:val="20"/>
              </w:rPr>
              <w:t>电动拉线幕</w:t>
            </w:r>
          </w:p>
        </w:tc>
        <w:tc>
          <w:tcPr>
            <w:tcW w:w="1358" w:type="dxa"/>
          </w:tcPr>
          <w:p>
            <w:pPr>
              <w:pStyle w:val="TableParagraph"/>
              <w:spacing w:before="27"/>
              <w:ind w:right="619"/>
              <w:jc w:val="right"/>
              <w:rPr>
                <w:rFonts w:hint="eastAsia"/>
                <w:w w:val="99"/>
                <w:sz w:val="20"/>
              </w:rPr>
            </w:pPr>
            <w:r>
              <w:rPr>
                <w:w w:val="99"/>
                <w:sz w:val="20"/>
              </w:rPr>
              <w:t>1</w:t>
            </w:r>
          </w:p>
        </w:tc>
        <w:tc>
          <w:tcPr>
            <w:tcW w:w="2187" w:type="dxa"/>
          </w:tcPr>
          <w:p>
            <w:pPr>
              <w:pStyle w:val="TableParagraph"/>
              <w:spacing w:before="27"/>
              <w:jc w:val="center"/>
              <w:rPr>
                <w:rFonts w:hint="eastAsia"/>
                <w:sz w:val="20"/>
              </w:rPr>
            </w:pPr>
            <w:r>
              <w:rPr>
                <w:sz w:val="20"/>
              </w:rPr>
              <w:t>中科极光</w:t>
            </w:r>
          </w:p>
        </w:tc>
      </w:tr>
      <w:tr>
        <w:tblPrEx>
          <w:tblW w:w="0" w:type="auto"/>
          <w:tblInd w:w="114" w:type="dxa"/>
          <w:tblLayout w:type="fixed"/>
          <w:tblCellMar>
            <w:top w:w="0" w:type="dxa"/>
            <w:left w:w="0" w:type="dxa"/>
            <w:bottom w:w="0" w:type="dxa"/>
            <w:right w:w="0" w:type="dxa"/>
          </w:tblCellMar>
        </w:tblPrEx>
        <w:trPr>
          <w:trHeight w:val="313"/>
        </w:trPr>
        <w:tc>
          <w:tcPr>
            <w:tcW w:w="955" w:type="dxa"/>
          </w:tcPr>
          <w:p>
            <w:pPr>
              <w:pStyle w:val="TableParagraph"/>
              <w:spacing w:before="17" w:line="277" w:lineRule="exact"/>
              <w:ind w:right="96"/>
              <w:jc w:val="center"/>
              <w:rPr>
                <w:rFonts w:hint="eastAsia"/>
              </w:rPr>
            </w:pPr>
            <w:r>
              <w:rPr>
                <w:rFonts w:hint="eastAsia"/>
              </w:rPr>
              <w:t>38</w:t>
            </w:r>
          </w:p>
        </w:tc>
        <w:tc>
          <w:tcPr>
            <w:tcW w:w="2086" w:type="dxa"/>
          </w:tcPr>
          <w:p>
            <w:pPr>
              <w:pStyle w:val="TableParagraph"/>
              <w:spacing w:before="27"/>
              <w:jc w:val="center"/>
              <w:rPr>
                <w:rFonts w:hint="eastAsia"/>
                <w:sz w:val="20"/>
              </w:rPr>
            </w:pPr>
            <w:r>
              <w:rPr>
                <w:sz w:val="20"/>
              </w:rPr>
              <w:t>V3C 可视化导播系统</w:t>
            </w:r>
          </w:p>
        </w:tc>
        <w:tc>
          <w:tcPr>
            <w:tcW w:w="2417" w:type="dxa"/>
          </w:tcPr>
          <w:p>
            <w:pPr>
              <w:pStyle w:val="TableParagraph"/>
              <w:spacing w:before="27"/>
              <w:ind w:left="34" w:right="27"/>
              <w:jc w:val="center"/>
              <w:rPr>
                <w:rFonts w:hint="eastAsia"/>
                <w:sz w:val="20"/>
              </w:rPr>
            </w:pPr>
            <w:r>
              <w:rPr>
                <w:sz w:val="20"/>
              </w:rPr>
              <w:t>V2.0</w:t>
            </w:r>
          </w:p>
        </w:tc>
        <w:tc>
          <w:tcPr>
            <w:tcW w:w="1358" w:type="dxa"/>
          </w:tcPr>
          <w:p>
            <w:pPr>
              <w:pStyle w:val="TableParagraph"/>
              <w:spacing w:before="27"/>
              <w:ind w:right="619"/>
              <w:jc w:val="right"/>
              <w:rPr>
                <w:rFonts w:hint="eastAsia"/>
                <w:w w:val="99"/>
                <w:sz w:val="20"/>
              </w:rPr>
            </w:pPr>
            <w:r>
              <w:rPr>
                <w:w w:val="99"/>
                <w:sz w:val="20"/>
              </w:rPr>
              <w:t>1</w:t>
            </w:r>
          </w:p>
        </w:tc>
        <w:tc>
          <w:tcPr>
            <w:tcW w:w="2187" w:type="dxa"/>
          </w:tcPr>
          <w:p>
            <w:pPr>
              <w:pStyle w:val="TableParagraph"/>
              <w:spacing w:before="27"/>
              <w:jc w:val="center"/>
              <w:rPr>
                <w:rFonts w:hint="eastAsia"/>
                <w:sz w:val="20"/>
              </w:rPr>
            </w:pPr>
            <w:r>
              <w:rPr>
                <w:sz w:val="20"/>
              </w:rPr>
              <w:t>恒泰实达</w:t>
            </w:r>
          </w:p>
        </w:tc>
      </w:tr>
    </w:tbl>
    <w:p>
      <w:pPr>
        <w:jc w:val="center"/>
        <w:rPr>
          <w:sz w:val="20"/>
        </w:rPr>
        <w:sectPr>
          <w:pgSz w:w="11910" w:h="16840"/>
          <w:pgMar w:top="1400" w:right="1160" w:bottom="1160" w:left="1480" w:header="0" w:footer="973" w:gutter="0"/>
          <w:cols w:num="1" w:space="720"/>
        </w:sectPr>
      </w:pPr>
    </w:p>
    <w:p>
      <w:pPr>
        <w:autoSpaceDE w:val="0"/>
        <w:autoSpaceDN w:val="0"/>
        <w:jc w:val="left"/>
        <w:rPr>
          <w:rFonts w:ascii="宋体" w:hAnsi="宋体" w:cs="宋体" w:hint="eastAsia"/>
          <w:spacing w:val="-3"/>
          <w:kern w:val="0"/>
          <w:lang w:val="zh-CN" w:bidi="zh-CN"/>
        </w:rPr>
      </w:pPr>
      <w:r>
        <w:rPr>
          <w:rFonts w:ascii="宋体" w:hAnsi="宋体" w:cs="宋体" w:hint="eastAsia"/>
          <w:spacing w:val="-3"/>
          <w:kern w:val="0"/>
          <w:lang w:val="zh-CN" w:bidi="zh-CN"/>
        </w:rPr>
        <w:t>国家气象科学数据中心业务基础平台（数字</w:t>
      </w:r>
      <w:r>
        <w:rPr>
          <w:rFonts w:ascii="宋体" w:hAnsi="宋体" w:cs="宋体"/>
          <w:spacing w:val="-3"/>
          <w:kern w:val="0"/>
          <w:lang w:val="zh-CN" w:bidi="zh-CN"/>
        </w:rPr>
        <w:t>会议室）</w:t>
      </w:r>
      <w:r>
        <w:rPr>
          <w:rFonts w:ascii="宋体" w:hAnsi="宋体" w:cs="宋体" w:hint="eastAsia"/>
          <w:spacing w:val="-3"/>
          <w:kern w:val="0"/>
          <w:lang w:val="zh-CN" w:bidi="zh-CN"/>
        </w:rPr>
        <w:t>：</w:t>
      </w:r>
    </w:p>
    <w:tbl>
      <w:tblPr>
        <w:tblStyle w:val="TableNormal"/>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9"/>
        <w:gridCol w:w="2126"/>
        <w:gridCol w:w="2410"/>
        <w:gridCol w:w="1417"/>
        <w:gridCol w:w="1978"/>
      </w:tblGrid>
      <w:tr>
        <w:tblPrEx>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09"/>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hint="eastAsia"/>
                <w:b/>
                <w:bCs/>
                <w:color w:val="000000"/>
                <w:szCs w:val="21"/>
              </w:rPr>
              <w:t>编号</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hint="eastAsia"/>
                <w:b/>
                <w:bCs/>
                <w:color w:val="000000"/>
                <w:szCs w:val="21"/>
              </w:rPr>
              <w:t>名称</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hint="eastAsia"/>
                <w:b/>
                <w:bCs/>
                <w:color w:val="000000"/>
                <w:szCs w:val="21"/>
              </w:rPr>
              <w:t>型号、规格</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hint="eastAsia"/>
                <w:b/>
                <w:bCs/>
                <w:color w:val="000000"/>
                <w:szCs w:val="21"/>
              </w:rPr>
              <w:t>数量</w:t>
            </w:r>
          </w:p>
        </w:tc>
        <w:tc>
          <w:tcPr>
            <w:tcW w:w="19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hint="eastAsia"/>
                <w:b/>
                <w:bCs/>
                <w:color w:val="000000"/>
                <w:szCs w:val="21"/>
              </w:rPr>
              <w:t>备注</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小间距</w:t>
            </w:r>
            <w:r>
              <w:rPr>
                <w:rFonts w:ascii="宋体" w:hAnsi="宋体"/>
                <w:color w:val="000000"/>
                <w:szCs w:val="21"/>
              </w:rPr>
              <w:t>LED屏</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TWS012</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利亚德</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演讲台</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P22MA</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color w:val="000000"/>
                <w:szCs w:val="21"/>
              </w:rPr>
              <w:t>MAXHUB</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3</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图像拼接处理器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Mobius-LA8-V528</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淳中</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4</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无线投屏设备</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WB01</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color w:val="000000"/>
                <w:szCs w:val="21"/>
              </w:rPr>
              <w:t>MAXHUB</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5</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高清摄像机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AW-HE58SWMC</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4</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松下</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6</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摄像机升降架</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JY-Z600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江誉</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7</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录播一体机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CL360NTA</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锐取</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8</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千兆单模光纤收发器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FB-D31S20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color w:val="000000"/>
                <w:szCs w:val="21"/>
              </w:rPr>
              <w:t>FIBIT</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9</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音柱扬声器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FT-CA312</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10</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音柱扬声器功放</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CA1</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11</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吸顶扬声器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CCS6</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6</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12</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功率放大器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CA1</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13</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数字音频矩阵</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MBP-200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14</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无线拾音设备</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FTW-E812</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15</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电源时序器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PS12</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16</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数字发言单元</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G20 S</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23</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17</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系统控制主机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I Mic Center/M</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18</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系统控制软件</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G200-A</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19</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智能超薄圆轴式升降显示器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IF-8030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23</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szCs w:val="21"/>
              </w:rPr>
              <w:t>FionTu</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20</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无纸化控制服务器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IF-BAB</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21</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信号处理服务器</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IF-BAK</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22</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全数字拓展主机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IF-24</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w:t>
            </w:r>
          </w:p>
        </w:tc>
        <w:tc>
          <w:tcPr>
            <w:tcW w:w="1978"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23</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智慧无纸化控制软件</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hint="eastAsia"/>
                <w:color w:val="000000"/>
                <w:szCs w:val="21"/>
              </w:rPr>
              <w:t>定制</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24</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第三方业务接口集成服务</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hint="eastAsia"/>
                <w:color w:val="000000"/>
                <w:szCs w:val="21"/>
              </w:rPr>
              <w:t>定制</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25</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电子纸桌牌</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FT-MZ1（WIFI/NFC）</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28</w:t>
            </w:r>
          </w:p>
        </w:tc>
        <w:tc>
          <w:tcPr>
            <w:tcW w:w="1978"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26</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电子桌牌控制软件</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V1.0.0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tcPr>
          <w:p>
            <w:pPr>
              <w:jc w:val="center"/>
              <w:rPr>
                <w:rFonts w:ascii="宋体" w:hAnsi="宋体" w:hint="eastAsia"/>
                <w:szCs w:val="21"/>
              </w:rPr>
            </w:pPr>
            <w:r>
              <w:rPr>
                <w:rFonts w:ascii="宋体" w:hAnsi="宋体" w:hint="eastAsia"/>
                <w:szCs w:val="21"/>
              </w:rPr>
              <w:t>英飞</w:t>
            </w:r>
            <w:r>
              <w:rPr>
                <w:rFonts w:ascii="宋体" w:hAnsi="宋体"/>
                <w:szCs w:val="21"/>
              </w:rPr>
              <w:t>INFREE</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27</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网络集中控制主机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NX-3200 C</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szCs w:val="21"/>
              </w:rPr>
            </w:pPr>
            <w:r>
              <w:rPr>
                <w:rFonts w:ascii="宋体" w:hAnsi="宋体"/>
                <w:szCs w:val="21"/>
              </w:rPr>
              <w:t>AMX</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28</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信息发布管理平台</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IPM V4.0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hint="eastAsia"/>
                <w:color w:val="000000"/>
                <w:szCs w:val="21"/>
              </w:rPr>
              <w:t>盛科维</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color w:val="000000"/>
                <w:szCs w:val="21"/>
              </w:rPr>
              <w:t>29</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b/>
                <w:bCs/>
                <w:color w:val="000000"/>
                <w:szCs w:val="21"/>
              </w:rPr>
            </w:pPr>
            <w:r>
              <w:rPr>
                <w:rFonts w:ascii="宋体" w:hAnsi="宋体" w:hint="eastAsia"/>
                <w:color w:val="000000"/>
                <w:szCs w:val="21"/>
              </w:rPr>
              <w:t>全彩</w:t>
            </w:r>
            <w:r>
              <w:rPr>
                <w:rFonts w:ascii="宋体" w:hAnsi="宋体"/>
                <w:color w:val="000000"/>
                <w:szCs w:val="21"/>
              </w:rPr>
              <w:t>LED条屏</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b/>
                <w:bCs/>
                <w:color w:val="000000"/>
                <w:szCs w:val="21"/>
              </w:rPr>
            </w:pPr>
            <w:r>
              <w:rPr>
                <w:rFonts w:ascii="宋体" w:hAnsi="宋体"/>
                <w:color w:val="000000"/>
                <w:szCs w:val="21"/>
              </w:rPr>
              <w:t>VED1.8</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利亚德</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30</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室内环境监测主机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U-MINI208</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蓝居</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31</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室外环境监测主机</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U-LIFE100</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蓝居</w:t>
            </w:r>
          </w:p>
        </w:tc>
      </w:tr>
      <w:tr>
        <w:tblPrEx>
          <w:tblW w:w="8640" w:type="dxa"/>
          <w:jc w:val="center"/>
          <w:tblLayout w:type="fixed"/>
          <w:tblCellMar>
            <w:top w:w="0" w:type="dxa"/>
            <w:left w:w="108" w:type="dxa"/>
            <w:bottom w:w="0" w:type="dxa"/>
            <w:right w:w="108" w:type="dxa"/>
          </w:tblCellMar>
        </w:tblPrEx>
        <w:trPr>
          <w:trHeight w:val="495"/>
          <w:jc w:val="center"/>
        </w:trPr>
        <w:tc>
          <w:tcPr>
            <w:tcW w:w="709"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32</w:t>
            </w:r>
          </w:p>
        </w:tc>
        <w:tc>
          <w:tcPr>
            <w:tcW w:w="2126" w:type="dxa"/>
            <w:tcBorders>
              <w:top w:val="single" w:sz="4" w:space="0" w:color="auto"/>
              <w:left w:val="single" w:sz="4" w:space="0" w:color="auto"/>
              <w:bottom w:val="single" w:sz="4" w:space="0" w:color="auto"/>
              <w:right w:val="single" w:sz="4" w:space="0" w:color="auto"/>
            </w:tcBorders>
            <w:vAlign w:val="center"/>
          </w:tcPr>
          <w:p>
            <w:pPr>
              <w:widowControl/>
              <w:rPr>
                <w:rFonts w:ascii="宋体" w:hAnsi="宋体" w:hint="eastAsia"/>
                <w:color w:val="000000"/>
                <w:szCs w:val="21"/>
              </w:rPr>
            </w:pPr>
            <w:r>
              <w:rPr>
                <w:rFonts w:ascii="宋体" w:hAnsi="宋体" w:hint="eastAsia"/>
                <w:color w:val="000000"/>
                <w:szCs w:val="21"/>
              </w:rPr>
              <w:t>环境监测管理系统</w:t>
            </w:r>
          </w:p>
        </w:tc>
        <w:tc>
          <w:tcPr>
            <w:tcW w:w="2410"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UDL-GX</w:t>
            </w:r>
          </w:p>
        </w:tc>
        <w:tc>
          <w:tcPr>
            <w:tcW w:w="1417"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hint="eastAsia"/>
                <w:color w:val="000000"/>
                <w:szCs w:val="21"/>
              </w:rPr>
            </w:pPr>
            <w:r>
              <w:rPr>
                <w:rFonts w:ascii="宋体" w:hAnsi="宋体"/>
                <w:color w:val="000000"/>
                <w:szCs w:val="21"/>
              </w:rPr>
              <w:t>1</w:t>
            </w:r>
          </w:p>
        </w:tc>
        <w:tc>
          <w:tcPr>
            <w:tcW w:w="1978"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hint="eastAsia"/>
                <w:color w:val="000000"/>
                <w:szCs w:val="21"/>
              </w:rPr>
            </w:pPr>
            <w:r>
              <w:rPr>
                <w:rFonts w:ascii="宋体" w:hAnsi="宋体" w:hint="eastAsia"/>
                <w:color w:val="000000"/>
                <w:szCs w:val="21"/>
              </w:rPr>
              <w:t>蓝居</w:t>
            </w:r>
          </w:p>
        </w:tc>
      </w:tr>
    </w:tbl>
    <w:p>
      <w:pPr>
        <w:autoSpaceDE w:val="0"/>
        <w:autoSpaceDN w:val="0"/>
        <w:jc w:val="left"/>
        <w:rPr>
          <w:rFonts w:ascii="宋体" w:hAnsi="宋体" w:cs="宋体" w:hint="eastAsia"/>
          <w:kern w:val="0"/>
          <w:sz w:val="20"/>
          <w:szCs w:val="21"/>
          <w:lang w:val="zh-CN" w:bidi="zh-CN"/>
        </w:rPr>
      </w:pPr>
    </w:p>
    <w:p>
      <w:pPr>
        <w:autoSpaceDE w:val="0"/>
        <w:autoSpaceDN w:val="0"/>
        <w:spacing w:before="12"/>
        <w:jc w:val="left"/>
        <w:rPr>
          <w:rFonts w:ascii="宋体" w:hAnsi="宋体" w:cs="宋体" w:hint="eastAsia"/>
          <w:kern w:val="0"/>
          <w:sz w:val="15"/>
          <w:szCs w:val="21"/>
          <w:lang w:val="zh-CN" w:bidi="zh-CN"/>
        </w:rPr>
      </w:pPr>
    </w:p>
    <w:p>
      <w:pPr>
        <w:numPr>
          <w:ilvl w:val="1"/>
          <w:numId w:val="4"/>
        </w:numPr>
        <w:tabs>
          <w:tab w:val="left" w:pos="1014"/>
        </w:tabs>
        <w:autoSpaceDE w:val="0"/>
        <w:autoSpaceDN w:val="0"/>
        <w:jc w:val="left"/>
        <w:outlineLvl w:val="1"/>
        <w:rPr>
          <w:rFonts w:ascii="宋体" w:hAnsi="宋体" w:hint="eastAsia"/>
          <w:b/>
          <w:bCs/>
          <w:szCs w:val="21"/>
        </w:rPr>
      </w:pPr>
      <w:r>
        <w:rPr>
          <w:rFonts w:ascii="宋体" w:hAnsi="宋体" w:hint="eastAsia"/>
          <w:b/>
          <w:bCs/>
          <w:szCs w:val="21"/>
        </w:rPr>
        <w:t>服务内容</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本项目涉及的服务内容主要包括但不局限于以下内容：</w:t>
      </w:r>
    </w:p>
    <w:p>
      <w:pPr>
        <w:numPr>
          <w:ilvl w:val="2"/>
          <w:numId w:val="4"/>
        </w:numPr>
        <w:tabs>
          <w:tab w:val="left" w:pos="1509"/>
        </w:tabs>
        <w:autoSpaceDE w:val="0"/>
        <w:autoSpaceDN w:val="0"/>
        <w:rPr>
          <w:rFonts w:ascii="宋体" w:hAnsi="宋体" w:cs="宋体" w:hint="eastAsia"/>
          <w:kern w:val="0"/>
          <w:lang w:val="zh-CN" w:bidi="zh-CN"/>
        </w:rPr>
      </w:pPr>
      <w:r>
        <w:rPr>
          <w:rFonts w:ascii="宋体" w:hAnsi="宋体" w:cs="宋体"/>
          <w:spacing w:val="-3"/>
          <w:kern w:val="0"/>
          <w:lang w:val="zh-CN" w:bidi="zh-CN"/>
        </w:rPr>
        <w:t>服务体系建设</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供应商应为本项目成立专门的项目组，按照项目维护需求，乙方提供驻场服务、远程服务和现场服务三种服务方式，并为本项目实施制定明确清晰的管理制度、岗位职责、业务流程、质量管控策略等，形成稳定高效的服务管控体系，做到管理规范、流程合理、职责明确、服务高效。</w:t>
      </w:r>
    </w:p>
    <w:p>
      <w:pPr>
        <w:numPr>
          <w:ilvl w:val="2"/>
          <w:numId w:val="4"/>
        </w:numPr>
        <w:tabs>
          <w:tab w:val="left" w:pos="1509"/>
        </w:tabs>
        <w:autoSpaceDE w:val="0"/>
        <w:autoSpaceDN w:val="0"/>
        <w:rPr>
          <w:rFonts w:ascii="宋体" w:hAnsi="宋体" w:cs="宋体" w:hint="eastAsia"/>
          <w:kern w:val="0"/>
          <w:lang w:val="zh-CN" w:bidi="zh-CN"/>
        </w:rPr>
      </w:pPr>
      <w:r>
        <w:rPr>
          <w:rFonts w:ascii="宋体" w:hAnsi="宋体" w:cs="宋体"/>
          <w:spacing w:val="-3"/>
          <w:kern w:val="0"/>
          <w:lang w:val="zh-CN" w:bidi="zh-CN"/>
        </w:rPr>
        <w:t>故障处理时效</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供应商接到故障通知后，由专业维护工程师解答问题，根据故障现象，分析故障原因，根据初步判断后 30 分钟内做出响应，</w:t>
      </w:r>
      <w:r>
        <w:rPr>
          <w:rFonts w:ascii="宋体" w:hAnsi="宋体" w:cs="宋体" w:hint="eastAsia"/>
          <w:kern w:val="0"/>
          <w:szCs w:val="21"/>
          <w:lang w:val="zh-CN" w:bidi="zh-CN"/>
        </w:rPr>
        <w:t>2 小时内提供技术支持服务，</w:t>
      </w:r>
      <w:r>
        <w:rPr>
          <w:rFonts w:ascii="宋体" w:hAnsi="宋体" w:cs="宋体"/>
          <w:kern w:val="0"/>
          <w:szCs w:val="21"/>
          <w:lang w:val="zh-CN" w:bidi="zh-CN"/>
        </w:rPr>
        <w:t>故障恢复时间不超过 2 小时</w:t>
      </w:r>
      <w:r>
        <w:rPr>
          <w:rFonts w:ascii="宋体" w:hAnsi="宋体" w:cs="宋体" w:hint="eastAsia"/>
          <w:kern w:val="0"/>
          <w:szCs w:val="21"/>
          <w:lang w:val="zh-CN" w:bidi="zh-CN"/>
        </w:rPr>
        <w:t>。</w:t>
      </w:r>
    </w:p>
    <w:p>
      <w:pPr>
        <w:numPr>
          <w:ilvl w:val="2"/>
          <w:numId w:val="4"/>
        </w:numPr>
        <w:tabs>
          <w:tab w:val="left" w:pos="1509"/>
        </w:tabs>
        <w:autoSpaceDE w:val="0"/>
        <w:autoSpaceDN w:val="0"/>
        <w:jc w:val="left"/>
        <w:rPr>
          <w:rFonts w:ascii="宋体" w:hAnsi="宋体" w:cs="宋体" w:hint="eastAsia"/>
          <w:kern w:val="0"/>
          <w:lang w:val="zh-CN" w:bidi="zh-CN"/>
        </w:rPr>
      </w:pPr>
      <w:r>
        <w:rPr>
          <w:rFonts w:ascii="宋体" w:hAnsi="宋体" w:cs="宋体"/>
          <w:spacing w:val="-3"/>
          <w:kern w:val="0"/>
          <w:lang w:val="zh-CN" w:bidi="zh-CN"/>
        </w:rPr>
        <w:t>故障处理服务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供应商职责之一就是为本项目提供一切故障处理服务，确保本项目涉及到的设备和系统能够稳定可靠运行。</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1）本项目范围内的设备或系统出现故障后，应按照故障处理要求，及时提供满足系统运行要求的备件、备机，对相关的故障模块或设备予以更换。为确保该模块能够在现有设备上稳定工作，所提供的更换备件须是原品牌和型号的备件。</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2）在维保服务中需要对故障设备和模块进行离线维修时，应先提供备机或备件，对故障设备或模块进行临时更换，以保证系统可靠稳定运行。替换下的故障部件进行维修后需经测试确认其稳定、可靠，并经采购人认可后方可部署回原设备，故障部件应在 7 个工作日内返修完成。</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3）对于已经停产的设备发生故障无备件且无法修复的，应使用性能不低于原设备的备机替换，确保系统能够稳定运行，并能支持采购人所有应用维持在原有的水平。替换用的备机设备需与现有环境设备实现顺利衔接，且永久归采购人使用。</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（4）</w:t>
      </w:r>
      <w:r>
        <w:rPr>
          <w:rFonts w:ascii="宋体" w:hAnsi="宋体" w:cs="宋体"/>
          <w:kern w:val="0"/>
          <w:szCs w:val="21"/>
          <w:lang w:val="zh-CN" w:bidi="zh-CN"/>
        </w:rPr>
        <w:t>每次维保服务在处理故障完成后，应在 2 个工作日内提交《故障处理报告》，包括故障原因分析、处理过程、故障处理后系统状态、维护建议等。维保服务按月、季向采购人报送《工作总结》。</w:t>
      </w:r>
    </w:p>
    <w:p>
      <w:pPr>
        <w:numPr>
          <w:ilvl w:val="2"/>
          <w:numId w:val="4"/>
        </w:numPr>
        <w:tabs>
          <w:tab w:val="left" w:pos="1403"/>
        </w:tabs>
        <w:autoSpaceDE w:val="0"/>
        <w:autoSpaceDN w:val="0"/>
        <w:jc w:val="left"/>
        <w:rPr>
          <w:rFonts w:eastAsia="Times New Roman" w:hAnsi="宋体" w:cs="宋体"/>
          <w:kern w:val="0"/>
          <w:lang w:val="zh-CN" w:bidi="zh-CN"/>
        </w:rPr>
      </w:pPr>
      <w:r>
        <w:rPr>
          <w:rFonts w:ascii="宋体" w:hAnsi="宋体" w:cs="宋体"/>
          <w:spacing w:val="-3"/>
          <w:kern w:val="0"/>
          <w:lang w:val="zh-CN" w:bidi="zh-CN"/>
        </w:rPr>
        <w:t>系统版本升级服务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提供版本管理和软件补丁服务，软件补丁必须从产品官方途径正规的软件版本下发渠道获得；</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1）系统版本升级主要包括预防性和修复性升级服务，供应商应及时向采购人通报最新的版本，并提供以下信息：版本说明（包括新增功能描述和目的）；版本的测试结果；版本升级的计划、步骤，以及采购人需做的准备工作、可能对设备造成的影响等。保证采购人能够及时获取并使用，保证其合法性、准确性和及时性。</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2）供应商应无偿提供系统版本的安装、升级服务，并对采购人的维护人员进行必要的培训，在经采购人审核通过后，组织人员对所涉及的设备、软件进行升级。</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3）对于重大系统版本升级，需提前制定方案，安排更高层次的二线技术人员进行现场服务，并确保升级后系统稳定运行。</w:t>
      </w:r>
    </w:p>
    <w:p>
      <w:pPr>
        <w:numPr>
          <w:ilvl w:val="2"/>
          <w:numId w:val="4"/>
        </w:numPr>
        <w:tabs>
          <w:tab w:val="left" w:pos="1509"/>
        </w:tabs>
        <w:autoSpaceDE w:val="0"/>
        <w:autoSpaceDN w:val="0"/>
        <w:jc w:val="left"/>
        <w:rPr>
          <w:rFonts w:ascii="宋体" w:hAnsi="宋体" w:cs="宋体" w:hint="eastAsia"/>
          <w:kern w:val="0"/>
          <w:lang w:val="zh-CN" w:bidi="zh-CN"/>
        </w:rPr>
      </w:pPr>
      <w:r>
        <w:rPr>
          <w:rFonts w:ascii="宋体" w:hAnsi="宋体" w:cs="宋体"/>
          <w:spacing w:val="-3"/>
          <w:kern w:val="0"/>
          <w:lang w:val="zh-CN" w:bidi="zh-CN"/>
        </w:rPr>
        <w:t>备件保障服务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供应商需具有完善的备件保障库，在投标文件中分类提供所维护设备的所有备件清单，保证备件的品质和可用性，每季度向采购人报送一次备件清单。备件费用由投标人承担，备品备件至少应包括：华为视频终端、</w:t>
      </w:r>
      <w:r>
        <w:rPr>
          <w:rFonts w:ascii="宋体" w:hAnsi="宋体" w:cs="宋体" w:hint="eastAsia"/>
          <w:kern w:val="0"/>
          <w:szCs w:val="21"/>
          <w:lang w:val="zh-CN" w:bidi="zh-CN"/>
        </w:rPr>
        <w:t>拼接处理器</w:t>
      </w:r>
      <w:r>
        <w:rPr>
          <w:rFonts w:ascii="宋体" w:hAnsi="宋体" w:cs="宋体"/>
          <w:kern w:val="0"/>
          <w:szCs w:val="21"/>
          <w:lang w:val="zh-CN" w:bidi="zh-CN"/>
        </w:rPr>
        <w:t>板卡、</w:t>
      </w:r>
      <w:r>
        <w:rPr>
          <w:rFonts w:ascii="宋体" w:hAnsi="宋体" w:cs="宋体" w:hint="eastAsia"/>
          <w:kern w:val="0"/>
          <w:szCs w:val="21"/>
          <w:lang w:val="zh-CN" w:bidi="zh-CN"/>
        </w:rPr>
        <w:t>分布式编解码</w:t>
      </w:r>
      <w:r>
        <w:rPr>
          <w:rFonts w:ascii="宋体" w:hAnsi="宋体" w:cs="宋体"/>
          <w:kern w:val="0"/>
          <w:szCs w:val="21"/>
          <w:lang w:val="zh-CN" w:bidi="zh-CN"/>
        </w:rPr>
        <w:t>器等设备。</w:t>
      </w:r>
    </w:p>
    <w:p>
      <w:pPr>
        <w:numPr>
          <w:ilvl w:val="2"/>
          <w:numId w:val="4"/>
        </w:numPr>
        <w:tabs>
          <w:tab w:val="left" w:pos="1403"/>
        </w:tabs>
        <w:autoSpaceDE w:val="0"/>
        <w:autoSpaceDN w:val="0"/>
        <w:spacing w:line="269" w:lineRule="exact"/>
        <w:rPr>
          <w:rFonts w:eastAsia="Times New Roman" w:hAnsi="宋体" w:cs="宋体"/>
          <w:kern w:val="0"/>
          <w:lang w:val="zh-CN" w:bidi="zh-CN"/>
        </w:rPr>
      </w:pPr>
      <w:r>
        <w:rPr>
          <w:rFonts w:ascii="宋体" w:hAnsi="宋体" w:cs="宋体"/>
          <w:spacing w:val="-3"/>
          <w:kern w:val="0"/>
          <w:lang w:val="zh-CN" w:bidi="zh-CN"/>
        </w:rPr>
        <w:t>定期巡检服务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供应商应组织二线技术团队，每季度对所有维保设备进行一次巡检，提交有固定格式和内容的例行巡检报告，对设备运行状况做详细描述，对发现的潜在隐患提出相应的解决预案和后期维护建议。</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巡检内容包括：查看 MCU 当前运行状态，各单板状态及资源使用；查看视频会议管理系统运行状态；与各视频会议分节点进行联调；抽查视频终端设备连接情况、运行状态等。</w:t>
      </w:r>
    </w:p>
    <w:p>
      <w:pPr>
        <w:numPr>
          <w:ilvl w:val="2"/>
          <w:numId w:val="4"/>
        </w:numPr>
        <w:tabs>
          <w:tab w:val="left" w:pos="1403"/>
        </w:tabs>
        <w:autoSpaceDE w:val="0"/>
        <w:autoSpaceDN w:val="0"/>
        <w:spacing w:line="269" w:lineRule="exact"/>
        <w:jc w:val="left"/>
        <w:rPr>
          <w:rFonts w:eastAsia="Times New Roman" w:hAnsi="宋体" w:cs="宋体"/>
          <w:kern w:val="0"/>
          <w:lang w:val="zh-CN" w:bidi="zh-CN"/>
        </w:rPr>
      </w:pPr>
      <w:r>
        <w:rPr>
          <w:rFonts w:ascii="宋体" w:hAnsi="宋体" w:cs="宋体"/>
          <w:spacing w:val="-3"/>
          <w:kern w:val="0"/>
          <w:lang w:val="zh-CN" w:bidi="zh-CN"/>
        </w:rPr>
        <w:t>重大活动现场支持保障</w:t>
      </w:r>
    </w:p>
    <w:p>
      <w:pPr>
        <w:autoSpaceDE w:val="0"/>
        <w:autoSpaceDN w:val="0"/>
        <w:adjustRightInd w:val="0"/>
        <w:snapToGrid w:val="0"/>
        <w:spacing w:before="156" w:beforeLines="50" w:line="360" w:lineRule="auto"/>
        <w:ind w:firstLine="420" w:firstLineChars="200"/>
        <w:jc w:val="left"/>
        <w:rPr>
          <w:rFonts w:ascii="宋体" w:hAnsi="宋体" w:cs="宋体"/>
          <w:kern w:val="0"/>
          <w:szCs w:val="21"/>
          <w:lang w:val="zh-CN" w:bidi="zh-CN"/>
        </w:rPr>
      </w:pPr>
      <w:r>
        <w:rPr>
          <w:rFonts w:ascii="宋体" w:hAnsi="宋体" w:cs="宋体"/>
          <w:kern w:val="0"/>
          <w:szCs w:val="21"/>
          <w:lang w:val="zh-CN" w:bidi="zh-CN"/>
        </w:rPr>
        <w:t>供应商在采购人重大活动保障时，需组织专业技术团队至现场提供支持服务，负责视频会议环境搭建、音视频调优等保障工作。</w:t>
      </w:r>
    </w:p>
    <w:p>
      <w:pPr>
        <w:numPr>
          <w:ilvl w:val="2"/>
          <w:numId w:val="4"/>
        </w:numPr>
        <w:tabs>
          <w:tab w:val="left" w:pos="1403"/>
        </w:tabs>
        <w:autoSpaceDE w:val="0"/>
        <w:autoSpaceDN w:val="0"/>
        <w:spacing w:line="269" w:lineRule="exact"/>
        <w:jc w:val="left"/>
        <w:rPr>
          <w:rFonts w:eastAsia="Times New Roman" w:hAnsi="宋体" w:cs="宋体"/>
          <w:kern w:val="0"/>
          <w:lang w:val="zh-CN" w:bidi="zh-CN"/>
        </w:rPr>
      </w:pPr>
      <w:r>
        <w:rPr>
          <w:rFonts w:ascii="宋体" w:hAnsi="宋体" w:cs="宋体" w:hint="eastAsia"/>
          <w:spacing w:val="-3"/>
          <w:kern w:val="0"/>
          <w:lang w:val="zh-CN" w:bidi="zh-CN"/>
        </w:rPr>
        <w:t>日常运维培训</w:t>
      </w:r>
    </w:p>
    <w:p>
      <w:pPr>
        <w:autoSpaceDE w:val="0"/>
        <w:autoSpaceDN w:val="0"/>
        <w:adjustRightInd w:val="0"/>
        <w:snapToGrid w:val="0"/>
        <w:spacing w:before="156" w:beforeLines="50" w:line="360" w:lineRule="auto"/>
        <w:ind w:firstLine="420" w:firstLineChars="200"/>
        <w:jc w:val="left"/>
        <w:rPr>
          <w:rFonts w:ascii="宋体" w:hAnsi="宋体" w:cs="宋体" w:hint="default"/>
          <w:kern w:val="0"/>
          <w:szCs w:val="21"/>
          <w:lang w:bidi="zh-CN"/>
        </w:rPr>
      </w:pPr>
      <w:r>
        <w:rPr>
          <w:rFonts w:ascii="宋体" w:hAnsi="宋体" w:cs="宋体"/>
          <w:kern w:val="0"/>
          <w:szCs w:val="21"/>
          <w:lang w:val="zh-CN" w:bidi="zh-CN"/>
        </w:rPr>
        <w:t>供应商</w:t>
      </w:r>
      <w:r>
        <w:rPr>
          <w:rFonts w:ascii="宋体" w:hAnsi="宋体" w:cs="宋体" w:hint="eastAsia"/>
          <w:kern w:val="0"/>
          <w:szCs w:val="21"/>
          <w:lang w:val="en-US" w:bidi="zh-CN"/>
        </w:rPr>
        <w:t>在运维服务期内</w:t>
      </w:r>
      <w:r>
        <w:rPr>
          <w:rFonts w:ascii="宋体" w:hAnsi="宋体" w:cs="宋体"/>
          <w:kern w:val="0"/>
          <w:szCs w:val="21"/>
          <w:lang w:val="zh-CN" w:bidi="zh-CN"/>
        </w:rPr>
        <w:t>根据采购人</w:t>
      </w:r>
      <w:r>
        <w:rPr>
          <w:rFonts w:ascii="宋体" w:hAnsi="宋体" w:cs="宋体" w:hint="eastAsia"/>
          <w:kern w:val="0"/>
          <w:szCs w:val="21"/>
          <w:lang w:val="en-US" w:bidi="zh-CN"/>
        </w:rPr>
        <w:t>需求，</w:t>
      </w:r>
      <w:r>
        <w:rPr>
          <w:rFonts w:ascii="宋体" w:hAnsi="宋体" w:cs="宋体" w:hint="eastAsia"/>
          <w:kern w:val="0"/>
          <w:szCs w:val="21"/>
          <w:lang w:val="en-US" w:bidi="zh-CN"/>
        </w:rPr>
        <w:t>组织至少1次对采购人运维人员的技术培训，涵盖系统操作、系统运维、应急处置操作等内容</w:t>
      </w:r>
      <w:r>
        <w:rPr>
          <w:rFonts w:ascii="宋体" w:hAnsi="宋体" w:cs="宋体" w:hint="eastAsia"/>
          <w:kern w:val="0"/>
          <w:szCs w:val="21"/>
          <w:lang w:val="zh-CN" w:bidi="zh-CN"/>
        </w:rPr>
        <w:t>。</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p>
    <w:p>
      <w:pPr>
        <w:numPr>
          <w:ilvl w:val="2"/>
          <w:numId w:val="4"/>
        </w:numPr>
        <w:tabs>
          <w:tab w:val="left" w:pos="1509"/>
        </w:tabs>
        <w:autoSpaceDE w:val="0"/>
        <w:autoSpaceDN w:val="0"/>
        <w:spacing w:line="269" w:lineRule="exact"/>
        <w:jc w:val="left"/>
        <w:rPr>
          <w:rFonts w:ascii="宋体" w:hAnsi="宋体" w:cs="宋体" w:hint="eastAsia"/>
          <w:kern w:val="0"/>
          <w:lang w:val="zh-CN" w:bidi="zh-CN"/>
        </w:rPr>
      </w:pPr>
      <w:r>
        <w:rPr>
          <w:rFonts w:ascii="宋体" w:hAnsi="宋体" w:cs="宋体"/>
          <w:spacing w:val="-2"/>
          <w:kern w:val="0"/>
          <w:lang w:val="zh-CN" w:bidi="zh-CN"/>
        </w:rPr>
        <w:t>其他服务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1）在服务期内，根据采购人要求，对系统实施必要的优化调整，并配合进行优化实施及调优后的效果评价。</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2）根据采购人需要，配合进行各类应急演练，协助制定应急预案。</w:t>
      </w:r>
    </w:p>
    <w:p>
      <w:pPr>
        <w:numPr>
          <w:ilvl w:val="1"/>
          <w:numId w:val="4"/>
        </w:numPr>
        <w:tabs>
          <w:tab w:val="left" w:pos="1014"/>
        </w:tabs>
        <w:autoSpaceDE w:val="0"/>
        <w:autoSpaceDN w:val="0"/>
        <w:spacing w:before="100"/>
        <w:jc w:val="left"/>
        <w:outlineLvl w:val="1"/>
        <w:rPr>
          <w:rFonts w:ascii="宋体" w:hAnsi="宋体" w:hint="eastAsia"/>
          <w:b/>
          <w:bCs/>
          <w:szCs w:val="21"/>
        </w:rPr>
      </w:pPr>
      <w:r>
        <w:rPr>
          <w:rFonts w:ascii="宋体" w:hAnsi="宋体" w:hint="eastAsia"/>
          <w:b/>
          <w:bCs/>
          <w:szCs w:val="21"/>
        </w:rPr>
        <w:t>服务责任</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1）本项目维保服务采用全包方式，维保期间发生的所有费用均包含在本项目报价之内 ，由供应商全部负责。</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2）供应商应遵守采购人各项规章制度和流程,做好安全检查与防范工作。需遵守采购 人安全保密规定，承担安全保密责任和义务。供应商及驻场人员应按照采购人要求，同时签署保密协议，并由供应商和驻场人员同时承担服务过程中由其引起的数据泄密、故障延伸损失等责任。</w:t>
      </w:r>
    </w:p>
    <w:p>
      <w:pPr>
        <w:numPr>
          <w:ilvl w:val="1"/>
          <w:numId w:val="4"/>
        </w:numPr>
        <w:tabs>
          <w:tab w:val="left" w:pos="1014"/>
        </w:tabs>
        <w:autoSpaceDE w:val="0"/>
        <w:autoSpaceDN w:val="0"/>
        <w:spacing w:before="100"/>
        <w:jc w:val="left"/>
        <w:outlineLvl w:val="1"/>
        <w:rPr>
          <w:rFonts w:ascii="宋体" w:hAnsi="宋体" w:hint="eastAsia"/>
          <w:b/>
          <w:bCs/>
          <w:szCs w:val="21"/>
        </w:rPr>
      </w:pPr>
      <w:r>
        <w:rPr>
          <w:rFonts w:ascii="宋体" w:hAnsi="宋体" w:hint="eastAsia"/>
          <w:b/>
          <w:bCs/>
          <w:szCs w:val="21"/>
        </w:rPr>
        <w:t>技术支持</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1）电话技术咨询/支持</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供应商应向采购人提供规范的服务平台，并配备专职的工程师提供 7×24 小时电话技术支持/咨询服务。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2）特殊事项支持</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kern w:val="0"/>
          <w:szCs w:val="21"/>
          <w:lang w:val="zh-CN" w:bidi="zh-CN"/>
        </w:rPr>
        <w:t>现场服务人员需服从采购人工作安排，协助采购人完成主会场搭建、音视频调优等各项相关工作。供应商应按采购人需求，在规定的时间内提供充足的技术人员、备用设备等资源，为采购人提供紧急现场支持服务。维保服务提供现场技术支持前，应做好必要的准备（包括查阅客户和设备档案，了解设备运行情况及设备以往所发生过的问题及处理办法等），并按照方案要求进行实施。</w:t>
      </w:r>
    </w:p>
    <w:p>
      <w:pPr>
        <w:numPr>
          <w:ilvl w:val="1"/>
          <w:numId w:val="4"/>
        </w:numPr>
        <w:tabs>
          <w:tab w:val="left" w:pos="1014"/>
        </w:tabs>
        <w:autoSpaceDE w:val="0"/>
        <w:autoSpaceDN w:val="0"/>
        <w:spacing w:before="132"/>
        <w:outlineLvl w:val="1"/>
        <w:rPr>
          <w:rFonts w:ascii="宋体" w:hAnsi="宋体" w:hint="eastAsia"/>
          <w:b/>
          <w:bCs/>
          <w:szCs w:val="21"/>
        </w:rPr>
      </w:pPr>
      <w:r>
        <w:rPr>
          <w:rFonts w:ascii="宋体" w:hAnsi="宋体" w:hint="eastAsia"/>
          <w:b/>
          <w:bCs/>
          <w:szCs w:val="21"/>
        </w:rPr>
        <w:t>服务保障</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1）所提供或更换设备备件、备机需承担一年质保。</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2）</w:t>
      </w:r>
      <w:r>
        <w:rPr>
          <w:rFonts w:ascii="宋体" w:hAnsi="宋体" w:cs="宋体" w:hint="eastAsia"/>
          <w:kern w:val="0"/>
          <w:szCs w:val="21"/>
          <w:lang w:val="zh-CN" w:bidi="zh-CN"/>
        </w:rPr>
        <w:t>供应商</w:t>
      </w:r>
      <w:r>
        <w:rPr>
          <w:rFonts w:ascii="宋体" w:hAnsi="宋体" w:cs="宋体"/>
          <w:kern w:val="0"/>
          <w:szCs w:val="21"/>
          <w:lang w:val="zh-CN" w:bidi="zh-CN"/>
        </w:rPr>
        <w:t>需为本项目成立专门的项目组（包括一线驻场技术人员和二线支持团队），并任命项目负责人。供应商须指派 1 名技术人员常驻采购人现场 1 年，驻场时间为 7*8 小时，该技术人员需有两年以上本领域工作经历，专门为本项目提供现场技术支持服务。</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3）供应商应为本项成立至少 4 人的二线支持团队服务时间为 7*24 小时，负责协助一线人员，为本项目提供高层次技术支持和重大事项处理服务。投标文件须提供项目团队人员相关证书复印件。</w:t>
      </w:r>
    </w:p>
    <w:p>
      <w:pPr>
        <w:autoSpaceDE w:val="0"/>
        <w:autoSpaceDN w:val="0"/>
        <w:adjustRightInd w:val="0"/>
        <w:snapToGrid w:val="0"/>
        <w:spacing w:before="156" w:beforeLines="50" w:line="360" w:lineRule="auto"/>
        <w:ind w:firstLine="420" w:firstLineChars="200"/>
        <w:jc w:val="left"/>
        <w:rPr>
          <w:rFonts w:ascii="宋体" w:hAnsi="宋体" w:cs="宋体" w:hint="eastAsia"/>
          <w:kern w:val="0"/>
          <w:szCs w:val="21"/>
          <w:lang w:val="zh-CN" w:bidi="zh-CN"/>
        </w:rPr>
      </w:pPr>
      <w:r>
        <w:rPr>
          <w:rFonts w:ascii="宋体" w:hAnsi="宋体" w:cs="宋体" w:hint="eastAsia"/>
          <w:kern w:val="0"/>
          <w:szCs w:val="21"/>
          <w:lang w:val="zh-CN" w:bidi="zh-CN"/>
        </w:rPr>
        <w:t>（</w:t>
      </w:r>
      <w:r>
        <w:rPr>
          <w:rFonts w:ascii="宋体" w:hAnsi="宋体" w:cs="宋体"/>
          <w:kern w:val="0"/>
          <w:szCs w:val="21"/>
          <w:lang w:val="zh-CN" w:bidi="zh-CN"/>
        </w:rPr>
        <w:t>4）一线驻场人员需经过采购人考核认定，并经过 1 个月的试用期，采购人确认后方可正式提供现场服务。服务期内原则上不允许更换服务人员。维护期间确需人员变动， 必须提前一个月向采购人提出申请，同时配备同资质人员接任，经采购人考核许可，并在新老人员并行运行一个月后，经过采购人按规定标准考核合格后，方可调整更换。</w:t>
      </w:r>
    </w:p>
    <w:p>
      <w:pPr>
        <w:tabs>
          <w:tab w:val="left" w:pos="1062"/>
        </w:tabs>
        <w:autoSpaceDE w:val="0"/>
        <w:autoSpaceDN w:val="0"/>
        <w:spacing w:line="417" w:lineRule="auto"/>
        <w:ind w:left="222" w:right="425" w:firstLine="472"/>
        <w:jc w:val="left"/>
        <w:rPr>
          <w:rFonts w:ascii="宋体" w:hAnsi="宋体" w:cs="宋体" w:hint="eastAsia"/>
          <w:spacing w:val="-6"/>
          <w:kern w:val="0"/>
          <w:sz w:val="22"/>
          <w:szCs w:val="21"/>
          <w:lang w:val="zh-CN" w:bidi="zh-CN"/>
        </w:rPr>
      </w:pPr>
      <w:r>
        <w:rPr>
          <w:rFonts w:ascii="宋体" w:hAnsi="宋体" w:cs="宋体" w:hint="eastAsia"/>
          <w:spacing w:val="-6"/>
          <w:kern w:val="0"/>
          <w:szCs w:val="21"/>
          <w:lang w:val="zh-CN" w:bidi="zh-CN"/>
        </w:rPr>
        <w:t>（</w:t>
      </w:r>
      <w:r>
        <w:rPr>
          <w:rFonts w:ascii="宋体" w:hAnsi="宋体" w:cs="宋体"/>
          <w:spacing w:val="-6"/>
          <w:kern w:val="0"/>
          <w:szCs w:val="21"/>
          <w:lang w:val="zh-CN" w:bidi="zh-CN"/>
        </w:rPr>
        <w:t>5）驻场人员主要承担但不局限于以下职责：</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kern w:val="0"/>
          <w:szCs w:val="21"/>
          <w:lang w:bidi="zh-CN"/>
        </w:rPr>
        <w:t>需遵守采购人相关管理制度，接受采购人日常工作管理。</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kern w:val="0"/>
          <w:szCs w:val="21"/>
          <w:lang w:bidi="zh-CN"/>
        </w:rPr>
        <w:t>按照采购人运维管理要求，承担本项目所涉及的所有软硬件相关的日常运行维护工作，并承担相应责任。</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kern w:val="0"/>
          <w:szCs w:val="21"/>
          <w:lang w:bidi="zh-CN"/>
        </w:rPr>
        <w:t>按采购人要求承担临时性的加班、值班、重大节假日支持等服务。</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hint="eastAsia"/>
          <w:kern w:val="0"/>
          <w:szCs w:val="21"/>
          <w:lang w:bidi="zh-CN"/>
        </w:rPr>
        <w:t>供应商</w:t>
      </w:r>
      <w:r>
        <w:rPr>
          <w:rFonts w:ascii="宋体" w:eastAsia="宋体" w:hAnsi="宋体" w:cs="宋体"/>
          <w:kern w:val="0"/>
          <w:szCs w:val="21"/>
          <w:lang w:bidi="zh-CN"/>
        </w:rPr>
        <w:t>应遵守招标人各项规章制度和流程,做好安全检查与防范工作。需遵守招标 人安全保密规定，承担安全保密责任和义务。</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hint="eastAsia"/>
          <w:kern w:val="0"/>
          <w:szCs w:val="21"/>
          <w:lang w:bidi="zh-CN"/>
        </w:rPr>
        <w:t>供应商</w:t>
      </w:r>
      <w:r>
        <w:rPr>
          <w:rFonts w:ascii="宋体" w:eastAsia="宋体" w:hAnsi="宋体" w:cs="宋体"/>
          <w:kern w:val="0"/>
          <w:szCs w:val="21"/>
          <w:lang w:bidi="zh-CN"/>
        </w:rPr>
        <w:t>及驻场人员应按照招标人要求，同时签署保密协议，并由投标人和驻场人员同时承担服务过程中由其引起的数据泄密、故障延伸损失等责任。</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kern w:val="0"/>
          <w:szCs w:val="21"/>
          <w:lang w:bidi="zh-CN"/>
        </w:rPr>
        <w:t>供应商需随时协调原厂技术力量，对一、二线技术人员不能在规定时间内处理的问题， 按照采购人要求提供原厂现场支持服务，由此产生的费用由中标人全部承担。</w:t>
      </w:r>
    </w:p>
    <w:p>
      <w:pPr>
        <w:pStyle w:val="ListParagraph"/>
        <w:numPr>
          <w:ilvl w:val="0"/>
          <w:numId w:val="7"/>
        </w:numPr>
        <w:autoSpaceDE w:val="0"/>
        <w:autoSpaceDN w:val="0"/>
        <w:spacing w:line="417" w:lineRule="auto"/>
        <w:ind w:right="425" w:firstLineChars="0"/>
        <w:rPr>
          <w:rFonts w:ascii="宋体" w:eastAsia="宋体" w:hAnsi="宋体" w:cs="宋体" w:hint="eastAsia"/>
          <w:kern w:val="0"/>
          <w:szCs w:val="21"/>
          <w:lang w:bidi="zh-CN"/>
        </w:rPr>
      </w:pPr>
      <w:r>
        <w:rPr>
          <w:rFonts w:ascii="宋体" w:eastAsia="宋体" w:hAnsi="宋体" w:cs="宋体"/>
          <w:kern w:val="0"/>
          <w:szCs w:val="21"/>
          <w:lang w:bidi="zh-CN"/>
        </w:rPr>
        <w:t>本项目组组长、组织架构及成员职责分工（包括一线驻场人员和二线支持团队）应在方案中明确描述。</w:t>
      </w:r>
    </w:p>
    <w:p>
      <w:pPr>
        <w:autoSpaceDE w:val="0"/>
        <w:autoSpaceDN w:val="0"/>
        <w:spacing w:line="417" w:lineRule="auto"/>
        <w:ind w:left="222" w:right="425" w:firstLine="472"/>
        <w:jc w:val="left"/>
        <w:rPr>
          <w:rFonts w:ascii="宋体" w:hAnsi="宋体" w:cs="宋体" w:hint="eastAsia"/>
          <w:kern w:val="0"/>
          <w:szCs w:val="21"/>
          <w:lang w:val="zh-CN" w:bidi="zh-CN"/>
        </w:rPr>
      </w:pPr>
      <w:r>
        <w:rPr>
          <w:rFonts w:ascii="宋体" w:hAnsi="宋体" w:cs="宋体" w:hint="eastAsia"/>
          <w:kern w:val="0"/>
          <w:szCs w:val="21"/>
          <w:lang w:val="zh-CN" w:bidi="zh-CN"/>
        </w:rPr>
        <w:t>（6）服务期</w:t>
      </w:r>
      <w:r>
        <w:rPr>
          <w:rFonts w:ascii="宋体" w:hAnsi="宋体" w:cs="宋体"/>
          <w:kern w:val="0"/>
          <w:szCs w:val="21"/>
          <w:lang w:val="zh-CN" w:bidi="zh-CN"/>
        </w:rPr>
        <w:t>开始1</w:t>
      </w:r>
      <w:r>
        <w:rPr>
          <w:rFonts w:ascii="宋体" w:hAnsi="宋体" w:cs="宋体" w:hint="eastAsia"/>
          <w:kern w:val="0"/>
          <w:szCs w:val="21"/>
          <w:lang w:val="zh-CN" w:bidi="zh-CN"/>
        </w:rPr>
        <w:t>个月</w:t>
      </w:r>
      <w:r>
        <w:rPr>
          <w:rFonts w:ascii="宋体" w:hAnsi="宋体" w:cs="宋体"/>
          <w:kern w:val="0"/>
          <w:szCs w:val="21"/>
          <w:lang w:val="zh-CN" w:bidi="zh-CN"/>
        </w:rPr>
        <w:t>后，</w:t>
      </w:r>
      <w:r>
        <w:rPr>
          <w:rFonts w:ascii="宋体" w:hAnsi="宋体" w:cs="宋体" w:hint="eastAsia"/>
          <w:kern w:val="0"/>
          <w:szCs w:val="21"/>
          <w:lang w:val="zh-CN" w:bidi="zh-CN"/>
        </w:rPr>
        <w:t>采购人将</w:t>
      </w:r>
      <w:r>
        <w:rPr>
          <w:rFonts w:ascii="宋体" w:hAnsi="宋体" w:cs="宋体"/>
          <w:kern w:val="0"/>
          <w:szCs w:val="21"/>
          <w:lang w:val="zh-CN" w:bidi="zh-CN"/>
        </w:rPr>
        <w:t>组织对供应商的服务</w:t>
      </w:r>
      <w:r>
        <w:rPr>
          <w:rFonts w:ascii="宋体" w:hAnsi="宋体" w:cs="宋体" w:hint="eastAsia"/>
          <w:kern w:val="0"/>
          <w:szCs w:val="21"/>
          <w:lang w:val="zh-CN" w:bidi="zh-CN"/>
        </w:rPr>
        <w:t>情况</w:t>
      </w:r>
      <w:r>
        <w:rPr>
          <w:rFonts w:ascii="宋体" w:hAnsi="宋体" w:cs="宋体"/>
          <w:kern w:val="0"/>
          <w:szCs w:val="21"/>
          <w:lang w:val="zh-CN" w:bidi="zh-CN"/>
        </w:rPr>
        <w:t>进行阶段性评估</w:t>
      </w:r>
      <w:r>
        <w:rPr>
          <w:rFonts w:ascii="宋体" w:hAnsi="宋体" w:cs="宋体" w:hint="eastAsia"/>
          <w:kern w:val="0"/>
          <w:szCs w:val="21"/>
          <w:lang w:val="zh-CN" w:bidi="zh-CN"/>
        </w:rPr>
        <w:t>；服务期</w:t>
      </w:r>
      <w:r>
        <w:rPr>
          <w:rFonts w:ascii="宋体" w:hAnsi="宋体" w:cs="宋体"/>
          <w:kern w:val="0"/>
          <w:szCs w:val="21"/>
          <w:lang w:val="zh-CN" w:bidi="zh-CN"/>
        </w:rPr>
        <w:t>结束后将组织对</w:t>
      </w:r>
      <w:r>
        <w:rPr>
          <w:rFonts w:ascii="宋体" w:hAnsi="宋体" w:cs="宋体" w:hint="eastAsia"/>
          <w:kern w:val="0"/>
          <w:szCs w:val="21"/>
          <w:lang w:val="zh-CN" w:bidi="zh-CN"/>
        </w:rPr>
        <w:t>合同服务</w:t>
      </w:r>
      <w:r>
        <w:rPr>
          <w:rFonts w:ascii="宋体" w:hAnsi="宋体" w:cs="宋体"/>
          <w:kern w:val="0"/>
          <w:szCs w:val="21"/>
          <w:lang w:val="zh-CN" w:bidi="zh-CN"/>
        </w:rPr>
        <w:t>情况的验收；</w:t>
      </w:r>
      <w:r>
        <w:rPr>
          <w:rFonts w:ascii="宋体" w:hAnsi="宋体" w:cs="宋体" w:hint="eastAsia"/>
          <w:kern w:val="0"/>
          <w:szCs w:val="21"/>
          <w:lang w:val="zh-CN" w:bidi="zh-CN"/>
        </w:rPr>
        <w:t>项目建设各阶段评审发生的评审费、文档印刷费等费用由乙方承担。</w:t>
      </w:r>
    </w:p>
    <w:p>
      <w:pPr>
        <w:spacing w:line="360" w:lineRule="auto"/>
        <w:ind w:firstLine="420" w:firstLineChars="200"/>
        <w:rPr>
          <w:rFonts w:ascii="宋体" w:eastAsia="宋体" w:hAnsi="宋体" w:cs="Times New Roman" w:hint="eastAsia"/>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59"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9"/>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pPr>
        <w:tabs>
          <w:tab w:val="left" w:pos="1573"/>
        </w:tabs>
        <w:adjustRightInd w:val="0"/>
        <w:snapToGrid w:val="0"/>
        <w:spacing w:line="360" w:lineRule="auto"/>
        <w:rPr>
          <w:rFonts w:ascii="宋体" w:hAnsi="宋体"/>
          <w:szCs w:val="21"/>
        </w:rPr>
      </w:pP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____(以下简称“甲方”)在本项目中所需货物和服务由</w:t>
      </w:r>
      <w:r>
        <w:rPr>
          <w:rFonts w:ascii="宋体" w:hAnsi="宋体" w:hint="eastAsia"/>
          <w:szCs w:val="21"/>
          <w:u w:val="single"/>
        </w:rPr>
        <w:t>中国气象局政府采购中心</w:t>
      </w:r>
      <w:r>
        <w:rPr>
          <w:rFonts w:ascii="宋体" w:hAnsi="宋体" w:hint="eastAsia"/>
          <w:szCs w:val="21"/>
        </w:rPr>
        <w:t>在境内进行公开招标，经评审委员会评定，确定________________________(以下简称“乙方”)为中标人。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Pr>
          <w:rFonts w:hint="eastAsia"/>
          <w:szCs w:val="21"/>
        </w:rPr>
        <w:t>根据《中华人民共和国民法典》、《中华人民共和国政府采购法》、和《中华人民共和国招标投标法》等相关法律法规以及本项目招标文件的规定，经平等协商，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pPr>
        <w:adjustRightInd w:val="0"/>
        <w:snapToGrid w:val="0"/>
        <w:spacing w:line="360" w:lineRule="auto"/>
        <w:ind w:firstLine="420" w:firstLineChars="200"/>
        <w:rPr>
          <w:rFonts w:ascii="宋体" w:hAnsi="宋体"/>
          <w:szCs w:val="21"/>
        </w:rPr>
      </w:pPr>
      <w:r>
        <w:rPr>
          <w:rFonts w:ascii="宋体" w:hAnsi="宋体" w:hint="eastAsia"/>
          <w:szCs w:val="21"/>
        </w:rPr>
        <w:t>2、“合同价”系指根据合同规定乙方在正确地完全履行合同义务后甲方应支付给乙方的价格。</w:t>
      </w:r>
    </w:p>
    <w:p>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、“附件”是指与本合同的订立、履行有关的，经甲乙双方认可的，对本合同约定的内容进行细化、补充、修改、变更的文件、图纸、音像制品等资料。</w:t>
      </w:r>
    </w:p>
    <w:p>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、“招标文件”指采购机构发布的本项目招标文件。</w:t>
      </w:r>
    </w:p>
    <w:p>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 编制和投递，并最终被采购机构接受的投标文件。</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w:t>
      </w:r>
      <w:bookmarkStart w:id="61" w:name="OLE_LINK26"/>
      <w:bookmarkStart w:id="62" w:name="OLE_LINK25"/>
      <w:r>
        <w:rPr>
          <w:rFonts w:ascii="宋体" w:hAnsi="宋体" w:hint="eastAsia"/>
          <w:szCs w:val="21"/>
        </w:rPr>
        <w:t>“履约保函”指由银行向甲方开具的履约保函，有效期截止时间不得早于合同最终验收时间。</w:t>
      </w:r>
      <w:bookmarkEnd w:id="61"/>
      <w:bookmarkEnd w:id="62"/>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14、“预付款保函”指由银行向甲方开具的预付款保函，有效期截止时间不得早于合同最终验收时间。</w:t>
      </w:r>
    </w:p>
    <w:p>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pPr>
        <w:snapToGrid w:val="0"/>
        <w:spacing w:line="360" w:lineRule="auto"/>
        <w:ind w:firstLine="315" w:firstLineChars="150"/>
        <w:rPr>
          <w:rFonts w:ascii="宋体" w:hAnsi="宋体"/>
          <w:szCs w:val="21"/>
        </w:rPr>
      </w:pPr>
      <w:r>
        <w:rPr>
          <w:rFonts w:ascii="宋体" w:hAnsi="宋体" w:hint="eastAsia"/>
          <w:szCs w:val="21"/>
        </w:rPr>
        <w:t>（三）服务产品质量及报价表</w:t>
      </w:r>
    </w:p>
    <w:p>
      <w:pPr>
        <w:snapToGrid w:val="0"/>
        <w:spacing w:line="360" w:lineRule="auto"/>
        <w:ind w:firstLine="315" w:firstLineChars="150"/>
        <w:rPr>
          <w:rFonts w:ascii="宋体" w:hAnsi="宋体"/>
          <w:szCs w:val="21"/>
        </w:rPr>
      </w:pPr>
      <w:r>
        <w:rPr>
          <w:rFonts w:ascii="宋体" w:hAnsi="宋体" w:hint="eastAsia"/>
          <w:szCs w:val="21"/>
        </w:rPr>
        <w:t>（四）项目实施方案</w:t>
      </w:r>
    </w:p>
    <w:p>
      <w:pPr>
        <w:snapToGrid w:val="0"/>
        <w:spacing w:line="360" w:lineRule="auto"/>
        <w:ind w:firstLine="315" w:firstLineChars="150"/>
        <w:rPr>
          <w:rFonts w:ascii="宋体" w:hAnsi="宋体"/>
          <w:szCs w:val="21"/>
        </w:rPr>
      </w:pPr>
      <w:r>
        <w:rPr>
          <w:rFonts w:ascii="宋体" w:hAnsi="宋体" w:hint="eastAsia"/>
          <w:szCs w:val="21"/>
        </w:rPr>
        <w:t>（五）验收办法</w:t>
      </w:r>
    </w:p>
    <w:p>
      <w:pPr>
        <w:snapToGrid w:val="0"/>
        <w:spacing w:line="360" w:lineRule="auto"/>
        <w:ind w:firstLine="315" w:firstLineChars="150"/>
        <w:rPr>
          <w:rFonts w:ascii="宋体" w:hAnsi="宋体"/>
          <w:szCs w:val="21"/>
        </w:rPr>
      </w:pPr>
      <w:r>
        <w:rPr>
          <w:rFonts w:ascii="宋体" w:hAnsi="宋体" w:hint="eastAsia"/>
          <w:szCs w:val="21"/>
        </w:rPr>
        <w:t>（六）中标通知书</w:t>
      </w:r>
    </w:p>
    <w:p>
      <w:pPr>
        <w:snapToGrid w:val="0"/>
        <w:spacing w:line="360" w:lineRule="auto"/>
        <w:ind w:firstLine="315" w:firstLineChars="150"/>
        <w:rPr>
          <w:rFonts w:ascii="宋体" w:hAnsi="宋体"/>
          <w:szCs w:val="21"/>
        </w:rPr>
      </w:pPr>
      <w:r>
        <w:rPr>
          <w:rFonts w:ascii="宋体" w:hAnsi="宋体" w:hint="eastAsia"/>
          <w:szCs w:val="21"/>
        </w:rPr>
        <w:t>（七）服务产品提供方式</w:t>
      </w:r>
    </w:p>
    <w:p>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价格（元）</w:t>
            </w:r>
          </w:p>
        </w:tc>
        <w:tc>
          <w:tcPr>
            <w:tcW w:w="1275" w:type="dxa"/>
            <w:vAlign w:val="center"/>
          </w:tcPr>
          <w:p>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合同最终验收时间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bl>
    <w:p>
      <w:pPr>
        <w:tabs>
          <w:tab w:val="left" w:pos="1480"/>
        </w:tabs>
        <w:adjustRightInd w:val="0"/>
        <w:snapToGrid w:val="0"/>
        <w:spacing w:line="360" w:lineRule="auto"/>
        <w:ind w:firstLine="420" w:firstLineChars="200"/>
        <w:jc w:val="left"/>
        <w:rPr>
          <w:rFonts w:ascii="宋体" w:hAnsi="宋体"/>
          <w:szCs w:val="21"/>
        </w:rPr>
      </w:pPr>
    </w:p>
    <w:p>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w:t>
      </w:r>
    </w:p>
    <w:p>
      <w:pPr>
        <w:pStyle w:val="NormalIndent"/>
        <w:adjustRightInd w:val="0"/>
        <w:snapToGrid w:val="0"/>
        <w:spacing w:line="360" w:lineRule="auto"/>
        <w:outlineLvl w:val="0"/>
        <w:rPr>
          <w:rFonts w:ascii="宋体" w:hAnsi="宋体"/>
          <w:b/>
          <w:szCs w:val="21"/>
        </w:rPr>
      </w:pPr>
      <w:bookmarkStart w:id="63" w:name="OLE_LINK1"/>
      <w:bookmarkStart w:id="64" w:name="OLE_LINK2"/>
      <w:r>
        <w:rPr>
          <w:rFonts w:ascii="宋体" w:hAnsi="宋体" w:hint="eastAsia"/>
          <w:b/>
          <w:szCs w:val="21"/>
        </w:rPr>
        <w:t>五、</w:t>
      </w:r>
      <w:bookmarkStart w:id="65" w:name="_Toc86202595"/>
      <w:r>
        <w:rPr>
          <w:rFonts w:ascii="宋体" w:hAnsi="宋体" w:hint="eastAsia"/>
          <w:b/>
          <w:szCs w:val="21"/>
        </w:rPr>
        <w:t>合同</w:t>
      </w:r>
      <w:bookmarkEnd w:id="65"/>
      <w:r>
        <w:rPr>
          <w:rFonts w:ascii="宋体" w:hAnsi="宋体" w:hint="eastAsia"/>
          <w:b/>
          <w:szCs w:val="21"/>
        </w:rPr>
        <w:t>金额</w:t>
      </w:r>
      <w:r>
        <w:rPr>
          <w:rFonts w:ascii="宋体" w:hAnsi="宋体"/>
          <w:b/>
          <w:szCs w:val="21"/>
        </w:rPr>
        <w:t>及付款方式</w:t>
      </w:r>
    </w:p>
    <w:p>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1、根据上述合同文件要求，合同的总金额为人民币：________元 (大写)，_______元（小写），分项价格详见合同服务产品清单。</w:t>
      </w:r>
    </w:p>
    <w:p>
      <w:pPr>
        <w:pStyle w:val="NormalWeb"/>
        <w:widowControl/>
        <w:spacing w:beforeAutospacing="0" w:afterAutospacing="0" w:line="360" w:lineRule="auto"/>
        <w:ind w:firstLine="420" w:firstLineChars="200"/>
        <w:rPr>
          <w:rFonts w:ascii="宋体" w:hAnsi="宋体"/>
          <w:kern w:val="2"/>
          <w:sz w:val="21"/>
          <w:szCs w:val="21"/>
          <w:shd w:val="clear" w:color="auto" w:fill="auto"/>
        </w:rPr>
      </w:pPr>
      <w:r>
        <w:rPr>
          <w:rFonts w:ascii="宋体" w:hAnsi="宋体" w:hint="eastAsia"/>
          <w:kern w:val="2"/>
          <w:sz w:val="21"/>
          <w:szCs w:val="21"/>
        </w:rPr>
        <w:t>2、</w:t>
      </w:r>
      <w:r>
        <w:rPr>
          <w:rFonts w:ascii="宋体" w:hAnsi="宋体" w:hint="eastAsia"/>
          <w:kern w:val="2"/>
          <w:sz w:val="21"/>
          <w:szCs w:val="21"/>
          <w:shd w:val="clear" w:color="auto" w:fill="auto"/>
        </w:rPr>
        <w:t>甲乙双方签署合同后</w:t>
      </w:r>
      <w:r>
        <w:rPr>
          <w:rFonts w:ascii="宋体" w:hAnsi="宋体" w:hint="eastAsia"/>
          <w:kern w:val="2"/>
          <w:sz w:val="21"/>
          <w:szCs w:val="21"/>
          <w:u w:val="single"/>
          <w:shd w:val="clear" w:color="auto" w:fill="auto"/>
        </w:rPr>
        <w:t>10</w:t>
      </w:r>
      <w:r>
        <w:rPr>
          <w:rFonts w:ascii="宋体" w:hAnsi="宋体" w:hint="eastAsia"/>
          <w:kern w:val="2"/>
          <w:sz w:val="21"/>
          <w:szCs w:val="21"/>
          <w:shd w:val="clear" w:color="auto" w:fill="auto"/>
        </w:rPr>
        <w:t>个工作日内，乙方向甲方提供合同总金额</w:t>
      </w:r>
      <w:r>
        <w:rPr>
          <w:rFonts w:ascii="宋体" w:hAnsi="宋体" w:hint="eastAsia"/>
          <w:kern w:val="2"/>
          <w:sz w:val="21"/>
          <w:szCs w:val="21"/>
          <w:u w:val="single"/>
          <w:shd w:val="clear" w:color="auto" w:fill="auto"/>
        </w:rPr>
        <w:t xml:space="preserve">30% </w:t>
      </w:r>
      <w:r>
        <w:rPr>
          <w:rFonts w:ascii="宋体" w:hAnsi="宋体" w:hint="eastAsia"/>
          <w:kern w:val="2"/>
          <w:sz w:val="21"/>
          <w:szCs w:val="21"/>
          <w:shd w:val="clear" w:color="auto" w:fill="auto"/>
        </w:rPr>
        <w:t>的预付款保函，即人民币：</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元(大写)：</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 xml:space="preserve"> 元（小写），有效期截止</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年</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月</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日。甲方收到乙方提供的预付款保函后</w:t>
      </w:r>
      <w:r>
        <w:rPr>
          <w:rFonts w:ascii="宋体" w:hAnsi="宋体" w:hint="eastAsia"/>
          <w:kern w:val="2"/>
          <w:sz w:val="21"/>
          <w:szCs w:val="21"/>
          <w:u w:val="single"/>
          <w:shd w:val="clear" w:color="auto" w:fill="auto"/>
        </w:rPr>
        <w:t xml:space="preserve"> 10</w:t>
      </w:r>
      <w:r>
        <w:rPr>
          <w:rFonts w:ascii="宋体" w:hAnsi="宋体" w:hint="eastAsia"/>
          <w:sz w:val="21"/>
          <w:szCs w:val="21"/>
          <w:shd w:val="clear" w:color="auto" w:fill="auto"/>
        </w:rPr>
        <w:t>个工作日内，</w:t>
      </w:r>
      <w:r>
        <w:rPr>
          <w:rFonts w:ascii="宋体" w:hAnsi="宋体" w:hint="eastAsia"/>
          <w:kern w:val="2"/>
          <w:sz w:val="21"/>
          <w:szCs w:val="21"/>
          <w:shd w:val="clear" w:color="auto" w:fill="auto"/>
        </w:rPr>
        <w:t>向乙方支付合同总金额的</w:t>
      </w:r>
      <w:r>
        <w:rPr>
          <w:rFonts w:ascii="宋体" w:hAnsi="宋体" w:hint="eastAsia"/>
          <w:kern w:val="2"/>
          <w:sz w:val="21"/>
          <w:szCs w:val="21"/>
          <w:u w:val="single"/>
          <w:shd w:val="clear" w:color="auto" w:fill="auto"/>
        </w:rPr>
        <w:t>100%</w:t>
      </w:r>
      <w:r>
        <w:rPr>
          <w:rFonts w:ascii="宋体" w:hAnsi="宋体" w:hint="eastAsia"/>
          <w:kern w:val="2"/>
          <w:sz w:val="21"/>
          <w:szCs w:val="21"/>
          <w:shd w:val="clear" w:color="auto" w:fill="auto"/>
        </w:rPr>
        <w:t>，即人民币</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元(大写)：</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元（小写）。甲方组织完成本服务合同履约情况评审且评审通过后，将退还乙方前述预付款保函；同时乙方向甲方提供合同总金额</w:t>
      </w:r>
      <w:r>
        <w:rPr>
          <w:rFonts w:ascii="宋体" w:hAnsi="宋体" w:hint="eastAsia"/>
          <w:kern w:val="2"/>
          <w:sz w:val="21"/>
          <w:szCs w:val="21"/>
          <w:u w:val="single"/>
          <w:shd w:val="clear" w:color="auto" w:fill="auto"/>
        </w:rPr>
        <w:t>10%</w:t>
      </w:r>
      <w:r>
        <w:rPr>
          <w:rFonts w:ascii="宋体" w:hAnsi="宋体" w:hint="eastAsia"/>
          <w:kern w:val="2"/>
          <w:sz w:val="21"/>
          <w:szCs w:val="21"/>
          <w:shd w:val="clear" w:color="auto" w:fill="auto"/>
        </w:rPr>
        <w:t>的履约保函，即人民币：</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元(大写)：</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 xml:space="preserve"> 元（小写），有效期截止</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年</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月</w:t>
      </w:r>
      <w:r>
        <w:rPr>
          <w:rFonts w:ascii="宋体" w:hAnsi="宋体" w:hint="eastAsia"/>
          <w:kern w:val="2"/>
          <w:sz w:val="21"/>
          <w:szCs w:val="21"/>
          <w:u w:val="single"/>
          <w:shd w:val="clear" w:color="auto" w:fill="auto"/>
        </w:rPr>
        <w:t xml:space="preserve">   </w:t>
      </w:r>
      <w:r>
        <w:rPr>
          <w:rFonts w:ascii="宋体" w:hAnsi="宋体" w:hint="eastAsia"/>
          <w:kern w:val="2"/>
          <w:sz w:val="21"/>
          <w:szCs w:val="21"/>
          <w:shd w:val="clear" w:color="auto" w:fill="auto"/>
        </w:rPr>
        <w:t>日。</w:t>
      </w:r>
    </w:p>
    <w:p>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3、项目终验合格且收到终验合格证明</w:t>
      </w:r>
      <w:r>
        <w:rPr>
          <w:rFonts w:ascii="宋体" w:hAnsi="宋体" w:hint="eastAsia"/>
          <w:kern w:val="2"/>
          <w:sz w:val="21"/>
          <w:szCs w:val="21"/>
          <w:u w:val="single"/>
        </w:rPr>
        <w:t>10</w:t>
      </w:r>
      <w:r>
        <w:rPr>
          <w:rFonts w:ascii="宋体" w:hAnsi="宋体" w:hint="eastAsia"/>
          <w:sz w:val="21"/>
          <w:szCs w:val="21"/>
        </w:rPr>
        <w:t>个工作</w:t>
      </w:r>
      <w:r>
        <w:rPr>
          <w:rFonts w:ascii="宋体" w:hAnsi="宋体" w:hint="eastAsia"/>
          <w:kern w:val="2"/>
          <w:sz w:val="21"/>
          <w:szCs w:val="21"/>
        </w:rPr>
        <w:t>日内，甲方退还乙方履约保函。</w:t>
      </w:r>
    </w:p>
    <w:p>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4、本合同价格包括服务产品金额，是在项目交付前、交付时所发生或引起的本合同相关的全部成本、费用等，且为完税后价格。</w:t>
      </w:r>
    </w:p>
    <w:p>
      <w:pPr>
        <w:tabs>
          <w:tab w:val="left" w:pos="1573"/>
        </w:tabs>
        <w:adjustRightInd w:val="0"/>
        <w:snapToGrid w:val="0"/>
        <w:spacing w:line="360" w:lineRule="auto"/>
        <w:ind w:firstLine="420" w:firstLineChars="200"/>
        <w:rPr>
          <w:szCs w:val="21"/>
        </w:rPr>
      </w:pPr>
      <w:r>
        <w:rPr>
          <w:rFonts w:asciiTheme="minorEastAsia" w:eastAsiaTheme="minorEastAsia" w:hAnsiTheme="minorEastAsia" w:hint="eastAsia"/>
          <w:szCs w:val="21"/>
        </w:rPr>
        <w:t>5、</w:t>
      </w:r>
      <w:r>
        <w:rPr>
          <w:rFonts w:asciiTheme="minorHAnsi" w:hAnsiTheme="minorHAnsi" w:hint="eastAsia"/>
          <w:szCs w:val="21"/>
        </w:rPr>
        <w:t>如付款条件满足，但项目资金未完全下达，则付款时间延后为资金下</w:t>
      </w:r>
      <w:r>
        <w:rPr>
          <w:rFonts w:asciiTheme="minorEastAsia" w:eastAsiaTheme="minorEastAsia" w:hAnsiTheme="minorEastAsia" w:hint="eastAsia"/>
          <w:szCs w:val="21"/>
        </w:rPr>
        <w:t>达后</w:t>
      </w:r>
      <w:r>
        <w:rPr>
          <w:rFonts w:asciiTheme="minorEastAsia" w:eastAsiaTheme="minorEastAsia" w:hAnsiTheme="minorEastAsia" w:hint="eastAsia"/>
          <w:szCs w:val="21"/>
          <w:u w:val="single"/>
        </w:rPr>
        <w:t xml:space="preserve"> 15</w:t>
      </w:r>
      <w:r>
        <w:rPr>
          <w:rFonts w:asciiTheme="minorEastAsia" w:eastAsiaTheme="minorEastAsia" w:hAnsiTheme="minorEastAsia" w:hint="eastAsia"/>
          <w:szCs w:val="21"/>
        </w:rPr>
        <w:t>个工</w:t>
      </w:r>
      <w:r>
        <w:rPr>
          <w:rFonts w:asciiTheme="minorHAnsi" w:hAnsiTheme="minorHAnsi" w:hint="eastAsia"/>
          <w:szCs w:val="21"/>
        </w:rPr>
        <w:t>作日内。</w:t>
      </w:r>
    </w:p>
    <w:bookmarkEnd w:id="63"/>
    <w:bookmarkEnd w:id="64"/>
    <w:p>
      <w:pPr>
        <w:pStyle w:val="NormalIndent"/>
        <w:adjustRightInd w:val="0"/>
        <w:snapToGrid w:val="0"/>
        <w:spacing w:line="360" w:lineRule="auto"/>
        <w:outlineLvl w:val="0"/>
        <w:rPr>
          <w:rFonts w:ascii="宋体" w:hAnsi="宋体"/>
          <w:b/>
          <w:szCs w:val="21"/>
        </w:rPr>
      </w:pPr>
      <w:bookmarkStart w:id="66" w:name="_Toc86202596"/>
      <w:r>
        <w:rPr>
          <w:rFonts w:ascii="宋体" w:hAnsi="宋体" w:hint="eastAsia"/>
          <w:b/>
          <w:szCs w:val="21"/>
        </w:rPr>
        <w:t>六、支付和结算方式</w:t>
      </w:r>
      <w:bookmarkEnd w:id="66"/>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w:t>
      </w:r>
      <w:bookmarkStart w:id="67" w:name="OLE_LINK12"/>
      <w:bookmarkStart w:id="68" w:name="OLE_LINK11"/>
      <w:r>
        <w:rPr>
          <w:rFonts w:ascii="宋体" w:hAnsi="宋体" w:hint="eastAsia"/>
          <w:szCs w:val="21"/>
        </w:rPr>
        <w:t>账</w:t>
      </w:r>
      <w:bookmarkEnd w:id="67"/>
      <w:bookmarkEnd w:id="68"/>
      <w:r>
        <w:rPr>
          <w:rFonts w:ascii="宋体" w:hAnsi="宋体" w:hint="eastAsia"/>
          <w:szCs w:val="21"/>
        </w:rPr>
        <w:t>户名称、开户银行及账号以本合同提供的为准。</w:t>
      </w:r>
    </w:p>
    <w:p>
      <w:pPr>
        <w:tabs>
          <w:tab w:val="left" w:pos="1573"/>
        </w:tabs>
        <w:adjustRightInd w:val="0"/>
        <w:snapToGrid w:val="0"/>
        <w:spacing w:line="360" w:lineRule="auto"/>
        <w:ind w:firstLine="420" w:firstLineChars="200"/>
        <w:rPr>
          <w:rFonts w:ascii="宋体" w:hAnsi="宋体"/>
          <w:szCs w:val="21"/>
        </w:rPr>
      </w:pPr>
      <w:bookmarkStart w:id="69" w:name="_Toc86202597"/>
      <w:r>
        <w:rPr>
          <w:rFonts w:ascii="宋体" w:hAnsi="宋体"/>
          <w:szCs w:val="21"/>
        </w:rPr>
        <w:t>3</w:t>
      </w:r>
      <w:r>
        <w:rPr>
          <w:rFonts w:ascii="宋体" w:hAnsi="宋体" w:hint="eastAsia"/>
          <w:szCs w:val="21"/>
        </w:rPr>
        <w:t>、乙方在收到甲方每一笔付款的同时，应向甲方开具相应金额的商业发票。</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、甲方可对乙方的组织实施工作进行检查。</w:t>
      </w:r>
    </w:p>
    <w:p>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、甲方如对乙方工作有任何异议，应于服务产品提交后15日内以书面形式向乙方提出，对经乙方确认的异议，乙方应根据行业要求做出合理处理。逾期未提出书面异议，视同无异议。</w:t>
      </w:r>
    </w:p>
    <w:p>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pPr>
        <w:adjustRightInd w:val="0"/>
        <w:snapToGrid w:val="0"/>
        <w:spacing w:line="360" w:lineRule="auto"/>
        <w:ind w:firstLine="420" w:firstLineChars="200"/>
        <w:rPr>
          <w:rFonts w:ascii="宋体" w:hAnsi="宋体"/>
          <w:szCs w:val="21"/>
        </w:rPr>
      </w:pPr>
      <w:r>
        <w:rPr>
          <w:rFonts w:ascii="宋体" w:hAnsi="宋体" w:hint="eastAsia"/>
          <w:szCs w:val="21"/>
        </w:rPr>
        <w:t>4.……</w:t>
      </w:r>
    </w:p>
    <w:p>
      <w:pPr>
        <w:adjustRightInd w:val="0"/>
        <w:snapToGrid w:val="0"/>
        <w:spacing w:line="360" w:lineRule="auto"/>
        <w:ind w:firstLine="420" w:firstLineChars="200"/>
        <w:rPr>
          <w:rFonts w:ascii="宋体" w:hAnsi="宋体"/>
          <w:szCs w:val="21"/>
        </w:rPr>
      </w:pP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pPr>
        <w:adjustRightInd w:val="0"/>
        <w:snapToGrid w:val="0"/>
        <w:spacing w:line="360" w:lineRule="auto"/>
        <w:ind w:firstLine="420" w:firstLineChars="200"/>
        <w:rPr>
          <w:rFonts w:ascii="宋体" w:hAnsi="宋体"/>
          <w:szCs w:val="21"/>
        </w:rPr>
      </w:pPr>
      <w:r>
        <w:rPr>
          <w:rFonts w:ascii="宋体" w:hAnsi="宋体" w:hint="eastAsia"/>
          <w:szCs w:val="21"/>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九、质量标准和检验方式</w:t>
      </w:r>
    </w:p>
    <w:p>
      <w:pPr>
        <w:pStyle w:val="NormalIndent"/>
        <w:numPr>
          <w:ilvl w:val="6"/>
          <w:numId w:val="0"/>
        </w:numPr>
        <w:adjustRightInd w:val="0"/>
        <w:snapToGrid w:val="0"/>
        <w:spacing w:line="360" w:lineRule="auto"/>
        <w:ind w:firstLine="420" w:firstLineChars="200"/>
        <w:rPr>
          <w:rFonts w:ascii="宋体" w:hAnsi="宋体"/>
          <w:szCs w:val="21"/>
          <w:lang w:val="en-US"/>
        </w:rPr>
      </w:pPr>
    </w:p>
    <w:p>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甲方提供该乙方履行合同所需的资料清单如下</w:t>
      </w:r>
      <w:r>
        <w:rPr>
          <w:rFonts w:ascii="宋体" w:hAnsi="宋体"/>
          <w:szCs w:val="21"/>
        </w:rPr>
        <w:t>：</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hint="eastAsia"/>
          <w:szCs w:val="21"/>
        </w:rPr>
        <w:t>1）</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2</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3</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4</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bookmarkEnd w:id="69"/>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3、服务期：</w:t>
      </w:r>
      <w:r>
        <w:rPr>
          <w:rFonts w:ascii="宋体" w:hAnsi="宋体" w:hint="eastAsia"/>
          <w:szCs w:val="21"/>
          <w:u w:val="single"/>
        </w:rPr>
        <w:tab/>
      </w:r>
      <w:r>
        <w:rPr>
          <w:rFonts w:ascii="宋体" w:hAnsi="宋体"/>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4、其他约定事项：</w:t>
      </w:r>
      <w:r>
        <w:rPr>
          <w:rFonts w:ascii="宋体" w:hAnsi="宋体" w:hint="eastAsia"/>
          <w:szCs w:val="21"/>
          <w:u w:val="single"/>
        </w:rPr>
        <w:t xml:space="preserve">     </w:t>
      </w: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十三、</w:t>
      </w:r>
      <w:bookmarkStart w:id="70" w:name="_Toc86202602"/>
      <w:r>
        <w:rPr>
          <w:rFonts w:ascii="宋体" w:hAnsi="宋体" w:hint="eastAsia"/>
          <w:b/>
          <w:szCs w:val="21"/>
        </w:rPr>
        <w:t>预付款保函及履约保函</w:t>
      </w:r>
    </w:p>
    <w:p>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pPr>
        <w:pStyle w:val="NormalIndent"/>
        <w:adjustRightInd w:val="0"/>
        <w:snapToGrid w:val="0"/>
        <w:spacing w:line="360" w:lineRule="auto"/>
        <w:outlineLvl w:val="0"/>
        <w:rPr>
          <w:rFonts w:ascii="宋体" w:hAnsi="宋体"/>
          <w:b/>
          <w:szCs w:val="21"/>
        </w:rPr>
      </w:pPr>
      <w:r>
        <w:rPr>
          <w:rFonts w:ascii="宋体" w:hAnsi="宋体" w:hint="eastAsia"/>
          <w:b/>
          <w:szCs w:val="21"/>
        </w:rPr>
        <w:t>十四、审计及检查</w:t>
      </w:r>
    </w:p>
    <w:p>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十五、违约责任</w:t>
      </w:r>
      <w:bookmarkEnd w:id="70"/>
    </w:p>
    <w:p>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hAnsi="宋体"/>
          <w:szCs w:val="21"/>
        </w:rPr>
      </w:pPr>
      <w:r>
        <w:rPr>
          <w:rFonts w:ascii="宋体" w:hAnsi="宋体" w:hint="eastAsia"/>
          <w:szCs w:val="21"/>
        </w:rPr>
        <w:t>4、延期交付或延期付款的违约责任：如乙方延期交付或甲方延期付款，每逾期一天，违约方应按延期交货所折合的金额</w:t>
      </w:r>
      <w:r>
        <w:rPr>
          <w:rFonts w:ascii="宋体" w:hAnsi="宋体" w:hint="eastAsia"/>
          <w:szCs w:val="21"/>
          <w:u w:val="single"/>
        </w:rPr>
        <w:t xml:space="preserve">    </w:t>
      </w:r>
      <w:r>
        <w:rPr>
          <w:rFonts w:ascii="宋体" w:hAnsi="宋体" w:hint="eastAsia"/>
          <w:szCs w:val="21"/>
        </w:rPr>
        <w:t>%或延期付款金额每天</w:t>
      </w:r>
      <w:r>
        <w:rPr>
          <w:rFonts w:ascii="宋体" w:hAnsi="宋体"/>
          <w:szCs w:val="21"/>
          <w:u w:val="single"/>
        </w:rPr>
        <w:t xml:space="preserve">       </w:t>
      </w:r>
      <w:r>
        <w:rPr>
          <w:rFonts w:ascii="宋体" w:hAnsi="宋体" w:hint="eastAsia"/>
          <w:szCs w:val="21"/>
        </w:rPr>
        <w:t>‰ 的比例向对方支付违约金。上述逾期超过</w:t>
      </w:r>
      <w:r>
        <w:rPr>
          <w:rFonts w:ascii="宋体" w:hAnsi="宋体" w:hint="eastAsia"/>
          <w:szCs w:val="21"/>
          <w:u w:val="single"/>
        </w:rPr>
        <w:t xml:space="preserve">      天</w:t>
      </w:r>
      <w:r>
        <w:rPr>
          <w:rFonts w:ascii="宋体" w:hAnsi="宋体" w:hint="eastAsia"/>
          <w:szCs w:val="21"/>
        </w:rPr>
        <w:t>，守约方有权解除合同，违约方应按本合同总金额的20%向守约方支付违约金，如违约金不足以弥补损失的，应赔偿由此造成的所有损失。</w:t>
      </w:r>
    </w:p>
    <w:p>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bookmarkStart w:id="71" w:name="_Toc86202603"/>
    </w:p>
    <w:p>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2）未经甲方许可使用项目资料的；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71"/>
    <w:p>
      <w:pPr>
        <w:pStyle w:val="NormalIndent"/>
        <w:adjustRightInd w:val="0"/>
        <w:snapToGrid w:val="0"/>
        <w:spacing w:line="360" w:lineRule="auto"/>
        <w:outlineLvl w:val="0"/>
        <w:rPr>
          <w:rFonts w:ascii="宋体" w:hAnsi="宋体"/>
          <w:b/>
          <w:szCs w:val="21"/>
        </w:rPr>
      </w:pPr>
      <w:r>
        <w:rPr>
          <w:rFonts w:ascii="宋体" w:hAnsi="宋体" w:hint="eastAsia"/>
          <w:b/>
          <w:szCs w:val="21"/>
        </w:rPr>
        <w:t>十六、</w:t>
      </w:r>
      <w:bookmarkStart w:id="72" w:name="_Toc86202604"/>
      <w:r>
        <w:rPr>
          <w:rFonts w:ascii="宋体" w:hAnsi="宋体" w:hint="eastAsia"/>
          <w:b/>
          <w:szCs w:val="21"/>
        </w:rPr>
        <w:t>联系方式</w:t>
      </w:r>
      <w:bookmarkEnd w:id="72"/>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r>
        <w:rPr>
          <w:rFonts w:ascii="宋体" w:hAnsi="宋体" w:hint="eastAsia"/>
          <w:szCs w:val="21"/>
        </w:rPr>
        <w:t xml:space="preserve">            </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pPr>
        <w:pStyle w:val="NormalIndent"/>
        <w:adjustRightInd w:val="0"/>
        <w:snapToGrid w:val="0"/>
        <w:spacing w:line="360" w:lineRule="auto"/>
        <w:outlineLvl w:val="0"/>
        <w:rPr>
          <w:rFonts w:ascii="宋体" w:hAnsi="宋体"/>
          <w:b/>
          <w:szCs w:val="21"/>
        </w:rPr>
      </w:pPr>
      <w:bookmarkStart w:id="73" w:name="_Toc86202606"/>
      <w:r>
        <w:rPr>
          <w:rFonts w:ascii="宋体" w:hAnsi="宋体" w:hint="eastAsia"/>
          <w:b/>
          <w:szCs w:val="21"/>
        </w:rPr>
        <w:t>十七、保密条款</w:t>
      </w:r>
    </w:p>
    <w:p>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firstLine="420" w:firstLineChars="200"/>
        <w:rPr>
          <w:rFonts w:ascii="宋体" w:hAnsi="宋体"/>
          <w:szCs w:val="21"/>
        </w:rPr>
      </w:pPr>
      <w:r>
        <w:rPr>
          <w:rFonts w:ascii="宋体" w:hAnsi="宋体"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pPr>
        <w:pStyle w:val="NormalIndent"/>
        <w:adjustRightInd w:val="0"/>
        <w:snapToGrid w:val="0"/>
        <w:spacing w:line="360" w:lineRule="auto"/>
        <w:outlineLvl w:val="0"/>
        <w:rPr>
          <w:rFonts w:ascii="宋体" w:hAnsi="宋体"/>
          <w:b/>
          <w:szCs w:val="21"/>
        </w:rPr>
      </w:pPr>
      <w:r>
        <w:rPr>
          <w:rFonts w:ascii="宋体" w:hAnsi="宋体" w:hint="eastAsia"/>
          <w:b/>
          <w:szCs w:val="21"/>
        </w:rPr>
        <w:t>十八、合同的解释和法律适用</w:t>
      </w:r>
      <w:bookmarkEnd w:id="73"/>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pPr>
        <w:pStyle w:val="NormalIndent"/>
        <w:adjustRightInd w:val="0"/>
        <w:snapToGrid w:val="0"/>
        <w:spacing w:line="360" w:lineRule="auto"/>
        <w:outlineLvl w:val="0"/>
        <w:rPr>
          <w:rFonts w:ascii="宋体" w:hAnsi="宋体"/>
          <w:b/>
          <w:szCs w:val="21"/>
        </w:rPr>
      </w:pPr>
      <w:bookmarkStart w:id="74" w:name="_Toc86202608"/>
      <w:r>
        <w:rPr>
          <w:rFonts w:ascii="宋体" w:hAnsi="宋体" w:hint="eastAsia"/>
          <w:b/>
          <w:szCs w:val="21"/>
        </w:rPr>
        <w:t>十九、权利的保留</w:t>
      </w:r>
      <w:bookmarkEnd w:id="74"/>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二十、不可抗力</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二十一、</w:t>
      </w:r>
      <w:bookmarkStart w:id="75" w:name="_Toc86202609"/>
      <w:r>
        <w:rPr>
          <w:rFonts w:ascii="宋体" w:hAnsi="宋体" w:hint="eastAsia"/>
          <w:b/>
          <w:szCs w:val="21"/>
        </w:rPr>
        <w:t>争议的解决</w:t>
      </w:r>
      <w:bookmarkEnd w:id="75"/>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pPr>
        <w:pStyle w:val="NormalIndent"/>
        <w:adjustRightInd w:val="0"/>
        <w:snapToGrid w:val="0"/>
        <w:spacing w:line="360" w:lineRule="auto"/>
        <w:outlineLvl w:val="0"/>
        <w:rPr>
          <w:rFonts w:ascii="宋体" w:hAnsi="宋体"/>
          <w:b/>
          <w:szCs w:val="21"/>
        </w:rPr>
      </w:pPr>
      <w:bookmarkStart w:id="76" w:name="_Toc86202611"/>
      <w:r>
        <w:rPr>
          <w:rFonts w:ascii="宋体" w:hAnsi="宋体" w:hint="eastAsia"/>
          <w:b/>
          <w:szCs w:val="21"/>
        </w:rPr>
        <w:t>二十二、合同的补充、修改和变更</w:t>
      </w:r>
    </w:p>
    <w:p>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firstLine="424" w:firstLineChars="202"/>
        <w:rPr>
          <w:rFonts w:ascii="宋体" w:hAnsi="宋体"/>
          <w:szCs w:val="21"/>
        </w:rPr>
      </w:pPr>
      <w:r>
        <w:rPr>
          <w:rFonts w:ascii="宋体" w:hAnsi="宋体" w:hint="eastAsia"/>
          <w:szCs w:val="21"/>
        </w:rPr>
        <w:t>7、任何对合同条件的变更或修改均须双方签订书面的修改书，并由乙方自签订补充合同之日起五日内报采购中心备案。</w:t>
      </w:r>
    </w:p>
    <w:p>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二十三、转包与分包</w:t>
      </w:r>
    </w:p>
    <w:p>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pPr>
        <w:pStyle w:val="NormalIndent"/>
        <w:adjustRightInd w:val="0"/>
        <w:snapToGrid w:val="0"/>
        <w:spacing w:line="360" w:lineRule="auto"/>
        <w:outlineLvl w:val="0"/>
        <w:rPr>
          <w:rFonts w:ascii="宋体" w:hAnsi="宋体"/>
          <w:b/>
          <w:szCs w:val="21"/>
        </w:rPr>
      </w:pPr>
      <w:bookmarkStart w:id="77" w:name="_Toc86202607"/>
      <w:r>
        <w:rPr>
          <w:rFonts w:ascii="宋体" w:hAnsi="宋体" w:hint="eastAsia"/>
          <w:b/>
          <w:szCs w:val="21"/>
        </w:rPr>
        <w:t>二十四、合同的终止</w:t>
      </w:r>
      <w:bookmarkEnd w:id="77"/>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二十五、合同的生效</w:t>
      </w:r>
      <w:bookmarkEnd w:id="76"/>
    </w:p>
    <w:p>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二十六、</w:t>
      </w:r>
      <w:bookmarkStart w:id="78" w:name="_Toc86202612"/>
      <w:r>
        <w:rPr>
          <w:rFonts w:ascii="宋体" w:hAnsi="宋体" w:hint="eastAsia"/>
          <w:b/>
          <w:szCs w:val="21"/>
        </w:rPr>
        <w:t>其它约定事项</w:t>
      </w:r>
      <w:bookmarkEnd w:id="78"/>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（1）合同服务产品清单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、本合同正本一式四份，甲、乙双方各执两份，每份正本具有同等法律效力，副本报财政部备案。</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 xml:space="preserve">、双方约定本合同其他相关事项为：               </w:t>
      </w:r>
    </w:p>
    <w:p>
      <w:pPr>
        <w:tabs>
          <w:tab w:val="left" w:pos="1573"/>
        </w:tabs>
        <w:adjustRightInd w:val="0"/>
        <w:snapToGrid w:val="0"/>
        <w:spacing w:line="360" w:lineRule="auto"/>
        <w:ind w:firstLine="420" w:firstLineChars="200"/>
        <w:rPr>
          <w:rFonts w:ascii="宋体" w:hAnsi="宋体"/>
          <w:szCs w:val="21"/>
        </w:rPr>
      </w:pPr>
    </w:p>
    <w:p>
      <w:pPr>
        <w:snapToGrid w:val="0"/>
        <w:spacing w:line="360" w:lineRule="auto"/>
        <w:rPr>
          <w:rFonts w:ascii="宋体" w:hAnsi="宋体"/>
          <w:szCs w:val="21"/>
        </w:rPr>
      </w:pPr>
    </w:p>
    <w:p>
      <w:pPr>
        <w:snapToGrid w:val="0"/>
        <w:spacing w:line="360" w:lineRule="auto"/>
        <w:ind w:firstLine="309" w:firstLineChars="147"/>
        <w:rPr>
          <w:rFonts w:ascii="宋体" w:hAnsi="宋体"/>
          <w:b/>
          <w:szCs w:val="21"/>
        </w:rPr>
      </w:pPr>
      <w:bookmarkStart w:id="79" w:name="OLE_LINK10"/>
      <w:bookmarkStart w:id="80" w:name="OLE_LINK9"/>
      <w:r>
        <w:rPr>
          <w:rFonts w:ascii="宋体" w:hAnsi="宋体" w:hint="eastAsia"/>
          <w:b/>
          <w:szCs w:val="21"/>
        </w:rPr>
        <w:t>甲方：                                   乙方：</w:t>
      </w:r>
    </w:p>
    <w:p>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pPr>
        <w:snapToGrid w:val="0"/>
        <w:spacing w:line="360" w:lineRule="auto"/>
        <w:ind w:firstLine="309" w:firstLineChars="147"/>
        <w:rPr>
          <w:rFonts w:ascii="宋体" w:hAnsi="宋体"/>
          <w:b/>
          <w:szCs w:val="21"/>
        </w:rPr>
      </w:pPr>
      <w:r>
        <w:rPr>
          <w:rFonts w:ascii="宋体" w:hAnsi="宋体" w:hint="eastAsia"/>
          <w:b/>
          <w:szCs w:val="21"/>
        </w:rPr>
        <w:t>法定代表人</w:t>
      </w:r>
      <w:bookmarkStart w:id="81" w:name="OLE_LINK3"/>
      <w:bookmarkStart w:id="82" w:name="OLE_LINK4"/>
      <w:r>
        <w:rPr>
          <w:rFonts w:ascii="宋体" w:hAnsi="宋体" w:hint="eastAsia"/>
          <w:b/>
          <w:szCs w:val="21"/>
        </w:rPr>
        <w:t>/授权代表</w:t>
      </w:r>
      <w:bookmarkEnd w:id="81"/>
      <w:bookmarkEnd w:id="82"/>
      <w:r>
        <w:rPr>
          <w:rFonts w:ascii="宋体" w:hAnsi="宋体" w:hint="eastAsia"/>
          <w:b/>
          <w:szCs w:val="21"/>
        </w:rPr>
        <w:t>：                    法定代表人/授权代表：</w:t>
      </w:r>
    </w:p>
    <w:p>
      <w:pPr>
        <w:snapToGrid w:val="0"/>
        <w:spacing w:line="360" w:lineRule="auto"/>
        <w:ind w:firstLine="309" w:firstLineChars="147"/>
        <w:rPr>
          <w:rFonts w:ascii="宋体" w:hAnsi="宋体"/>
          <w:b/>
          <w:szCs w:val="21"/>
        </w:rPr>
      </w:pPr>
      <w:r>
        <w:rPr>
          <w:rFonts w:ascii="宋体" w:hAnsi="宋体" w:hint="eastAsia"/>
          <w:b/>
          <w:szCs w:val="21"/>
        </w:rPr>
        <w:t>经办人：                                 经办人：</w:t>
      </w:r>
    </w:p>
    <w:p>
      <w:pPr>
        <w:snapToGrid w:val="0"/>
        <w:spacing w:line="360" w:lineRule="auto"/>
        <w:ind w:firstLine="309" w:firstLineChars="147"/>
        <w:rPr>
          <w:rFonts w:ascii="宋体" w:hAnsi="宋体"/>
          <w:b/>
          <w:szCs w:val="21"/>
        </w:rPr>
      </w:pPr>
      <w:r>
        <w:rPr>
          <w:rFonts w:ascii="宋体" w:hAnsi="宋体" w:hint="eastAsia"/>
          <w:b/>
          <w:szCs w:val="21"/>
        </w:rPr>
        <w:t>签约日期：                               签约日期：</w:t>
      </w:r>
      <w:bookmarkEnd w:id="79"/>
      <w:bookmarkEnd w:id="80"/>
    </w:p>
    <w:p>
      <w:pPr>
        <w:snapToGrid w:val="0"/>
        <w:spacing w:line="360" w:lineRule="auto"/>
        <w:rPr>
          <w:b/>
          <w:sz w:val="28"/>
          <w:szCs w:val="28"/>
        </w:rPr>
      </w:pPr>
      <w:r>
        <w:rPr>
          <w:rFonts w:hint="eastAsia"/>
          <w:b/>
          <w:sz w:val="28"/>
          <w:szCs w:val="28"/>
        </w:rPr>
        <w:t xml:space="preserve">   </w:t>
      </w:r>
    </w:p>
    <w:p>
      <w:pPr>
        <w:tabs>
          <w:tab w:val="left" w:pos="1573"/>
        </w:tabs>
        <w:adjustRightInd w:val="0"/>
        <w:snapToGrid w:val="0"/>
        <w:spacing w:line="360" w:lineRule="auto"/>
        <w:ind w:firstLine="420" w:firstLineChars="200"/>
        <w:rPr>
          <w:rFonts w:ascii="宋体" w:hAnsi="宋体"/>
          <w:szCs w:val="21"/>
        </w:rPr>
      </w:pPr>
    </w:p>
    <w:p>
      <w:pPr>
        <w:adjustRightInd w:val="0"/>
        <w:snapToGrid w:val="0"/>
        <w:spacing w:line="360" w:lineRule="auto"/>
        <w:ind w:firstLine="420" w:firstLineChars="200"/>
        <w:rPr>
          <w:szCs w:val="21"/>
        </w:rPr>
      </w:pPr>
      <w:r>
        <w:rPr>
          <w:rFonts w:hint="eastAsia"/>
          <w:szCs w:val="21"/>
        </w:rPr>
        <w:t xml:space="preserve">                            </w:t>
      </w: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pStyle w:val="10"/>
        <w:numPr>
          <w:ilvl w:val="0"/>
          <w:numId w:val="0"/>
        </w:numPr>
        <w:tabs>
          <w:tab w:val="left" w:pos="1573"/>
        </w:tabs>
        <w:adjustRightInd w:val="0"/>
        <w:snapToGrid w:val="0"/>
        <w:spacing w:line="560" w:lineRule="exact"/>
        <w:rPr>
          <w:rFonts w:ascii="黑体" w:eastAsia="黑体" w:hAnsi="黑体" w:cs="黑体"/>
          <w:sz w:val="32"/>
          <w:szCs w:val="32"/>
        </w:rPr>
      </w:pPr>
      <w:r>
        <w:rPr>
          <w:rFonts w:ascii="黑体" w:eastAsia="黑体" w:hAnsi="黑体" w:cs="黑体" w:hint="eastAsia"/>
          <w:sz w:val="32"/>
          <w:szCs w:val="32"/>
        </w:rPr>
        <w:t>附件</w:t>
      </w:r>
    </w:p>
    <w:p>
      <w:pPr>
        <w:snapToGrid w:val="0"/>
        <w:spacing w:line="560" w:lineRule="exact"/>
        <w:jc w:val="center"/>
        <w:rPr>
          <w:b/>
          <w:sz w:val="28"/>
          <w:szCs w:val="28"/>
        </w:rPr>
      </w:pPr>
    </w:p>
    <w:p>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  洁  协  议</w:t>
      </w:r>
    </w:p>
    <w:p>
      <w:pPr>
        <w:snapToGrid w:val="0"/>
        <w:spacing w:line="560" w:lineRule="exact"/>
        <w:rPr>
          <w:szCs w:val="21"/>
        </w:rPr>
      </w:pPr>
    </w:p>
    <w:p>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（二）甲方及其工作人员不得索要或接受乙方及其工作人员的钱物(现金、有价证券、信用卡、礼金、奖金、补贴、物品等)，不得在乙方报销任何应由甲方或个人支付的费用。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pPr>
        <w:numPr>
          <w:ilvl w:val="0"/>
          <w:numId w:val="10"/>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（二）乙方不得以任何理由向甲方、甲方工作人员及其关联亲属馈赠钱物(现金、有价证券、信用卡、礼金、奖金、补贴、物品等)。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（二）由甲/乙方及所属人员违规造成对方损失的，由双方依据实际情况协调赔偿方式。</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pPr>
        <w:widowControl/>
        <w:numPr>
          <w:ilvl w:val="0"/>
          <w:numId w:val="11"/>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1.甲方：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监督部门：国家气象信息中心纪委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 系 人：杨根录</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举报电话：010-68406214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举报邮箱：yanggl@cma.gov.cn</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2.乙方：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联 系 人：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举报邮箱：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3.对举报人的资料，双方应予以保密。</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pPr>
        <w:rPr>
          <w:rFonts w:ascii="仿宋_GB2312" w:eastAsia="仿宋_GB2312" w:hAnsi="宋体" w:hint="eastAsia"/>
          <w:sz w:val="32"/>
          <w:szCs w:val="32"/>
        </w:rPr>
      </w:pPr>
      <w:r>
        <w:rPr>
          <w:rFonts w:ascii="仿宋_GB2312" w:eastAsia="仿宋_GB2312" w:hAnsi="宋体" w:hint="eastAsia"/>
          <w:sz w:val="32"/>
          <w:szCs w:val="32"/>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12"/>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w:t>
      </w:r>
      <w:r>
        <w:rPr>
          <w:rFonts w:ascii="Times New Roman" w:eastAsia="宋体" w:hAnsi="宋体" w:cs="Times New Roman" w:hint="eastAsia"/>
          <w:kern w:val="0"/>
          <w:szCs w:val="20"/>
          <w:highlight w:val="none"/>
          <w:lang w:val="en-US" w:eastAsia="zh-CN"/>
        </w:rPr>
        <w:t>10</w:t>
      </w:r>
      <w:r>
        <w:rPr>
          <w:rFonts w:ascii="Times New Roman" w:eastAsia="宋体" w:hAnsi="宋体" w:cs="Times New Roman" w:hint="eastAsia"/>
          <w:kern w:val="0"/>
          <w:szCs w:val="20"/>
          <w:highlight w:val="none"/>
        </w:rPr>
        <w:t>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hint="eastAsia"/>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宋体"/>
    <w:panose1 w:val="00000000000000000000"/>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67CC393"/>
    <w:multiLevelType w:val="multilevel"/>
    <w:tmpl w:val="967CC393"/>
    <w:lvl w:ilvl="0">
      <w:start w:val="7"/>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nsid w:val="9BDEECA8"/>
    <w:multiLevelType w:val="singleLevel"/>
    <w:tmpl w:val="9BDEECA8"/>
    <w:lvl w:ilvl="0">
      <w:start w:val="9"/>
      <w:numFmt w:val="chineseCounting"/>
      <w:suff w:val="space"/>
      <w:lvlText w:val="第%1章"/>
      <w:lvlJc w:val="left"/>
      <w:rPr>
        <w:rFonts w:hint="eastAsia"/>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F71249D"/>
    <w:multiLevelType w:val="multilevel"/>
    <w:tmpl w:val="0F71249D"/>
    <w:lvl w:ilvl="0">
      <w:start w:val="1"/>
      <w:numFmt w:val="decimal"/>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7">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D5A5B4A"/>
    <w:multiLevelType w:val="multilevel"/>
    <w:tmpl w:val="3D5A5B4A"/>
    <w:lvl w:ilvl="0">
      <w:start w:val="1"/>
      <w:numFmt w:val="bullet"/>
      <w:lvlText w:val=""/>
      <w:lvlJc w:val="left"/>
      <w:pPr>
        <w:ind w:left="860" w:hanging="440"/>
      </w:pPr>
      <w:rPr>
        <w:rFonts w:ascii="Wingdings" w:hAnsi="Wingdings" w:hint="default"/>
      </w:rPr>
    </w:lvl>
    <w:lvl w:ilvl="1">
      <w:start w:val="1"/>
      <w:numFmt w:val="bullet"/>
      <w:lvlText w:val=""/>
      <w:lvlJc w:val="left"/>
      <w:pPr>
        <w:ind w:left="1300" w:hanging="440"/>
      </w:pPr>
      <w:rPr>
        <w:rFonts w:ascii="Wingdings" w:hAnsi="Wingdings" w:hint="default"/>
      </w:rPr>
    </w:lvl>
    <w:lvl w:ilvl="2">
      <w:start w:val="1"/>
      <w:numFmt w:val="bullet"/>
      <w:lvlText w:val=""/>
      <w:lvlJc w:val="left"/>
      <w:pPr>
        <w:ind w:left="1740" w:hanging="440"/>
      </w:pPr>
      <w:rPr>
        <w:rFonts w:ascii="Wingdings" w:hAnsi="Wingdings" w:hint="default"/>
      </w:rPr>
    </w:lvl>
    <w:lvl w:ilvl="3">
      <w:start w:val="1"/>
      <w:numFmt w:val="bullet"/>
      <w:lvlText w:val=""/>
      <w:lvlJc w:val="left"/>
      <w:pPr>
        <w:ind w:left="2180" w:hanging="440"/>
      </w:pPr>
      <w:rPr>
        <w:rFonts w:ascii="Wingdings" w:hAnsi="Wingdings" w:hint="default"/>
      </w:rPr>
    </w:lvl>
    <w:lvl w:ilvl="4">
      <w:start w:val="1"/>
      <w:numFmt w:val="bullet"/>
      <w:lvlText w:val=""/>
      <w:lvlJc w:val="left"/>
      <w:pPr>
        <w:ind w:left="2620" w:hanging="440"/>
      </w:pPr>
      <w:rPr>
        <w:rFonts w:ascii="Wingdings" w:hAnsi="Wingdings" w:hint="default"/>
      </w:rPr>
    </w:lvl>
    <w:lvl w:ilvl="5">
      <w:start w:val="1"/>
      <w:numFmt w:val="bullet"/>
      <w:lvlText w:val=""/>
      <w:lvlJc w:val="left"/>
      <w:pPr>
        <w:ind w:left="3060" w:hanging="440"/>
      </w:pPr>
      <w:rPr>
        <w:rFonts w:ascii="Wingdings" w:hAnsi="Wingdings" w:hint="default"/>
      </w:rPr>
    </w:lvl>
    <w:lvl w:ilvl="6">
      <w:start w:val="1"/>
      <w:numFmt w:val="bullet"/>
      <w:lvlText w:val=""/>
      <w:lvlJc w:val="left"/>
      <w:pPr>
        <w:ind w:left="3500" w:hanging="440"/>
      </w:pPr>
      <w:rPr>
        <w:rFonts w:ascii="Wingdings" w:hAnsi="Wingdings" w:hint="default"/>
      </w:rPr>
    </w:lvl>
    <w:lvl w:ilvl="7">
      <w:start w:val="1"/>
      <w:numFmt w:val="bullet"/>
      <w:lvlText w:val=""/>
      <w:lvlJc w:val="left"/>
      <w:pPr>
        <w:ind w:left="3940" w:hanging="440"/>
      </w:pPr>
      <w:rPr>
        <w:rFonts w:ascii="Wingdings" w:hAnsi="Wingdings" w:hint="default"/>
      </w:rPr>
    </w:lvl>
    <w:lvl w:ilvl="8">
      <w:start w:val="1"/>
      <w:numFmt w:val="bullet"/>
      <w:lvlText w:val=""/>
      <w:lvlJc w:val="left"/>
      <w:pPr>
        <w:ind w:left="4380" w:hanging="440"/>
      </w:pPr>
      <w:rPr>
        <w:rFonts w:ascii="Wingdings" w:hAnsi="Wingdings" w:hint="default"/>
      </w:rPr>
    </w:lvl>
  </w:abstractNum>
  <w:abstractNum w:abstractNumId="10">
    <w:nsid w:val="528F04A1"/>
    <w:multiLevelType w:val="multilevel"/>
    <w:tmpl w:val="528F04A1"/>
    <w:lvl w:ilvl="0">
      <w:start w:val="1"/>
      <w:numFmt w:val="bullet"/>
      <w:lvlText w:val=""/>
      <w:lvlJc w:val="left"/>
      <w:pPr>
        <w:ind w:left="1134" w:hanging="440"/>
      </w:pPr>
      <w:rPr>
        <w:rFonts w:ascii="Wingdings" w:hAnsi="Wingdings" w:hint="default"/>
      </w:rPr>
    </w:lvl>
    <w:lvl w:ilvl="1">
      <w:start w:val="1"/>
      <w:numFmt w:val="bullet"/>
      <w:lvlText w:val=""/>
      <w:lvlJc w:val="left"/>
      <w:pPr>
        <w:ind w:left="1574" w:hanging="440"/>
      </w:pPr>
      <w:rPr>
        <w:rFonts w:ascii="Wingdings" w:hAnsi="Wingdings" w:hint="default"/>
      </w:rPr>
    </w:lvl>
    <w:lvl w:ilvl="2">
      <w:start w:val="1"/>
      <w:numFmt w:val="bullet"/>
      <w:lvlText w:val=""/>
      <w:lvlJc w:val="left"/>
      <w:pPr>
        <w:ind w:left="2014" w:hanging="440"/>
      </w:pPr>
      <w:rPr>
        <w:rFonts w:ascii="Wingdings" w:hAnsi="Wingdings" w:hint="default"/>
      </w:rPr>
    </w:lvl>
    <w:lvl w:ilvl="3">
      <w:start w:val="1"/>
      <w:numFmt w:val="bullet"/>
      <w:lvlText w:val=""/>
      <w:lvlJc w:val="left"/>
      <w:pPr>
        <w:ind w:left="2454" w:hanging="440"/>
      </w:pPr>
      <w:rPr>
        <w:rFonts w:ascii="Wingdings" w:hAnsi="Wingdings" w:hint="default"/>
      </w:rPr>
    </w:lvl>
    <w:lvl w:ilvl="4">
      <w:start w:val="1"/>
      <w:numFmt w:val="bullet"/>
      <w:lvlText w:val=""/>
      <w:lvlJc w:val="left"/>
      <w:pPr>
        <w:ind w:left="2894" w:hanging="440"/>
      </w:pPr>
      <w:rPr>
        <w:rFonts w:ascii="Wingdings" w:hAnsi="Wingdings" w:hint="default"/>
      </w:rPr>
    </w:lvl>
    <w:lvl w:ilvl="5">
      <w:start w:val="1"/>
      <w:numFmt w:val="bullet"/>
      <w:lvlText w:val=""/>
      <w:lvlJc w:val="left"/>
      <w:pPr>
        <w:ind w:left="3334" w:hanging="440"/>
      </w:pPr>
      <w:rPr>
        <w:rFonts w:ascii="Wingdings" w:hAnsi="Wingdings" w:hint="default"/>
      </w:rPr>
    </w:lvl>
    <w:lvl w:ilvl="6">
      <w:start w:val="1"/>
      <w:numFmt w:val="bullet"/>
      <w:lvlText w:val=""/>
      <w:lvlJc w:val="left"/>
      <w:pPr>
        <w:ind w:left="3774" w:hanging="440"/>
      </w:pPr>
      <w:rPr>
        <w:rFonts w:ascii="Wingdings" w:hAnsi="Wingdings" w:hint="default"/>
      </w:rPr>
    </w:lvl>
    <w:lvl w:ilvl="7">
      <w:start w:val="1"/>
      <w:numFmt w:val="bullet"/>
      <w:lvlText w:val=""/>
      <w:lvlJc w:val="left"/>
      <w:pPr>
        <w:ind w:left="4214" w:hanging="440"/>
      </w:pPr>
      <w:rPr>
        <w:rFonts w:ascii="Wingdings" w:hAnsi="Wingdings" w:hint="default"/>
      </w:rPr>
    </w:lvl>
    <w:lvl w:ilvl="8">
      <w:start w:val="1"/>
      <w:numFmt w:val="bullet"/>
      <w:lvlText w:val=""/>
      <w:lvlJc w:val="left"/>
      <w:pPr>
        <w:ind w:left="4654" w:hanging="440"/>
      </w:pPr>
      <w:rPr>
        <w:rFonts w:ascii="Wingdings" w:hAnsi="Wingdings" w:hint="default"/>
      </w:rPr>
    </w:lvl>
  </w:abstractNum>
  <w:abstractNum w:abstractNumId="11">
    <w:nsid w:val="5AA4E4C1"/>
    <w:multiLevelType w:val="singleLevel"/>
    <w:tmpl w:val="5AA4E4C1"/>
    <w:lvl w:ilvl="0">
      <w:start w:val="1"/>
      <w:numFmt w:val="chineseCounting"/>
      <w:suff w:val="nothing"/>
      <w:lvlText w:val="（%1）"/>
      <w:lvlJc w:val="left"/>
      <w:pPr>
        <w:ind w:left="0" w:firstLine="0"/>
      </w:pPr>
    </w:lvl>
  </w:abstractNum>
  <w:abstractNum w:abstractNumId="12">
    <w:nsid w:val="7DF7CD28"/>
    <w:multiLevelType w:val="singleLevel"/>
    <w:tmpl w:val="7DF7CD28"/>
    <w:lvl w:ilvl="0">
      <w:start w:val="1"/>
      <w:numFmt w:val="chineseCounting"/>
      <w:suff w:val="nothing"/>
      <w:lvlText w:val="（%1）"/>
      <w:lvlJc w:val="left"/>
      <w:pPr>
        <w:ind w:left="0" w:firstLine="0"/>
      </w:pPr>
    </w:lvl>
  </w:abstractNum>
  <w:num w:numId="1">
    <w:abstractNumId w:val="4"/>
  </w:num>
  <w:num w:numId="2">
    <w:abstractNumId w:val="3"/>
  </w:num>
  <w:num w:numId="3">
    <w:abstractNumId w:val="5"/>
  </w:num>
  <w:num w:numId="4">
    <w:abstractNumId w:val="1"/>
  </w:num>
  <w:num w:numId="5">
    <w:abstractNumId w:val="6"/>
  </w:num>
  <w:num w:numId="6">
    <w:abstractNumId w:val="9"/>
  </w:num>
  <w:num w:numId="7">
    <w:abstractNumId w:val="10"/>
  </w:num>
  <w:num w:numId="8">
    <w:abstractNumId w:val="2"/>
  </w:num>
  <w:num w:numId="9">
    <w:abstractNumId w:val="0"/>
  </w:num>
  <w:num w:numId="10">
    <w:abstractNumId w:val="12"/>
    <w:lvlOverride w:ilvl="0">
      <w:startOverride w:val="1"/>
    </w:lvlOverride>
  </w:num>
  <w:num w:numId="11">
    <w:abstractNumId w:val="11"/>
    <w:lvlOverride w:ilvl="0">
      <w:startOverride w:val="1"/>
    </w:lvlOverride>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TableParagraph">
    <w:name w:val="Table Paragraph"/>
    <w:basedOn w:val="Normal"/>
    <w:uiPriority w:val="1"/>
    <w:qFormat/>
    <w:pPr>
      <w:autoSpaceDE w:val="0"/>
      <w:autoSpaceDN w:val="0"/>
      <w:jc w:val="left"/>
    </w:pPr>
    <w:rPr>
      <w:rFonts w:ascii="宋体" w:hAnsi="宋体" w:eastAsiaTheme="minorEastAsia" w:cs="宋体"/>
      <w:kern w:val="0"/>
      <w:sz w:val="22"/>
      <w:szCs w:val="22"/>
      <w:lang w:val="zh-CN" w:bidi="zh-CN"/>
    </w:rPr>
  </w:style>
  <w:style w:type="paragraph" w:styleId="NormalIndent">
    <w:name w:val="Normal Indent"/>
    <w:basedOn w:val="Normal"/>
    <w:qFormat/>
    <w:pPr>
      <w:ind w:firstLine="420"/>
    </w:pPr>
    <w:rPr>
      <w:rFonts w:asciiTheme="minorHAnsi" w:eastAsiaTheme="minorEastAsia" w:hAnsiTheme="minorHAnsi" w:cstheme="minorBidi"/>
      <w:szCs w:val="22"/>
      <w:lang w:val="zh-CN"/>
    </w:rPr>
  </w:style>
  <w:style w:type="paragraph" w:customStyle="1" w:styleId="20">
    <w:name w:val="正文字缩2字"/>
    <w:basedOn w:val="Normal"/>
    <w:qFormat/>
    <w:pPr>
      <w:spacing w:before="60" w:after="60" w:line="360" w:lineRule="auto"/>
      <w:ind w:left="200" w:firstLine="200" w:leftChars="200" w:firstLineChars="200"/>
    </w:pPr>
    <w:rPr>
      <w:rFonts w:asciiTheme="minorHAnsi" w:eastAsiaTheme="minorEastAsia" w:hAnsiTheme="minorHAnsi" w:cstheme="minorBidi"/>
      <w:sz w:val="24"/>
      <w:szCs w:val="24"/>
      <w:lang w:val="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