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2025年大气本底站气溶胶质量浓度（β射线法）观测设备采购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ZQCD-25355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湖北省气候中心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2025年大气本底站气溶胶质量浓度（β射线法）观测设备采购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ZQCD-25355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合同签订后200天内交货，交货后30天内完成安装调试并具备验收条件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湖北省神农架林区</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2025年10月24日 00:00:00</w:t>
      </w:r>
      <w:bookmarkEnd w:id="26"/>
      <w:r>
        <w:rPr>
          <w:rFonts w:ascii="宋体" w:hint="eastAsia"/>
          <w:szCs w:val="21"/>
          <w:highlight w:val="none"/>
        </w:rPr>
        <w:t>至</w:t>
      </w:r>
      <w:bookmarkStart w:id="27" w:name="项目公告_signUpLastTime"/>
      <w:r>
        <w:rPr>
          <w:rFonts w:ascii="宋体" w:hint="eastAsia"/>
          <w:szCs w:val="21"/>
          <w:highlight w:val="none"/>
        </w:rPr>
        <w:t>2025年10月31日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2025年11月26日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湖北省气候中心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岳岩裕</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027-67847975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湖北省武汉市洪山区东湖东路3号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湖北省气候中心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不允许（仅针对以下产品：气溶胶质量浓度观测系统不允许代理商投标）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PM10/ PM2.5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52.000000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52.000000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销售合同必须包括气溶胶质量浓度（β射线法）观测设备，每提供1份合同得1分，最多得5分。否则不得分。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针对本项目采购的气溶胶质量浓度（β射线法）观测设备，</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针对气溶胶质量浓度（β射线法）观测设备，每提供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针对气溶胶质量浓度（β射线法）观测设备，测试报告应涵盖气候环境试验、电磁环境试验、综合环境适应性测试等内容，每包含一项得1分，最多得3分。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w:t>
      </w:r>
      <w:r>
        <w:rPr>
          <w:rFonts w:eastAsia="仿宋"/>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46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00"/>
        <w:gridCol w:w="943"/>
        <w:gridCol w:w="6572"/>
      </w:tblGrid>
      <w:tr>
        <w:tblPrEx>
          <w:tblW w:w="46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16"/>
          <w:tblHeader/>
          <w:jc w:val="center"/>
        </w:trPr>
        <w:tc>
          <w:tcPr>
            <w:tcW w:w="481" w:type="pct"/>
            <w:vAlign w:val="center"/>
          </w:tcPr>
          <w:p>
            <w:pPr>
              <w:rPr>
                <w:rFonts w:ascii="仿宋" w:eastAsia="仿宋" w:hAnsi="仿宋" w:cs="仿宋" w:hint="eastAsia"/>
                <w:b/>
                <w:bCs/>
              </w:rPr>
            </w:pPr>
            <w:r>
              <w:rPr>
                <w:rFonts w:ascii="仿宋" w:eastAsia="仿宋" w:hAnsi="仿宋" w:cs="仿宋" w:hint="eastAsia"/>
                <w:b/>
                <w:bCs/>
                <w:sz w:val="24"/>
                <w:szCs w:val="24"/>
              </w:rPr>
              <w:t>序号</w:t>
            </w:r>
          </w:p>
        </w:tc>
        <w:tc>
          <w:tcPr>
            <w:tcW w:w="4518" w:type="pct"/>
            <w:gridSpan w:val="2"/>
            <w:vAlign w:val="center"/>
          </w:tcPr>
          <w:p>
            <w:pPr>
              <w:jc w:val="center"/>
              <w:rPr>
                <w:rFonts w:ascii="仿宋" w:eastAsia="仿宋" w:hAnsi="仿宋" w:cs="仿宋" w:hint="eastAsia"/>
                <w:b/>
                <w:bCs/>
              </w:rPr>
            </w:pPr>
            <w:r>
              <w:rPr>
                <w:rFonts w:ascii="仿宋" w:eastAsia="仿宋" w:hAnsi="仿宋" w:cs="仿宋" w:hint="eastAsia"/>
                <w:b/>
                <w:bCs/>
                <w:sz w:val="24"/>
                <w:szCs w:val="24"/>
              </w:rPr>
              <w:t>技术要求</w:t>
            </w:r>
          </w:p>
        </w:tc>
      </w:tr>
      <w:tr>
        <w:tblPrEx>
          <w:tblW w:w="4618" w:type="pct"/>
          <w:jc w:val="center"/>
          <w:tblLayout w:type="fixed"/>
          <w:tblCellMar>
            <w:top w:w="0" w:type="dxa"/>
            <w:left w:w="108" w:type="dxa"/>
            <w:bottom w:w="0" w:type="dxa"/>
            <w:right w:w="108" w:type="dxa"/>
          </w:tblCellMar>
          <w:tblLook w:val="0000"/>
        </w:tblPrEx>
        <w:trPr>
          <w:trHeight w:val="5716"/>
          <w:jc w:val="center"/>
        </w:trPr>
        <w:tc>
          <w:tcPr>
            <w:tcW w:w="481" w:type="pct"/>
            <w:vAlign w:val="center"/>
          </w:tcPr>
          <w:p>
            <w:pPr>
              <w:pStyle w:val="14"/>
              <w:numPr>
                <w:ilvl w:val="0"/>
                <w:numId w:val="4"/>
              </w:numPr>
              <w:ind w:left="0" w:firstLine="0" w:firstLineChars="0"/>
              <w:jc w:val="center"/>
              <w:rPr>
                <w:rFonts w:ascii="仿宋" w:eastAsia="仿宋" w:hAnsi="仿宋" w:cs="仿宋" w:hint="eastAsia"/>
                <w:sz w:val="24"/>
                <w:szCs w:val="24"/>
              </w:rPr>
            </w:pPr>
          </w:p>
        </w:tc>
        <w:tc>
          <w:tcPr>
            <w:tcW w:w="567" w:type="pct"/>
            <w:vAlign w:val="center"/>
          </w:tcPr>
          <w:p>
            <w:pPr>
              <w:rPr>
                <w:rFonts w:ascii="仿宋" w:eastAsia="仿宋" w:hAnsi="仿宋" w:cs="仿宋" w:hint="eastAsia"/>
              </w:rPr>
            </w:pPr>
            <w:r>
              <w:rPr>
                <w:rFonts w:ascii="仿宋" w:eastAsia="仿宋" w:hAnsi="仿宋" w:cs="仿宋" w:hint="eastAsia"/>
                <w:sz w:val="24"/>
                <w:szCs w:val="24"/>
              </w:rPr>
              <w:t>气溶胶质量浓度观测系统</w:t>
            </w:r>
          </w:p>
        </w:tc>
        <w:tc>
          <w:tcPr>
            <w:tcW w:w="3950" w:type="pct"/>
            <w:vAlign w:val="center"/>
          </w:tcPr>
          <w:p>
            <w:pPr>
              <w:widowControl/>
              <w:numPr>
                <w:ilvl w:val="0"/>
                <w:numId w:val="5"/>
              </w:numPr>
              <w:spacing w:line="276" w:lineRule="auto"/>
              <w:jc w:val="left"/>
              <w:rPr>
                <w:rFonts w:ascii="仿宋" w:eastAsia="仿宋" w:hAnsi="仿宋" w:cs="仿宋" w:hint="eastAsia"/>
              </w:rPr>
            </w:pPr>
            <w:r>
              <w:rPr>
                <w:rFonts w:ascii="仿宋" w:eastAsia="仿宋" w:hAnsi="仿宋" w:cs="仿宋" w:hint="eastAsia"/>
                <w:sz w:val="24"/>
                <w:szCs w:val="24"/>
              </w:rPr>
              <w:t>工作原理：贝塔射线法</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#观测要素：观测PM</w:t>
            </w:r>
            <w:r>
              <w:rPr>
                <w:rFonts w:ascii="仿宋" w:eastAsia="仿宋" w:hAnsi="仿宋" w:cs="仿宋" w:hint="eastAsia"/>
                <w:sz w:val="24"/>
                <w:szCs w:val="24"/>
                <w:highlight w:val="yellow"/>
                <w:vertAlign w:val="subscript"/>
              </w:rPr>
              <w:t>10</w:t>
            </w:r>
            <w:r>
              <w:rPr>
                <w:rFonts w:ascii="仿宋" w:eastAsia="仿宋" w:hAnsi="仿宋" w:cs="仿宋" w:hint="eastAsia"/>
                <w:sz w:val="24"/>
                <w:szCs w:val="24"/>
                <w:highlight w:val="yellow"/>
              </w:rPr>
              <w:t>或PM</w:t>
            </w:r>
            <w:r>
              <w:rPr>
                <w:rFonts w:ascii="仿宋" w:eastAsia="仿宋" w:hAnsi="仿宋" w:cs="仿宋" w:hint="eastAsia"/>
                <w:sz w:val="24"/>
                <w:szCs w:val="24"/>
                <w:highlight w:val="yellow"/>
                <w:vertAlign w:val="subscript"/>
              </w:rPr>
              <w:t>2.5</w:t>
            </w:r>
            <w:r>
              <w:rPr>
                <w:rFonts w:ascii="仿宋" w:eastAsia="仿宋" w:hAnsi="仿宋" w:cs="仿宋" w:hint="eastAsia"/>
                <w:sz w:val="24"/>
                <w:szCs w:val="24"/>
                <w:highlight w:val="yellow"/>
              </w:rPr>
              <w:t>质量浓度。</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 xml:space="preserve">#分辨率：0.1 </w:t>
            </w:r>
            <w:r>
              <w:rPr>
                <w:rFonts w:ascii="仿宋" w:eastAsia="仿宋" w:hAnsi="仿宋" w:cs="仿宋" w:hint="eastAsia"/>
                <w:sz w:val="24"/>
                <w:szCs w:val="24"/>
                <w:highlight w:val="yellow"/>
              </w:rPr>
              <w:t>μ</w:t>
            </w:r>
            <w:r>
              <w:rPr>
                <w:rFonts w:ascii="仿宋" w:eastAsia="仿宋" w:hAnsi="仿宋" w:cs="仿宋" w:hint="eastAsia"/>
                <w:sz w:val="24"/>
                <w:szCs w:val="24"/>
                <w:highlight w:val="yellow"/>
              </w:rPr>
              <w:t>/m3</w:t>
            </w:r>
          </w:p>
          <w:p>
            <w:pPr>
              <w:widowControl/>
              <w:numPr>
                <w:ilvl w:val="0"/>
                <w:numId w:val="5"/>
              </w:numPr>
              <w:spacing w:line="276" w:lineRule="auto"/>
              <w:jc w:val="left"/>
              <w:rPr>
                <w:rFonts w:ascii="仿宋" w:eastAsia="仿宋" w:hAnsi="仿宋" w:cs="仿宋" w:hint="eastAsia"/>
              </w:rPr>
            </w:pPr>
            <w:r>
              <w:rPr>
                <w:rFonts w:ascii="仿宋" w:eastAsia="仿宋" w:hAnsi="仿宋" w:cs="仿宋" w:hint="eastAsia"/>
                <w:sz w:val="24"/>
                <w:szCs w:val="24"/>
              </w:rPr>
              <w:t>测量时间分辨率：5分钟或60分钟</w:t>
            </w:r>
          </w:p>
          <w:p>
            <w:pPr>
              <w:widowControl/>
              <w:numPr>
                <w:ilvl w:val="0"/>
                <w:numId w:val="5"/>
              </w:numPr>
              <w:spacing w:line="276" w:lineRule="auto"/>
              <w:jc w:val="left"/>
              <w:rPr>
                <w:rFonts w:ascii="仿宋" w:eastAsia="仿宋" w:hAnsi="仿宋" w:cs="仿宋" w:hint="eastAsia"/>
              </w:rPr>
            </w:pPr>
            <w:r>
              <w:rPr>
                <w:rFonts w:ascii="仿宋" w:eastAsia="仿宋" w:hAnsi="仿宋" w:cs="仿宋" w:hint="eastAsia"/>
                <w:sz w:val="24"/>
                <w:szCs w:val="24"/>
              </w:rPr>
              <w:t>最低检测限：</w:t>
            </w:r>
            <w:r>
              <w:rPr>
                <w:rFonts w:ascii="仿宋" w:eastAsia="仿宋" w:hAnsi="仿宋" w:cs="仿宋" w:hint="eastAsia"/>
                <w:sz w:val="24"/>
                <w:szCs w:val="24"/>
              </w:rPr>
              <w:t>≤</w:t>
            </w:r>
            <w:r>
              <w:rPr>
                <w:rFonts w:ascii="仿宋" w:eastAsia="仿宋" w:hAnsi="仿宋" w:cs="仿宋" w:hint="eastAsia"/>
                <w:sz w:val="24"/>
                <w:szCs w:val="24"/>
              </w:rPr>
              <w:t xml:space="preserve"> 2 </w:t>
            </w:r>
            <w:r>
              <w:rPr>
                <w:rFonts w:ascii="仿宋" w:eastAsia="仿宋" w:hAnsi="仿宋" w:cs="仿宋" w:hint="eastAsia"/>
                <w:sz w:val="24"/>
                <w:szCs w:val="24"/>
              </w:rPr>
              <w:t>μ</w:t>
            </w:r>
            <w:r>
              <w:rPr>
                <w:rFonts w:ascii="仿宋" w:eastAsia="仿宋" w:hAnsi="仿宋" w:cs="仿宋" w:hint="eastAsia"/>
                <w:sz w:val="24"/>
                <w:szCs w:val="24"/>
              </w:rPr>
              <w:t>g/m</w:t>
            </w:r>
            <w:r>
              <w:rPr>
                <w:rFonts w:ascii="仿宋" w:eastAsia="仿宋" w:hAnsi="仿宋" w:cs="仿宋" w:hint="eastAsia"/>
                <w:sz w:val="24"/>
                <w:szCs w:val="24"/>
                <w:vertAlign w:val="superscript"/>
              </w:rPr>
              <w:t>3</w:t>
            </w:r>
            <w:r>
              <w:rPr>
                <w:rFonts w:ascii="仿宋" w:eastAsia="仿宋" w:hAnsi="仿宋" w:cs="仿宋" w:hint="eastAsia"/>
                <w:sz w:val="24"/>
                <w:szCs w:val="24"/>
              </w:rPr>
              <w:t>（24小时平均值）</w:t>
            </w:r>
          </w:p>
          <w:p>
            <w:pPr>
              <w:widowControl/>
              <w:numPr>
                <w:ilvl w:val="0"/>
                <w:numId w:val="5"/>
              </w:numPr>
              <w:spacing w:line="276" w:lineRule="auto"/>
              <w:jc w:val="left"/>
              <w:rPr>
                <w:rFonts w:ascii="仿宋" w:eastAsia="仿宋" w:hAnsi="仿宋" w:cs="仿宋" w:hint="eastAsia"/>
              </w:rPr>
            </w:pPr>
            <w:r>
              <w:rPr>
                <w:rFonts w:ascii="仿宋" w:eastAsia="仿宋" w:hAnsi="仿宋" w:cs="仿宋" w:hint="eastAsia"/>
                <w:sz w:val="24"/>
                <w:szCs w:val="24"/>
              </w:rPr>
              <w:t>精度：</w:t>
            </w:r>
            <w:r>
              <w:rPr>
                <w:rFonts w:ascii="仿宋" w:eastAsia="仿宋" w:hAnsi="仿宋" w:cs="仿宋" w:hint="eastAsia"/>
                <w:sz w:val="24"/>
                <w:szCs w:val="24"/>
              </w:rPr>
              <w:t>±</w:t>
            </w:r>
            <w:r>
              <w:rPr>
                <w:rFonts w:ascii="仿宋" w:eastAsia="仿宋" w:hAnsi="仿宋" w:cs="仿宋" w:hint="eastAsia"/>
                <w:sz w:val="24"/>
                <w:szCs w:val="24"/>
              </w:rPr>
              <w:t xml:space="preserve">5 </w:t>
            </w:r>
            <w:r>
              <w:rPr>
                <w:rFonts w:ascii="仿宋" w:eastAsia="仿宋" w:hAnsi="仿宋" w:cs="仿宋" w:hint="eastAsia"/>
                <w:sz w:val="24"/>
                <w:szCs w:val="24"/>
              </w:rPr>
              <w:t>μ</w:t>
            </w:r>
            <w:r>
              <w:rPr>
                <w:rFonts w:ascii="仿宋" w:eastAsia="仿宋" w:hAnsi="仿宋" w:cs="仿宋" w:hint="eastAsia"/>
                <w:sz w:val="24"/>
                <w:szCs w:val="24"/>
              </w:rPr>
              <w:t>g/m</w:t>
            </w:r>
            <w:r>
              <w:rPr>
                <w:rFonts w:ascii="仿宋" w:eastAsia="仿宋" w:hAnsi="仿宋" w:cs="仿宋" w:hint="eastAsia"/>
                <w:sz w:val="24"/>
                <w:szCs w:val="24"/>
                <w:vertAlign w:val="superscript"/>
              </w:rPr>
              <w:t>3</w:t>
            </w:r>
            <w:r>
              <w:rPr>
                <w:rFonts w:ascii="仿宋" w:eastAsia="仿宋" w:hAnsi="仿宋" w:cs="仿宋" w:hint="eastAsia"/>
                <w:sz w:val="24"/>
                <w:szCs w:val="24"/>
              </w:rPr>
              <w:t>（24小时）以内</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#仪器平行性：</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 xml:space="preserve"> 7%</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#配备除湿功能</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#配备温度测量</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#配备湿度测量</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#配备气压测量</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 xml:space="preserve"> #测量量程：（0～1000）</w:t>
            </w:r>
            <w:r>
              <w:rPr>
                <w:rFonts w:ascii="仿宋" w:eastAsia="仿宋" w:hAnsi="仿宋" w:cs="仿宋" w:hint="eastAsia"/>
                <w:sz w:val="24"/>
                <w:szCs w:val="24"/>
                <w:highlight w:val="yellow"/>
              </w:rPr>
              <w:t>μ</w:t>
            </w:r>
            <w:r>
              <w:rPr>
                <w:rFonts w:ascii="仿宋" w:eastAsia="仿宋" w:hAnsi="仿宋" w:cs="仿宋" w:hint="eastAsia"/>
                <w:sz w:val="24"/>
                <w:szCs w:val="24"/>
                <w:highlight w:val="yellow"/>
              </w:rPr>
              <w:t>g/m3或（0～10 000）</w:t>
            </w:r>
            <w:r>
              <w:rPr>
                <w:rFonts w:ascii="仿宋" w:eastAsia="仿宋" w:hAnsi="仿宋" w:cs="仿宋" w:hint="eastAsia"/>
                <w:sz w:val="24"/>
                <w:szCs w:val="24"/>
                <w:highlight w:val="yellow"/>
              </w:rPr>
              <w:t>μ</w:t>
            </w:r>
            <w:r>
              <w:rPr>
                <w:rFonts w:ascii="仿宋" w:eastAsia="仿宋" w:hAnsi="仿宋" w:cs="仿宋" w:hint="eastAsia"/>
                <w:sz w:val="24"/>
                <w:szCs w:val="24"/>
                <w:highlight w:val="yellow"/>
              </w:rPr>
              <w:t>g/m3（设备内可设置）</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#采样流量：16.7 L/min</w:t>
            </w:r>
          </w:p>
          <w:p>
            <w:pPr>
              <w:widowControl/>
              <w:numPr>
                <w:ilvl w:val="0"/>
                <w:numId w:val="5"/>
              </w:numPr>
              <w:spacing w:line="276" w:lineRule="auto"/>
              <w:jc w:val="left"/>
              <w:rPr>
                <w:rFonts w:ascii="仿宋" w:eastAsia="仿宋" w:hAnsi="仿宋" w:cs="仿宋" w:hint="eastAsia"/>
              </w:rPr>
            </w:pPr>
            <w:r>
              <w:rPr>
                <w:rFonts w:ascii="仿宋" w:eastAsia="仿宋" w:hAnsi="仿宋" w:cs="仿宋" w:hint="eastAsia"/>
                <w:sz w:val="24"/>
                <w:szCs w:val="24"/>
              </w:rPr>
              <w:t>流量误差：</w:t>
            </w:r>
            <w:r>
              <w:rPr>
                <w:rFonts w:ascii="仿宋" w:eastAsia="仿宋" w:hAnsi="仿宋" w:cs="仿宋" w:hint="eastAsia"/>
                <w:sz w:val="24"/>
                <w:szCs w:val="24"/>
              </w:rPr>
              <w:t>≤±</w:t>
            </w:r>
            <w:r>
              <w:rPr>
                <w:rFonts w:ascii="仿宋" w:eastAsia="仿宋" w:hAnsi="仿宋" w:cs="仿宋" w:hint="eastAsia"/>
                <w:sz w:val="24"/>
                <w:szCs w:val="24"/>
              </w:rPr>
              <w:t>1% F.S.</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#具备必备的标校器件</w:t>
            </w:r>
          </w:p>
          <w:p>
            <w:pPr>
              <w:widowControl/>
              <w:numPr>
                <w:ilvl w:val="0"/>
                <w:numId w:val="5"/>
              </w:numPr>
              <w:spacing w:line="276" w:lineRule="auto"/>
              <w:jc w:val="left"/>
              <w:rPr>
                <w:rFonts w:ascii="仿宋" w:eastAsia="仿宋" w:hAnsi="仿宋" w:cs="仿宋" w:hint="eastAsia"/>
              </w:rPr>
            </w:pPr>
            <w:r>
              <w:rPr>
                <w:rFonts w:ascii="仿宋" w:eastAsia="仿宋" w:hAnsi="仿宋" w:cs="仿宋" w:hint="eastAsia"/>
                <w:sz w:val="24"/>
                <w:szCs w:val="24"/>
              </w:rPr>
              <w:t>校准膜重现性：</w:t>
            </w:r>
            <w:r>
              <w:rPr>
                <w:rFonts w:ascii="仿宋" w:eastAsia="仿宋" w:hAnsi="仿宋" w:cs="仿宋" w:hint="eastAsia"/>
                <w:sz w:val="24"/>
                <w:szCs w:val="24"/>
              </w:rPr>
              <w:t>≤±</w:t>
            </w:r>
            <w:r>
              <w:rPr>
                <w:rFonts w:ascii="仿宋" w:eastAsia="仿宋" w:hAnsi="仿宋" w:cs="仿宋" w:hint="eastAsia"/>
                <w:sz w:val="24"/>
                <w:szCs w:val="24"/>
              </w:rPr>
              <w:t>2%标准值</w:t>
            </w:r>
          </w:p>
          <w:p>
            <w:pPr>
              <w:widowControl/>
              <w:numPr>
                <w:ilvl w:val="0"/>
                <w:numId w:val="5"/>
              </w:numPr>
              <w:spacing w:line="276" w:lineRule="auto"/>
              <w:jc w:val="left"/>
              <w:rPr>
                <w:rFonts w:ascii="仿宋" w:eastAsia="仿宋" w:hAnsi="仿宋" w:cs="仿宋" w:hint="eastAsia"/>
              </w:rPr>
            </w:pPr>
            <w:r>
              <w:rPr>
                <w:rFonts w:ascii="仿宋" w:eastAsia="仿宋" w:hAnsi="仿宋" w:cs="仿宋" w:hint="eastAsia"/>
                <w:sz w:val="24"/>
                <w:szCs w:val="24"/>
              </w:rPr>
              <w:t>存储超过180天观测数据并支持串口或USB口导出</w:t>
            </w:r>
          </w:p>
          <w:p>
            <w:pPr>
              <w:widowControl/>
              <w:numPr>
                <w:ilvl w:val="0"/>
                <w:numId w:val="5"/>
              </w:numPr>
              <w:spacing w:line="276" w:lineRule="auto"/>
              <w:jc w:val="left"/>
              <w:rPr>
                <w:rFonts w:ascii="仿宋" w:eastAsia="仿宋" w:hAnsi="仿宋" w:cs="仿宋" w:hint="eastAsia"/>
              </w:rPr>
            </w:pPr>
            <w:r>
              <w:rPr>
                <w:rFonts w:ascii="仿宋" w:eastAsia="仿宋" w:hAnsi="仿宋" w:cs="仿宋" w:hint="eastAsia"/>
                <w:sz w:val="24"/>
                <w:szCs w:val="24"/>
              </w:rPr>
              <w:t>配备工控机一台，PM</w:t>
            </w:r>
            <w:r>
              <w:rPr>
                <w:rFonts w:ascii="仿宋" w:eastAsia="仿宋" w:hAnsi="仿宋" w:cs="仿宋" w:hint="eastAsia"/>
                <w:sz w:val="24"/>
                <w:szCs w:val="24"/>
                <w:vertAlign w:val="subscript"/>
              </w:rPr>
              <w:t>10</w:t>
            </w:r>
            <w:r>
              <w:rPr>
                <w:rFonts w:ascii="仿宋" w:eastAsia="仿宋" w:hAnsi="仿宋" w:cs="仿宋" w:hint="eastAsia"/>
                <w:sz w:val="24"/>
                <w:szCs w:val="24"/>
              </w:rPr>
              <w:t>和PM</w:t>
            </w:r>
            <w:r>
              <w:rPr>
                <w:rFonts w:ascii="仿宋" w:eastAsia="仿宋" w:hAnsi="仿宋" w:cs="仿宋" w:hint="eastAsia"/>
                <w:sz w:val="24"/>
                <w:szCs w:val="24"/>
                <w:vertAlign w:val="subscript"/>
              </w:rPr>
              <w:t>2.5</w:t>
            </w:r>
            <w:r>
              <w:rPr>
                <w:rFonts w:ascii="仿宋" w:eastAsia="仿宋" w:hAnsi="仿宋" w:cs="仿宋" w:hint="eastAsia"/>
                <w:sz w:val="24"/>
                <w:szCs w:val="24"/>
              </w:rPr>
              <w:t>可共用。</w:t>
            </w: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气溶胶质量浓度观测系统质保期为8年*</w:t>
      </w:r>
      <w:r>
        <w:rPr>
          <w:rFonts w:ascii="仿宋" w:eastAsia="仿宋" w:hAnsi="仿宋" w:cs="仿宋" w:hint="eastAsia"/>
          <w:sz w:val="28"/>
          <w:szCs w:val="20"/>
        </w:rPr>
        <w:t>，从双方签署现场安装测试报告之日起开始计算质保期。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（1）质保期内，因设备故障，投标人进行设备维修保障或更换时，需自备维修保障耗材和更换配件。为台站储备8年观测运行耗材和备件，包括但不限于滤带和采样泵。</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（2）每年需进行1次现场巡检和维护，包括但不限于检漏、流量测量与校准、标准膜校准等，同时需提供必要的软件升级服务。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（3）质保期满后，仍有义务提供远程技术服务等支持。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采购人可根据合同</w:t>
      </w:r>
      <w:r>
        <w:rPr>
          <w:rFonts w:ascii="仿宋" w:eastAsia="仿宋" w:hAnsi="仿宋" w:cs="仿宋" w:hint="eastAsia"/>
          <w:sz w:val="28"/>
          <w:szCs w:val="20"/>
          <w:lang w:eastAsia="zh-CN"/>
        </w:rPr>
        <w:t>、</w:t>
      </w:r>
      <w:r>
        <w:rPr>
          <w:rFonts w:ascii="仿宋" w:eastAsia="仿宋" w:hAnsi="仿宋" w:cs="仿宋" w:hint="eastAsia"/>
          <w:sz w:val="28"/>
          <w:szCs w:val="20"/>
        </w:rPr>
        <w:t>技术性能指标以及采购人的有关规定进行修改和补充，经双方确认后形成验收文件作为验收依据</w:t>
      </w:r>
      <w:r>
        <w:rPr>
          <w:rFonts w:ascii="仿宋" w:eastAsia="仿宋" w:hAnsi="仿宋" w:cs="仿宋" w:hint="eastAsia"/>
          <w:sz w:val="28"/>
          <w:szCs w:val="20"/>
          <w:lang w:eastAsia="zh-CN"/>
        </w:rPr>
        <w:t>。</w:t>
      </w: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 出厂前配合买方人员进行严格测试和检查，确保设备长期稳定、可靠地运行。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（1）中标人须在合同签定后按约定时间将设备运到招标人指定的地点，运费由中标人承担。</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w:t>
      </w:r>
      <w:r>
        <w:rPr>
          <w:rFonts w:ascii="仿宋" w:eastAsia="仿宋" w:hAnsi="仿宋" w:cs="仿宋" w:hint="eastAsia"/>
          <w:sz w:val="28"/>
          <w:szCs w:val="20"/>
        </w:rPr>
        <w:t>“</w:t>
      </w:r>
      <w:r>
        <w:rPr>
          <w:rFonts w:ascii="仿宋" w:eastAsia="仿宋" w:hAnsi="仿宋" w:cs="仿宋" w:hint="eastAsia"/>
          <w:sz w:val="28"/>
          <w:szCs w:val="20"/>
        </w:rPr>
        <w:t>小心轻放</w:t>
      </w:r>
      <w:r>
        <w:rPr>
          <w:rFonts w:ascii="仿宋" w:eastAsia="仿宋" w:hAnsi="仿宋" w:cs="仿宋" w:hint="eastAsia"/>
          <w:sz w:val="28"/>
          <w:szCs w:val="20"/>
        </w:rPr>
        <w:t>”</w:t>
      </w:r>
      <w:r>
        <w:rPr>
          <w:rFonts w:ascii="仿宋" w:eastAsia="仿宋" w:hAnsi="仿宋" w:cs="仿宋" w:hint="eastAsia"/>
          <w:sz w:val="28"/>
          <w:szCs w:val="20"/>
        </w:rPr>
        <w:t>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中标人已提供合同中签署的全部货物及完整技术资料；</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货物符合技术规格，性能满足要求；</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11"/>
        <w:gridCol w:w="2371"/>
        <w:gridCol w:w="1002"/>
        <w:gridCol w:w="1393"/>
        <w:gridCol w:w="1589"/>
        <w:gridCol w:w="1002"/>
        <w:gridCol w:w="59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气溶胶质量浓度观测系统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520,000.00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520,000.00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54"/>
        <w:gridCol w:w="1542"/>
        <w:gridCol w:w="1372"/>
        <w:gridCol w:w="354"/>
        <w:gridCol w:w="806"/>
        <w:gridCol w:w="614"/>
        <w:gridCol w:w="1372"/>
        <w:gridCol w:w="210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湖北省气候中心(001047010)</w:t>
            </w:r>
          </w:p>
        </w:tc>
        <w:tc>
          <w:tcPr/>
          <w:p>
            <w:r>
              <w:t>气溶胶质量浓度观测系统</w:t>
            </w:r>
          </w:p>
        </w:tc>
        <w:tc>
          <w:tcPr/>
          <w:p>
            <w:r>
              <w:t>1</w:t>
            </w:r>
          </w:p>
        </w:tc>
        <w:tc>
          <w:tcPr/>
          <w:p>
            <w:r>
              <w:t>520000.00</w:t>
            </w:r>
          </w:p>
        </w:tc>
        <w:tc>
          <w:tcPr/>
          <w:p>
            <w:r>
              <w:t xml:space="preserve">520000.00  </w:t>
            </w:r>
          </w:p>
        </w:tc>
        <w:tc>
          <w:tcPr/>
          <w:p>
            <w:r>
              <w:t>湖北省神农架林区气象局</w:t>
            </w:r>
          </w:p>
        </w:tc>
        <w:tc>
          <w:tcPr/>
          <w:p>
            <w:r>
              <w:t>李志鹏，18271618527，湖北省气候中心</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E70231">
      <w:pPr>
        <w:spacing w:line="560" w:lineRule="exact"/>
        <w:ind w:firstLine="720" w:firstLineChars="200"/>
        <w:jc w:val="center"/>
        <w:rPr>
          <w:rFonts w:ascii="仿宋" w:eastAsia="仿宋" w:hAnsi="仿宋" w:cs="仿宋" w:hint="eastAsia"/>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hint="eastAsia"/>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E70231">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一、项目概况及总体要求</w:t>
      </w:r>
    </w:p>
    <w:p w:rsidR="00BF245E" w:rsidRPr="00A051AA" w:rsidP="00BF245E">
      <w:pPr>
        <w:ind w:firstLine="560" w:firstLineChars="200"/>
        <w:rPr>
          <w:rFonts w:ascii="仿宋" w:eastAsia="仿宋" w:hAnsi="仿宋" w:cs="仿宋" w:hint="eastAsia"/>
          <w:sz w:val="28"/>
          <w:szCs w:val="20"/>
        </w:rPr>
      </w:pPr>
      <w:r>
        <w:rPr>
          <w:rFonts w:ascii="仿宋" w:eastAsia="仿宋" w:hAnsi="仿宋" w:cs="仿宋" w:hint="eastAsia"/>
          <w:sz w:val="28"/>
          <w:szCs w:val="20"/>
        </w:rPr>
        <w:t>在湖北省神农架林区</w:t>
      </w:r>
      <w:r>
        <w:rPr>
          <w:rFonts w:ascii="仿宋" w:eastAsia="仿宋" w:hAnsi="仿宋" w:cs="仿宋" w:hint="eastAsia"/>
          <w:sz w:val="28"/>
          <w:szCs w:val="20"/>
        </w:rPr>
        <w:t>建设</w:t>
      </w:r>
      <w:r w:rsidRPr="00BF245E">
        <w:rPr>
          <w:rFonts w:ascii="仿宋" w:eastAsia="仿宋" w:hAnsi="仿宋" w:cs="仿宋" w:hint="eastAsia"/>
          <w:sz w:val="28"/>
          <w:szCs w:val="20"/>
        </w:rPr>
        <w:t>气溶胶质量浓度观测系统（β射线法）</w:t>
      </w:r>
      <w:r w:rsidRPr="00A051AA">
        <w:rPr>
          <w:rFonts w:ascii="仿宋" w:eastAsia="仿宋" w:hAnsi="仿宋" w:cs="仿宋" w:hint="eastAsia"/>
          <w:sz w:val="28"/>
          <w:szCs w:val="20"/>
        </w:rPr>
        <w:t>，实现</w:t>
      </w:r>
      <w:r w:rsidRPr="00BF245E">
        <w:rPr>
          <w:rFonts w:ascii="仿宋" w:eastAsia="仿宋" w:hAnsi="仿宋" w:cs="仿宋"/>
          <w:sz w:val="28"/>
          <w:szCs w:val="20"/>
        </w:rPr>
        <w:t>PM10</w:t>
      </w:r>
      <w:r w:rsidRPr="0023071A">
        <w:rPr>
          <w:rFonts w:ascii="仿宋" w:eastAsia="仿宋" w:hAnsi="仿宋" w:cs="仿宋" w:hint="eastAsia"/>
          <w:sz w:val="28"/>
          <w:szCs w:val="20"/>
        </w:rPr>
        <w:t>/</w:t>
      </w:r>
      <w:r w:rsidRPr="00BF245E">
        <w:rPr>
          <w:rFonts w:ascii="仿宋" w:eastAsia="仿宋" w:hAnsi="仿宋" w:cs="仿宋"/>
          <w:sz w:val="28"/>
          <w:szCs w:val="20"/>
        </w:rPr>
        <w:t>PM</w:t>
      </w:r>
      <w:r>
        <w:rPr>
          <w:rFonts w:ascii="仿宋" w:eastAsia="仿宋" w:hAnsi="仿宋" w:cs="仿宋" w:hint="eastAsia"/>
          <w:sz w:val="28"/>
          <w:szCs w:val="20"/>
        </w:rPr>
        <w:t>2.5</w:t>
      </w:r>
      <w:r w:rsidRPr="00A051AA">
        <w:rPr>
          <w:rFonts w:ascii="仿宋" w:eastAsia="仿宋" w:hAnsi="仿宋" w:cs="仿宋" w:hint="eastAsia"/>
          <w:sz w:val="28"/>
          <w:szCs w:val="20"/>
        </w:rPr>
        <w:t>浓度的在线观测，</w:t>
      </w:r>
      <w:r w:rsidRPr="00A85AF5" w:rsidR="00A85AF5">
        <w:rPr>
          <w:rFonts w:ascii="仿宋" w:eastAsia="仿宋" w:hAnsi="仿宋" w:cs="仿宋" w:hint="eastAsia"/>
          <w:sz w:val="28"/>
          <w:szCs w:val="20"/>
        </w:rPr>
        <w:t>满足大气成分变化监测评估需求，</w:t>
      </w:r>
      <w:r w:rsidRPr="00A051AA" w:rsidR="00A85AF5">
        <w:rPr>
          <w:rFonts w:ascii="仿宋" w:eastAsia="仿宋" w:hAnsi="仿宋" w:cs="仿宋" w:hint="eastAsia"/>
          <w:sz w:val="28"/>
          <w:szCs w:val="20"/>
        </w:rPr>
        <w:t>提升各省应对气候变化服务能力，</w:t>
      </w:r>
      <w:r w:rsidRPr="00A85AF5" w:rsidR="00A85AF5">
        <w:rPr>
          <w:rFonts w:ascii="仿宋" w:eastAsia="仿宋" w:hAnsi="仿宋" w:cs="仿宋" w:hint="eastAsia"/>
          <w:sz w:val="28"/>
          <w:szCs w:val="20"/>
        </w:rPr>
        <w:t>为制定减污降碳政策提供科学数据支撑。</w:t>
      </w:r>
    </w:p>
    <w:p w:rsidR="00E70231">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二、售后服务要求</w:t>
      </w:r>
    </w:p>
    <w:p w:rsidR="00E70231">
      <w:pPr>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E70231">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三、培训要求</w:t>
      </w:r>
    </w:p>
    <w:p w:rsidR="00E70231">
      <w:pPr>
        <w:ind w:firstLine="560" w:firstLineChars="200"/>
        <w:rPr>
          <w:rFonts w:ascii="仿宋" w:eastAsia="仿宋" w:hAnsi="仿宋" w:cs="仿宋" w:hint="eastAsia"/>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E70231">
      <w:pPr>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设备供应商对每套投标产品提供至少</w:t>
      </w:r>
      <w:r w:rsidR="00BF245E">
        <w:rPr>
          <w:rFonts w:ascii="仿宋" w:eastAsia="仿宋" w:hAnsi="仿宋" w:cs="仿宋" w:hint="eastAsia"/>
          <w:sz w:val="28"/>
          <w:szCs w:val="20"/>
        </w:rPr>
        <w:t>1</w:t>
      </w:r>
      <w:r>
        <w:rPr>
          <w:rFonts w:ascii="仿宋" w:eastAsia="仿宋" w:hAnsi="仿宋" w:cs="仿宋" w:hint="eastAsia"/>
          <w:sz w:val="28"/>
          <w:szCs w:val="20"/>
        </w:rPr>
        <w:t>次技术培训，</w:t>
      </w:r>
      <w:r w:rsidR="00BF245E">
        <w:rPr>
          <w:rFonts w:ascii="仿宋" w:eastAsia="仿宋" w:hAnsi="仿宋" w:cs="仿宋" w:hint="eastAsia"/>
          <w:sz w:val="28"/>
          <w:szCs w:val="20"/>
          <w:highlight w:val="yellow"/>
        </w:rPr>
        <w:t>培训课时</w:t>
      </w:r>
      <w:r w:rsidR="00BF245E">
        <w:rPr>
          <w:rFonts w:ascii="仿宋" w:eastAsia="仿宋" w:hAnsi="仿宋" w:cs="仿宋"/>
          <w:sz w:val="28"/>
          <w:szCs w:val="20"/>
          <w:highlight w:val="yellow"/>
        </w:rPr>
        <w:t>不少于</w:t>
      </w:r>
      <w:r w:rsidR="00BF245E">
        <w:rPr>
          <w:rFonts w:ascii="仿宋" w:eastAsia="仿宋" w:hAnsi="仿宋" w:cs="仿宋" w:hint="eastAsia"/>
          <w:sz w:val="28"/>
          <w:szCs w:val="20"/>
          <w:highlight w:val="yellow"/>
        </w:rPr>
        <w:t>2个</w:t>
      </w:r>
      <w:r w:rsidR="00BF245E">
        <w:rPr>
          <w:rFonts w:ascii="仿宋" w:eastAsia="仿宋" w:hAnsi="仿宋" w:cs="仿宋"/>
          <w:sz w:val="28"/>
          <w:szCs w:val="20"/>
          <w:highlight w:val="yellow"/>
        </w:rPr>
        <w:t>课时，培训人数不少于</w:t>
      </w:r>
      <w:r w:rsidR="00BF245E">
        <w:rPr>
          <w:rFonts w:ascii="仿宋" w:eastAsia="仿宋" w:hAnsi="仿宋" w:cs="仿宋" w:hint="eastAsia"/>
          <w:sz w:val="28"/>
          <w:szCs w:val="20"/>
          <w:highlight w:val="yellow"/>
        </w:rPr>
        <w:t>3人</w:t>
      </w:r>
      <w:r w:rsidR="00BF245E">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rsidR="00E70231">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四、交货要求及履约地点</w:t>
      </w:r>
    </w:p>
    <w:p w:rsidR="00E70231">
      <w:pPr>
        <w:ind w:firstLine="560" w:firstLineChars="200"/>
        <w:rPr>
          <w:rFonts w:ascii="仿宋" w:eastAsia="仿宋" w:hAnsi="仿宋" w:cs="仿宋" w:hint="eastAsia"/>
          <w:sz w:val="28"/>
          <w:szCs w:val="20"/>
        </w:rPr>
      </w:pPr>
      <w:r>
        <w:rPr>
          <w:rFonts w:ascii="仿宋" w:eastAsia="仿宋" w:hAnsi="仿宋" w:cs="仿宋" w:hint="eastAsia"/>
          <w:sz w:val="28"/>
          <w:szCs w:val="20"/>
        </w:rPr>
        <w:t>中标供应商将所有设备运送至</w:t>
      </w:r>
      <w:r w:rsidRPr="00A051AA" w:rsidR="00BF245E">
        <w:rPr>
          <w:rFonts w:ascii="仿宋" w:eastAsia="仿宋" w:hAnsi="仿宋" w:cs="仿宋" w:hint="eastAsia"/>
          <w:sz w:val="28"/>
          <w:szCs w:val="20"/>
        </w:rPr>
        <w:t>湖北省</w:t>
      </w:r>
      <w:r w:rsidR="00BF245E">
        <w:rPr>
          <w:rFonts w:ascii="仿宋" w:eastAsia="仿宋" w:hAnsi="仿宋" w:cs="仿宋" w:hint="eastAsia"/>
          <w:sz w:val="28"/>
          <w:szCs w:val="20"/>
        </w:rPr>
        <w:t>神农架林区松柏镇</w:t>
      </w:r>
      <w:r>
        <w:rPr>
          <w:rFonts w:ascii="仿宋" w:eastAsia="仿宋" w:hAnsi="仿宋" w:cs="仿宋" w:hint="eastAsia"/>
          <w:sz w:val="28"/>
          <w:szCs w:val="20"/>
        </w:rPr>
        <w:t>（运输相</w:t>
      </w:r>
      <w:r>
        <w:rPr>
          <w:rFonts w:ascii="仿宋" w:eastAsia="仿宋" w:hAnsi="仿宋" w:cs="仿宋" w:hint="eastAsia"/>
          <w:sz w:val="28"/>
          <w:szCs w:val="20"/>
        </w:rPr>
        <w:t>关费用由供应商负责），并负责安装调试。</w:t>
      </w:r>
    </w:p>
    <w:p w:rsidR="00BF245E" w:rsidP="00BF245E">
      <w:pPr>
        <w:ind w:firstLine="560" w:firstLineChars="200"/>
        <w:rPr>
          <w:rFonts w:ascii="仿宋" w:eastAsia="仿宋" w:hAnsi="仿宋" w:cs="仿宋" w:hint="eastAsia"/>
          <w:sz w:val="28"/>
          <w:szCs w:val="20"/>
        </w:rPr>
      </w:pPr>
      <w:r w:rsidRPr="00A051AA">
        <w:rPr>
          <w:rFonts w:ascii="仿宋" w:eastAsia="仿宋" w:hAnsi="仿宋" w:cs="仿宋" w:hint="eastAsia"/>
          <w:sz w:val="28"/>
          <w:szCs w:val="20"/>
          <w:highlight w:val="yellow"/>
        </w:rPr>
        <w:t>合同签订后2</w:t>
      </w:r>
      <w:r>
        <w:rPr>
          <w:rFonts w:ascii="仿宋" w:eastAsia="仿宋" w:hAnsi="仿宋" w:cs="仿宋" w:hint="eastAsia"/>
          <w:sz w:val="28"/>
          <w:szCs w:val="20"/>
          <w:highlight w:val="yellow"/>
        </w:rPr>
        <w:t>0</w:t>
      </w:r>
      <w:r w:rsidRPr="00A051AA">
        <w:rPr>
          <w:rFonts w:ascii="仿宋" w:eastAsia="仿宋" w:hAnsi="仿宋" w:cs="仿宋" w:hint="eastAsia"/>
          <w:sz w:val="28"/>
          <w:szCs w:val="20"/>
          <w:highlight w:val="yellow"/>
        </w:rPr>
        <w:t>0天内交货，</w:t>
      </w:r>
      <w:r>
        <w:rPr>
          <w:rFonts w:ascii="仿宋" w:eastAsia="仿宋" w:hAnsi="仿宋" w:cs="仿宋" w:hint="eastAsia"/>
          <w:sz w:val="28"/>
          <w:szCs w:val="20"/>
          <w:highlight w:val="yellow"/>
        </w:rPr>
        <w:t>交货后</w:t>
      </w:r>
      <w:r w:rsidRPr="00A051AA">
        <w:rPr>
          <w:rFonts w:ascii="仿宋" w:eastAsia="仿宋" w:hAnsi="仿宋" w:cs="仿宋" w:hint="eastAsia"/>
          <w:sz w:val="28"/>
          <w:szCs w:val="20"/>
          <w:highlight w:val="yellow"/>
        </w:rPr>
        <w:t>30天内完成安装调试并具备验收条件。</w:t>
      </w:r>
    </w:p>
    <w:p w:rsidR="00E70231">
      <w:pPr>
        <w:ind w:left="559" w:leftChars="266"/>
        <w:rPr>
          <w:rFonts w:ascii="仿宋" w:eastAsia="仿宋" w:hAnsi="仿宋" w:cs="仿宋" w:hint="eastAsia"/>
          <w:b/>
          <w:bCs/>
          <w:sz w:val="28"/>
          <w:szCs w:val="20"/>
        </w:rPr>
      </w:pPr>
      <w:r>
        <w:rPr>
          <w:rFonts w:ascii="仿宋" w:eastAsia="仿宋" w:hAnsi="仿宋" w:cs="仿宋" w:hint="eastAsia"/>
          <w:b/>
          <w:bCs/>
          <w:sz w:val="28"/>
          <w:szCs w:val="20"/>
        </w:rPr>
        <w:t>五、服务团队要求</w:t>
      </w:r>
    </w:p>
    <w:p w:rsidR="00E70231">
      <w:pPr>
        <w:ind w:firstLine="560" w:firstLineChars="200"/>
        <w:rPr>
          <w:rFonts w:ascii="仿宋" w:eastAsia="仿宋" w:hAnsi="仿宋" w:cs="仿宋" w:hint="eastAsia"/>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E70231">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六、投标产品软件兼容性要求</w:t>
      </w:r>
    </w:p>
    <w:p w:rsidR="002E4212" w:rsidP="002E4212">
      <w:pPr>
        <w:ind w:firstLine="560" w:firstLineChars="200"/>
        <w:rPr>
          <w:rFonts w:ascii="仿宋" w:eastAsia="仿宋" w:hAnsi="仿宋" w:cs="仿宋" w:hint="eastAsia"/>
          <w:sz w:val="28"/>
          <w:szCs w:val="20"/>
        </w:rPr>
      </w:pPr>
      <w:r>
        <w:rPr>
          <w:rFonts w:ascii="仿宋" w:eastAsia="仿宋" w:hAnsi="仿宋" w:cs="仿宋" w:hint="eastAsia"/>
          <w:sz w:val="28"/>
          <w:szCs w:val="20"/>
        </w:rPr>
        <w:t>设备完全符合甲方相关要求和规范，保证其系统的兼容性和功能的完整性。</w:t>
      </w:r>
    </w:p>
    <w:p w:rsidR="002E4212" w:rsidP="002E4212">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七、质保服务</w:t>
      </w:r>
    </w:p>
    <w:p w:rsidR="002E4212" w:rsidRPr="00800874" w:rsidP="002E4212">
      <w:pPr>
        <w:spacing w:line="560" w:lineRule="exact"/>
        <w:ind w:firstLine="560" w:firstLineChars="200"/>
        <w:rPr>
          <w:rFonts w:ascii="仿宋" w:eastAsia="仿宋" w:hAnsi="仿宋" w:cs="仿宋" w:hint="eastAsia"/>
          <w:sz w:val="28"/>
          <w:szCs w:val="20"/>
        </w:rPr>
      </w:pPr>
      <w:r w:rsidRPr="00BF245E">
        <w:rPr>
          <w:rFonts w:ascii="仿宋" w:eastAsia="仿宋" w:hAnsi="仿宋" w:cs="仿宋" w:hint="eastAsia"/>
          <w:sz w:val="28"/>
          <w:szCs w:val="20"/>
        </w:rPr>
        <w:t>气溶胶质量浓度观测系统（β射线法）</w:t>
      </w:r>
      <w:r w:rsidRPr="0023071A">
        <w:rPr>
          <w:rFonts w:ascii="仿宋" w:eastAsia="仿宋" w:hAnsi="仿宋" w:cs="仿宋"/>
          <w:sz w:val="28"/>
          <w:szCs w:val="20"/>
        </w:rPr>
        <w:t>（8年质保）</w:t>
      </w:r>
      <w:r w:rsidRPr="00800874">
        <w:rPr>
          <w:rFonts w:ascii="仿宋" w:eastAsia="仿宋" w:hAnsi="仿宋" w:cs="仿宋" w:hint="eastAsia"/>
          <w:sz w:val="28"/>
          <w:szCs w:val="20"/>
        </w:rPr>
        <w:t>，从双方签署现场安装测试报告之日起开始计算质保期。</w:t>
      </w:r>
    </w:p>
    <w:p w:rsidR="002E4212" w:rsidRPr="00800874" w:rsidP="002E4212">
      <w:pPr>
        <w:spacing w:line="560" w:lineRule="exact"/>
        <w:ind w:firstLine="560" w:firstLineChars="200"/>
        <w:rPr>
          <w:rFonts w:ascii="仿宋" w:eastAsia="仿宋" w:hAnsi="仿宋" w:cs="仿宋" w:hint="eastAsia"/>
          <w:sz w:val="28"/>
          <w:szCs w:val="20"/>
        </w:rPr>
      </w:pPr>
      <w:r w:rsidRPr="00800874">
        <w:rPr>
          <w:rFonts w:ascii="仿宋" w:eastAsia="仿宋" w:hAnsi="仿宋" w:cs="仿宋" w:hint="eastAsia"/>
          <w:sz w:val="28"/>
          <w:szCs w:val="20"/>
        </w:rPr>
        <w:t>质保期服务内容要求：</w:t>
      </w:r>
    </w:p>
    <w:p w:rsidR="002E4212" w:rsidRPr="00800874" w:rsidP="002E4212">
      <w:pPr>
        <w:spacing w:line="560" w:lineRule="exact"/>
        <w:ind w:firstLine="560" w:firstLineChars="200"/>
        <w:rPr>
          <w:rFonts w:ascii="仿宋" w:eastAsia="仿宋" w:hAnsi="仿宋" w:cs="仿宋" w:hint="eastAsia"/>
          <w:sz w:val="28"/>
          <w:szCs w:val="20"/>
        </w:rPr>
      </w:pPr>
      <w:r w:rsidRPr="00800874">
        <w:rPr>
          <w:rFonts w:ascii="仿宋" w:eastAsia="仿宋" w:hAnsi="仿宋" w:cs="仿宋" w:hint="eastAsia"/>
          <w:sz w:val="28"/>
          <w:szCs w:val="20"/>
        </w:rPr>
        <w:t>（1）质保期内，因设备故障，投标人进行设备维修保障或更换时，需自备维修保障耗材和更换配件。</w:t>
      </w:r>
    </w:p>
    <w:p w:rsidR="002E4212" w:rsidRPr="00800874" w:rsidP="002E4212">
      <w:pPr>
        <w:spacing w:line="560" w:lineRule="exact"/>
        <w:ind w:firstLine="560" w:firstLineChars="200"/>
        <w:rPr>
          <w:rFonts w:ascii="仿宋" w:eastAsia="仿宋" w:hAnsi="仿宋" w:cs="仿宋" w:hint="eastAsia"/>
          <w:sz w:val="28"/>
          <w:szCs w:val="20"/>
        </w:rPr>
      </w:pPr>
      <w:r w:rsidRPr="00800874">
        <w:rPr>
          <w:rFonts w:ascii="仿宋" w:eastAsia="仿宋" w:hAnsi="仿宋" w:cs="仿宋" w:hint="eastAsia"/>
          <w:sz w:val="28"/>
          <w:szCs w:val="20"/>
        </w:rPr>
        <w:t>（2）每年需进行1次现场巡检，同时需提供必要的软件升级服务。</w:t>
      </w:r>
    </w:p>
    <w:p w:rsidR="00E70231" w:rsidP="002E4212">
      <w:pPr>
        <w:ind w:firstLine="560" w:firstLineChars="200"/>
        <w:rPr>
          <w:rFonts w:ascii="仿宋" w:eastAsia="仿宋" w:hAnsi="仿宋" w:cs="仿宋" w:hint="eastAsia"/>
          <w:sz w:val="28"/>
          <w:szCs w:val="20"/>
        </w:rPr>
      </w:pPr>
      <w:r w:rsidRPr="00800874">
        <w:rPr>
          <w:rFonts w:ascii="仿宋" w:eastAsia="仿宋" w:hAnsi="仿宋" w:cs="仿宋" w:hint="eastAsia"/>
          <w:sz w:val="28"/>
          <w:szCs w:val="20"/>
        </w:rPr>
        <w:t>（3）质保期满后，仍有义务提供远程技术服务等支持。</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6A2C30">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6A2C30">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73525F">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6A2C30">
            <w:pPr>
              <w:rPr>
                <w:sz w:val="18"/>
                <w:szCs w:val="18"/>
              </w:rPr>
            </w:pPr>
            <w:r>
              <w:rPr>
                <w:rFonts w:hint="eastAsia"/>
                <w:sz w:val="18"/>
                <w:szCs w:val="18"/>
              </w:rPr>
              <w:t>序号</w:t>
            </w:r>
          </w:p>
        </w:tc>
        <w:tc>
          <w:tcPr>
            <w:tcW w:w="898" w:type="dxa"/>
            <w:vAlign w:val="center"/>
          </w:tcPr>
          <w:p w:rsidR="006A2C30">
            <w:pPr>
              <w:jc w:val="center"/>
              <w:rPr>
                <w:sz w:val="18"/>
                <w:szCs w:val="18"/>
              </w:rPr>
            </w:pPr>
            <w:r>
              <w:rPr>
                <w:rFonts w:hint="eastAsia"/>
                <w:sz w:val="18"/>
                <w:szCs w:val="18"/>
              </w:rPr>
              <w:t>对应</w:t>
            </w:r>
          </w:p>
          <w:p w:rsidR="006A2C30">
            <w:pPr>
              <w:jc w:val="center"/>
              <w:rPr>
                <w:sz w:val="18"/>
                <w:szCs w:val="18"/>
              </w:rPr>
            </w:pPr>
            <w:r>
              <w:rPr>
                <w:rFonts w:hint="eastAsia"/>
                <w:sz w:val="18"/>
                <w:szCs w:val="18"/>
              </w:rPr>
              <w:t>条款号</w:t>
            </w:r>
          </w:p>
        </w:tc>
        <w:tc>
          <w:tcPr>
            <w:tcW w:w="7347" w:type="dxa"/>
            <w:vAlign w:val="center"/>
          </w:tcPr>
          <w:p w:rsidR="006A2C30">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73525F">
        <w:tblPrEx>
          <w:tblW w:w="8789" w:type="dxa"/>
          <w:tblLayout w:type="fixed"/>
          <w:tblLook w:val="04A0"/>
        </w:tblPrEx>
        <w:trPr>
          <w:cantSplit/>
        </w:trPr>
        <w:tc>
          <w:tcPr>
            <w:tcW w:w="8789" w:type="dxa"/>
            <w:gridSpan w:val="3"/>
            <w:vAlign w:val="center"/>
          </w:tcPr>
          <w:p w:rsidR="006A2C30">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73525F">
        <w:tblPrEx>
          <w:tblW w:w="8789" w:type="dxa"/>
          <w:tblLayout w:type="fixed"/>
          <w:tblLook w:val="04A0"/>
        </w:tblPrEx>
        <w:trPr>
          <w:cantSplit/>
        </w:trPr>
        <w:tc>
          <w:tcPr>
            <w:tcW w:w="544" w:type="dxa"/>
            <w:vAlign w:val="center"/>
          </w:tcPr>
          <w:p w:rsidR="006A2C30">
            <w:pPr>
              <w:numPr>
                <w:ilvl w:val="0"/>
                <w:numId w:val="16"/>
              </w:numPr>
              <w:rPr>
                <w:rFonts w:ascii="宋体" w:hAnsi="宋体"/>
                <w:sz w:val="18"/>
                <w:szCs w:val="18"/>
              </w:rPr>
            </w:pPr>
          </w:p>
        </w:tc>
        <w:tc>
          <w:tcPr>
            <w:tcW w:w="898" w:type="dxa"/>
            <w:vAlign w:val="center"/>
          </w:tcPr>
          <w:p w:rsidR="006A2C30">
            <w:pPr>
              <w:jc w:val="center"/>
              <w:rPr>
                <w:rFonts w:ascii="宋体" w:hAnsi="宋体"/>
                <w:sz w:val="18"/>
                <w:szCs w:val="18"/>
              </w:rPr>
            </w:pPr>
          </w:p>
        </w:tc>
        <w:tc>
          <w:tcPr>
            <w:tcW w:w="7347" w:type="dxa"/>
          </w:tcPr>
          <w:p w:rsidR="006A2C30">
            <w:pPr>
              <w:tabs>
                <w:tab w:val="left" w:pos="709"/>
              </w:tabs>
              <w:spacing w:line="360" w:lineRule="auto"/>
              <w:jc w:val="left"/>
              <w:rPr>
                <w:rFonts w:ascii="宋体" w:hAnsi="宋体" w:cs="微软雅黑"/>
                <w:b/>
                <w:color w:val="0000FF"/>
                <w:kern w:val="0"/>
                <w:sz w:val="18"/>
                <w:szCs w:val="18"/>
              </w:rPr>
            </w:pPr>
          </w:p>
        </w:tc>
      </w:tr>
      <w:tr w:rsidTr="0073525F">
        <w:tblPrEx>
          <w:tblW w:w="8789" w:type="dxa"/>
          <w:tblLayout w:type="fixed"/>
          <w:tblLook w:val="04A0"/>
        </w:tblPrEx>
        <w:trPr>
          <w:cantSplit/>
        </w:trPr>
        <w:tc>
          <w:tcPr>
            <w:tcW w:w="8789" w:type="dxa"/>
            <w:gridSpan w:val="3"/>
            <w:vAlign w:val="center"/>
          </w:tcPr>
          <w:p w:rsidR="006A2C30">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73525F">
        <w:tblPrEx>
          <w:tblW w:w="8789" w:type="dxa"/>
          <w:tblLayout w:type="fixed"/>
          <w:tblLook w:val="04A0"/>
        </w:tblPrEx>
        <w:trPr>
          <w:cantSplit/>
        </w:trPr>
        <w:tc>
          <w:tcPr>
            <w:tcW w:w="544" w:type="dxa"/>
            <w:vAlign w:val="center"/>
          </w:tcPr>
          <w:p w:rsidR="006A2C30">
            <w:pPr>
              <w:numPr>
                <w:ilvl w:val="0"/>
                <w:numId w:val="16"/>
              </w:numPr>
              <w:rPr>
                <w:rFonts w:ascii="宋体" w:hAnsi="宋体"/>
                <w:sz w:val="18"/>
                <w:szCs w:val="18"/>
              </w:rPr>
            </w:pPr>
          </w:p>
        </w:tc>
        <w:tc>
          <w:tcPr>
            <w:tcW w:w="898" w:type="dxa"/>
            <w:vAlign w:val="center"/>
          </w:tcPr>
          <w:p w:rsidR="006A2C30">
            <w:pPr>
              <w:jc w:val="center"/>
              <w:rPr>
                <w:rFonts w:ascii="宋体" w:hAnsi="宋体"/>
                <w:sz w:val="18"/>
                <w:szCs w:val="18"/>
              </w:rPr>
            </w:pPr>
            <w:r>
              <w:rPr>
                <w:rFonts w:ascii="宋体" w:hAnsi="宋体" w:hint="eastAsia"/>
                <w:sz w:val="18"/>
                <w:szCs w:val="18"/>
              </w:rPr>
              <w:t>四</w:t>
            </w:r>
          </w:p>
        </w:tc>
        <w:tc>
          <w:tcPr>
            <w:tcW w:w="7347" w:type="dxa"/>
            <w:vAlign w:val="center"/>
          </w:tcPr>
          <w:p w:rsidR="006A2C30" w:rsidP="001B0173">
            <w:pPr>
              <w:tabs>
                <w:tab w:val="left" w:pos="709"/>
              </w:tabs>
              <w:spacing w:line="360" w:lineRule="auto"/>
              <w:jc w:val="left"/>
              <w:rPr>
                <w:rFonts w:ascii="宋体" w:hAnsi="宋体"/>
                <w:sz w:val="18"/>
                <w:szCs w:val="18"/>
              </w:rPr>
            </w:pPr>
            <w:r w:rsidRPr="00A3154E">
              <w:rPr>
                <w:rFonts w:ascii="宋体" w:hAnsi="宋体" w:cs="微软雅黑" w:hint="eastAsia"/>
                <w:b/>
                <w:color w:val="0000FF"/>
                <w:kern w:val="0"/>
                <w:sz w:val="18"/>
                <w:szCs w:val="18"/>
              </w:rPr>
              <w:t>质保期：气溶胶质量浓度观测系统质保期为8年*，从双方签署现场安装测试报告之日起开始计算质保期。</w:t>
            </w:r>
          </w:p>
        </w:tc>
      </w:tr>
    </w:tbl>
    <w:p w:rsidR="006A2C30">
      <w:pPr>
        <w:spacing w:before="156" w:beforeLines="50" w:line="360" w:lineRule="auto"/>
        <w:ind w:firstLine="420"/>
      </w:pPr>
      <w:r>
        <w:rPr>
          <w:rFonts w:ascii="宋体" w:hAnsi="宋体" w:hint="eastAsia"/>
          <w:szCs w:val="21"/>
        </w:rPr>
        <w:t>注：根据项目具体情况，</w:t>
      </w:r>
      <w:r>
        <w:rPr>
          <w:rFonts w:ascii="宋体" w:hAnsi="宋体" w:hint="eastAsia"/>
          <w:szCs w:val="21"/>
        </w:rPr>
        <w:t>对投标人有具体要求，且投标人必须遵守的，逐条列出。</w:t>
      </w:r>
    </w:p>
    <w:p w:rsidR="00A77B3E"/>
    <w:p w:rsidR="006A2C30">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155644">
      <w:pPr>
        <w:numPr>
          <w:ilvl w:val="0"/>
          <w:numId w:val="7"/>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155644">
      <w:pPr>
        <w:spacing w:line="360" w:lineRule="auto"/>
        <w:ind w:left="1680" w:firstLine="420"/>
        <w:jc w:val="left"/>
        <w:rPr>
          <w:b/>
          <w:bCs/>
          <w:szCs w:val="21"/>
        </w:rPr>
      </w:pPr>
      <w:r>
        <w:rPr>
          <w:rFonts w:hint="eastAsia"/>
          <w:b/>
          <w:bCs/>
          <w:szCs w:val="21"/>
        </w:rPr>
        <w:t>必须明确合同金额支付条件及支付比例</w:t>
      </w:r>
    </w:p>
    <w:p w:rsidR="00155644">
      <w:pPr>
        <w:pStyle w:val="BodyText"/>
        <w:spacing w:after="0"/>
        <w:jc w:val="center"/>
        <w:rPr>
          <w:rFonts w:ascii="宋体" w:hAnsi="宋体" w:cs="宋体"/>
          <w:b/>
          <w:bCs/>
          <w:spacing w:val="-20"/>
          <w:kern w:val="44"/>
          <w:sz w:val="48"/>
          <w:szCs w:val="48"/>
        </w:rPr>
      </w:pPr>
      <w:r>
        <w:rPr>
          <w:b/>
          <w:bCs/>
          <w:szCs w:val="21"/>
        </w:rPr>
        <w:br w:type="page"/>
      </w:r>
      <w:bookmarkStart w:id="71" w:name="_Toc3995"/>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155644">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155644">
      <w:pPr>
        <w:rPr>
          <w:rFonts w:ascii="宋体" w:hAnsi="宋体" w:cs="宋体"/>
          <w:b/>
          <w:bCs/>
          <w:spacing w:val="-20"/>
          <w:kern w:val="44"/>
          <w:sz w:val="40"/>
          <w:szCs w:val="40"/>
        </w:rPr>
      </w:pPr>
    </w:p>
    <w:p w:rsidR="00155644">
      <w:pPr>
        <w:rPr>
          <w:rFonts w:ascii="宋体" w:hAnsi="宋体" w:cs="宋体"/>
          <w:b/>
          <w:bCs/>
          <w:spacing w:val="-20"/>
          <w:kern w:val="44"/>
          <w:sz w:val="40"/>
          <w:szCs w:val="40"/>
        </w:rPr>
      </w:pPr>
    </w:p>
    <w:p w:rsidR="00155644">
      <w:pPr>
        <w:rPr>
          <w:rFonts w:ascii="宋体" w:hAnsi="宋体" w:cs="宋体"/>
          <w:b/>
          <w:bCs/>
          <w:spacing w:val="-20"/>
          <w:kern w:val="44"/>
          <w:sz w:val="40"/>
          <w:szCs w:val="40"/>
        </w:rPr>
      </w:pPr>
    </w:p>
    <w:p w:rsidR="00155644">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155644">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155644">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155644">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155644">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155644"/>
    <w:p w:rsidR="00155644">
      <w:pPr>
        <w:rPr>
          <w:rFonts w:eastAsia="黑体"/>
          <w:sz w:val="44"/>
          <w:szCs w:val="44"/>
        </w:rPr>
      </w:pPr>
      <w:r>
        <w:rPr>
          <w:rFonts w:eastAsia="黑体"/>
          <w:sz w:val="44"/>
          <w:szCs w:val="44"/>
        </w:rPr>
        <w:br w:type="page"/>
      </w:r>
    </w:p>
    <w:p w:rsidR="00155644">
      <w:pPr>
        <w:rPr>
          <w:rFonts w:eastAsia="黑体"/>
          <w:sz w:val="44"/>
          <w:szCs w:val="44"/>
        </w:rPr>
      </w:pPr>
    </w:p>
    <w:p w:rsidR="00155644">
      <w:pPr>
        <w:rPr>
          <w:rFonts w:eastAsia="黑体"/>
          <w:sz w:val="44"/>
          <w:szCs w:val="44"/>
        </w:rPr>
      </w:pPr>
    </w:p>
    <w:p w:rsidR="00155644">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155644">
      <w:pPr>
        <w:ind w:firstLine="640" w:firstLineChars="200"/>
        <w:rPr>
          <w:rFonts w:ascii="仿宋_GB2312" w:eastAsia="仿宋_GB2312" w:hAnsi="仿宋_GB2312" w:cs="仿宋_GB2312"/>
          <w:sz w:val="32"/>
          <w:szCs w:val="32"/>
        </w:rPr>
      </w:pPr>
    </w:p>
    <w:p w:rsidR="0015564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155644">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15564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155644">
      <w:pPr>
        <w:rPr>
          <w:rFonts w:eastAsia="黑体"/>
          <w:sz w:val="44"/>
          <w:szCs w:val="44"/>
        </w:rPr>
        <w:sectPr>
          <w:pgSz w:w="11906" w:h="16838"/>
          <w:pgMar w:top="1440" w:right="1800" w:bottom="1440" w:left="1800" w:header="851" w:footer="992" w:gutter="0"/>
          <w:cols w:space="425"/>
          <w:docGrid w:type="lines" w:linePitch="312"/>
        </w:sectPr>
      </w:pPr>
    </w:p>
    <w:p w:rsidR="00155644">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bookmarkEnd w:id="71"/>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2"/>
    </w:p>
    <w:p w:rsidR="00155644">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155644">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155644">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155644">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55644">
      <w:pPr>
        <w:spacing w:line="400" w:lineRule="exact"/>
      </w:pPr>
    </w:p>
    <w:p w:rsidR="00155644">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155644">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155644">
      <w:pPr>
        <w:pStyle w:val="BodyTextIndent"/>
        <w:numPr>
          <w:ilvl w:val="0"/>
          <w:numId w:val="9"/>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155644">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rsidR="00155644">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155644">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155644">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155644">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155644">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155644">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155644">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155644">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155644">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55644">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rsidR="00155644">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rsidR="00155644">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155644">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155644">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155644">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155644">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155644">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55644">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55644">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55644">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155644">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55644">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55644">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155644">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155644">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rsidR="00155644">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155644">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rsidR="00155644">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155644">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155644">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155644">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155644">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155644">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CC2900">
      <w:pPr>
        <w:adjustRightInd w:val="0"/>
        <w:snapToGrid w:val="0"/>
        <w:spacing w:line="400" w:lineRule="exact"/>
        <w:ind w:firstLine="630" w:firstLineChars="300"/>
        <w:rPr>
          <w:rFonts w:ascii="宋体" w:hAnsi="宋体"/>
          <w:b/>
          <w:bCs/>
          <w:szCs w:val="21"/>
          <w:u w:val="single"/>
        </w:rPr>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 xml:space="preserve">  </w:t>
      </w:r>
      <w:r>
        <w:rPr>
          <w:rFonts w:ascii="宋体" w:hAnsi="宋体" w:hint="eastAsia"/>
          <w:b/>
          <w:bCs/>
          <w:szCs w:val="21"/>
          <w:u w:val="single"/>
        </w:rPr>
        <w:t>合同签订生效后，甲方向乙方支付首付款，合同总价的</w:t>
      </w:r>
      <w:r w:rsidR="008D3FF3">
        <w:rPr>
          <w:rFonts w:ascii="宋体" w:hAnsi="宋体"/>
          <w:b/>
          <w:bCs/>
          <w:szCs w:val="21"/>
          <w:u w:val="single"/>
        </w:rPr>
        <w:t>80</w:t>
      </w:r>
      <w:r>
        <w:rPr>
          <w:rFonts w:ascii="宋体" w:hAnsi="宋体" w:hint="eastAsia"/>
          <w:b/>
          <w:bCs/>
          <w:szCs w:val="21"/>
          <w:u w:val="single"/>
        </w:rPr>
        <w:t>%。设备完成验收后，甲方向乙方支付尾款，即合同总价的</w:t>
      </w:r>
      <w:r w:rsidR="008D3FF3">
        <w:rPr>
          <w:rFonts w:ascii="宋体" w:hAnsi="宋体"/>
          <w:b/>
          <w:bCs/>
          <w:szCs w:val="21"/>
          <w:u w:val="single"/>
        </w:rPr>
        <w:t>20</w:t>
      </w:r>
      <w:r>
        <w:rPr>
          <w:rFonts w:ascii="宋体" w:hAnsi="宋体" w:hint="eastAsia"/>
          <w:b/>
          <w:bCs/>
          <w:szCs w:val="21"/>
          <w:u w:val="single"/>
        </w:rPr>
        <w:t xml:space="preserve">% </w:t>
      </w:r>
    </w:p>
    <w:p w:rsidR="00155644">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155644">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155644">
      <w:pPr>
        <w:numPr>
          <w:ilvl w:val="0"/>
          <w:numId w:val="8"/>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155644">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155644">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155644">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155644">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155644">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155644">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155644">
      <w:pPr>
        <w:numPr>
          <w:ilvl w:val="0"/>
          <w:numId w:val="10"/>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155644">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rsidR="00155644">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155644">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155644">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155644">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155644">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155644">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rsidR="00155644">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155644">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155644">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155644">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155644">
      <w:r>
        <w:rPr>
          <w:rFonts w:hint="eastAsia"/>
        </w:rPr>
        <w:br w:type="page"/>
      </w:r>
    </w:p>
    <w:p w:rsidR="00155644">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0"/>
        <w:gridCol w:w="2412"/>
        <w:gridCol w:w="1979"/>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155644">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155644">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法定代表人</w:t>
            </w:r>
          </w:p>
          <w:p w:rsidR="00155644">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法定代表人</w:t>
            </w:r>
          </w:p>
          <w:p w:rsidR="00155644">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155644">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155644">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 政府采购合同通用条款</w:t>
      </w:r>
      <w:bookmarkEnd w:id="73"/>
    </w:p>
    <w:p w:rsidR="00155644">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155644">
      <w:pPr>
        <w:numPr>
          <w:ilvl w:val="0"/>
          <w:numId w:val="11"/>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155644">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155644">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155644">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155644">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155644">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155644">
      <w:pPr>
        <w:numPr>
          <w:ilvl w:val="0"/>
          <w:numId w:val="12"/>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155644">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155644">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w:t>
      </w:r>
      <w:r>
        <w:rPr>
          <w:rFonts w:ascii="宋体" w:hAnsi="宋体" w:hint="eastAsia"/>
          <w:color w:val="000000"/>
          <w:szCs w:val="21"/>
        </w:rPr>
        <w:t>及到具体包装要求的，应不低于《商品包装政府采购需求标准（试行）》《快递包装政府采购需求标准（试行）》标准，并作为履约验收的内容，必要时甲方可以要求乙方在履约验收环节出具检测报告。</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155644">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155644">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155644">
      <w:pPr>
        <w:pStyle w:val="PlainText"/>
        <w:adjustRightInd w:val="0"/>
        <w:snapToGrid w:val="0"/>
        <w:spacing w:line="400" w:lineRule="exact"/>
        <w:ind w:firstLine="420" w:firstLineChars="200"/>
        <w:jc w:val="left"/>
        <w:rPr>
          <w:rFonts w:hAnsi="宋体"/>
          <w:b/>
        </w:rPr>
      </w:pPr>
      <w:r>
        <w:rPr>
          <w:rFonts w:hAnsi="宋体" w:hint="eastAsia"/>
        </w:rPr>
        <w:t>8.1 质量标准</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155644">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155644">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155644">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rPr>
        <w:t>。</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rsidR="00155644">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rsidR="00155644">
      <w:pPr>
        <w:numPr>
          <w:ilvl w:val="1"/>
          <w:numId w:val="13"/>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155644">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155644">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155644">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155644">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155644">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rsidR="00155644">
      <w:pPr>
        <w:adjustRightInd w:val="0"/>
        <w:snapToGrid w:val="0"/>
        <w:spacing w:line="400" w:lineRule="exact"/>
        <w:jc w:val="left"/>
        <w:rPr>
          <w:rFonts w:ascii="宋体" w:hAnsi="宋体"/>
          <w:b/>
          <w:bCs/>
        </w:rPr>
      </w:pPr>
      <w:r>
        <w:rPr>
          <w:rFonts w:ascii="宋体" w:hAnsi="宋体" w:hint="eastAsia"/>
          <w:b/>
          <w:bCs/>
          <w:sz w:val="24"/>
        </w:rPr>
        <w:t>15. 违约责任</w:t>
      </w:r>
    </w:p>
    <w:p w:rsidR="00155644">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155644">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155644">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155644">
      <w:pPr>
        <w:numPr>
          <w:ilvl w:val="0"/>
          <w:numId w:val="14"/>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155644">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155644">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155644">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rsidR="00155644">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155644">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155644">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rsidR="00155644">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155644">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155644">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155644">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155644">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w:t>
      </w:r>
      <w:r>
        <w:rPr>
          <w:rFonts w:ascii="宋体" w:hAnsi="宋体" w:hint="eastAsia"/>
          <w:color w:val="auto"/>
          <w:szCs w:val="21"/>
        </w:rPr>
        <w:t>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155644">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rsidR="00155644">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155644">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155644">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rsidR="00155644">
      <w:pPr>
        <w:pStyle w:val="AONormal"/>
        <w:ind w:firstLine="420"/>
        <w:jc w:val="both"/>
        <w:rPr>
          <w:rFonts w:ascii="宋体" w:eastAsia="宋体" w:hAnsi="宋体" w:cs="宋体"/>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155644">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rsidR="00155644">
      <w:pPr>
        <w:numPr>
          <w:ilvl w:val="0"/>
          <w:numId w:val="15"/>
        </w:numPr>
        <w:adjustRightInd w:val="0"/>
        <w:snapToGrid w:val="0"/>
        <w:spacing w:line="400" w:lineRule="exact"/>
        <w:jc w:val="left"/>
        <w:rPr>
          <w:rFonts w:ascii="宋体" w:hAnsi="宋体"/>
          <w:b/>
          <w:bCs/>
        </w:rPr>
      </w:pPr>
      <w:r>
        <w:rPr>
          <w:rFonts w:ascii="宋体" w:hAnsi="宋体" w:hint="eastAsia"/>
          <w:b/>
          <w:bCs/>
          <w:sz w:val="24"/>
        </w:rPr>
        <w:t>合同未尽事项</w:t>
      </w:r>
    </w:p>
    <w:p w:rsidR="00155644">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155644">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5" w:name="_Toc20313"/>
    </w:p>
    <w:p w:rsidR="00155644">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155644">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snapToGrid w:val="0"/>
              <w:jc w:val="center"/>
            </w:pPr>
            <w:r>
              <w:rPr>
                <w:rFonts w:ascii="宋体" w:hAnsi="宋体" w:hint="eastAsia"/>
                <w:szCs w:val="21"/>
              </w:rPr>
              <w:t>第5.4款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snapToGrid w:val="0"/>
              <w:jc w:val="center"/>
              <w:rPr>
                <w:rFonts w:ascii="宋体" w:hAnsi="宋体"/>
                <w:szCs w:val="21"/>
              </w:rPr>
            </w:pPr>
            <w:r>
              <w:rPr>
                <w:rFonts w:ascii="宋体" w:hAnsi="宋体" w:hint="eastAsia"/>
                <w:szCs w:val="21"/>
              </w:rPr>
              <w:t>第6.1款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155644"/>
        </w:tc>
      </w:tr>
      <w:tr>
        <w:tblPrEx>
          <w:tblW w:w="8519" w:type="dxa"/>
          <w:tblInd w:w="108" w:type="dxa"/>
          <w:tblLayout w:type="fixed"/>
          <w:tblLook w:val="04A0"/>
        </w:tblPrEx>
        <w:trPr>
          <w:trHeight w:val="667"/>
        </w:trPr>
        <w:tc>
          <w:tcPr>
            <w:tcW w:w="1607" w:type="dxa"/>
            <w:vMerge/>
            <w:vAlign w:val="center"/>
          </w:tcPr>
          <w:p w:rsidR="00155644">
            <w:pPr>
              <w:adjustRightInd w:val="0"/>
              <w:snapToGrid w:val="0"/>
              <w:jc w:val="center"/>
              <w:rPr>
                <w:rFonts w:ascii="宋体" w:hAnsi="宋体"/>
                <w:szCs w:val="21"/>
              </w:rPr>
            </w:pPr>
          </w:p>
        </w:tc>
        <w:tc>
          <w:tcPr>
            <w:tcW w:w="1742" w:type="dxa"/>
            <w:vAlign w:val="center"/>
          </w:tcPr>
          <w:p w:rsidR="00155644">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155644"/>
        </w:tc>
      </w:tr>
      <w:tr>
        <w:tblPrEx>
          <w:tblW w:w="8519" w:type="dxa"/>
          <w:tblInd w:w="108" w:type="dxa"/>
          <w:tblLayout w:type="fixed"/>
          <w:tblLook w:val="04A0"/>
        </w:tblPrEx>
        <w:trPr>
          <w:trHeight w:val="772"/>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155644"/>
        </w:tc>
      </w:tr>
      <w:tr>
        <w:tblPrEx>
          <w:tblW w:w="8519" w:type="dxa"/>
          <w:tblInd w:w="108" w:type="dxa"/>
          <w:tblLayout w:type="fixed"/>
          <w:tblLook w:val="04A0"/>
        </w:tblPrEx>
        <w:trPr>
          <w:trHeight w:val="66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155644"/>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155644">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货物质量缺陷</w:t>
            </w:r>
          </w:p>
          <w:p w:rsidR="00155644">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snapToGrid w:val="0"/>
              <w:jc w:val="center"/>
              <w:rPr>
                <w:rFonts w:ascii="宋体" w:hAnsi="宋体" w:cs="宋体"/>
                <w:szCs w:val="21"/>
              </w:rPr>
            </w:pPr>
            <w:r>
              <w:rPr>
                <w:rFonts w:ascii="宋体" w:hAnsi="宋体" w:cs="宋体" w:hint="eastAsia"/>
                <w:szCs w:val="21"/>
              </w:rPr>
              <w:t>第二节</w:t>
            </w:r>
          </w:p>
          <w:p w:rsidR="00155644">
            <w:pPr>
              <w:pStyle w:val="AONormal"/>
              <w:ind w:firstLine="0" w:firstLineChars="0"/>
              <w:jc w:val="center"/>
            </w:pPr>
            <w:r>
              <w:rPr>
                <w:rFonts w:ascii="宋体" w:eastAsia="宋体" w:hAnsi="宋体" w:cs="宋体" w:hint="eastAsia"/>
              </w:rPr>
              <w:t>第11.1款</w:t>
            </w:r>
          </w:p>
        </w:tc>
        <w:tc>
          <w:tcPr>
            <w:tcW w:w="1742" w:type="dxa"/>
            <w:vAlign w:val="center"/>
          </w:tcPr>
          <w:p w:rsidR="00155644">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155644">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155644">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15564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15564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155644">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rsidR="00155644">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155644">
            <w:pPr>
              <w:adjustRightInd w:val="0"/>
              <w:snapToGrid w:val="0"/>
              <w:jc w:val="left"/>
              <w:rPr>
                <w:rFonts w:ascii="宋体" w:hAnsi="宋体"/>
                <w:szCs w:val="21"/>
              </w:rPr>
            </w:pPr>
          </w:p>
        </w:tc>
      </w:tr>
    </w:tbl>
    <w:p w:rsidR="00155644"/>
    <w:p w:rsidR="00155644">
      <w:pPr>
        <w:rPr>
          <w:b/>
          <w:bCs/>
          <w:sz w:val="44"/>
          <w:szCs w:val="44"/>
        </w:rPr>
      </w:pPr>
    </w:p>
    <w:p w:rsidR="00155644"/>
    <w:p w:rsidR="00A77B3E"/>
    <w:p w:rsidR="00155644">
      <w:pPr>
        <w:numPr>
          <w:ilvl w:val="0"/>
          <w:numId w:val="7"/>
        </w:numPr>
        <w:spacing w:line="360" w:lineRule="auto"/>
        <w:ind w:firstLine="3066" w:firstLineChars="1460"/>
        <w:jc w:val="left"/>
        <w:rPr>
          <w:b/>
          <w:bCs/>
          <w:szCs w:val="21"/>
        </w:rPr>
      </w:pPr>
      <w:bookmarkEnd w:id="70"/>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59E31B3B"/>
    <w:multiLevelType w:val="multilevel"/>
    <w:tmpl w:val="59E31B3B"/>
    <w:lvl w:ilvl="0">
      <w:start w:val="1"/>
      <w:numFmt w:val="decimalZero"/>
      <w:lvlText w:val="%1."/>
      <w:lvlJc w:val="left"/>
      <w:pPr>
        <w:ind w:left="440" w:hanging="440"/>
      </w:pPr>
      <w:rPr>
        <w:rFonts w:hint="eastAsia"/>
        <w:vertAlign w:val="baseline"/>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
    <w:nsid w:val="653E5AC9"/>
    <w:multiLevelType w:val="multilevel"/>
    <w:tmpl w:val="653E5AC9"/>
    <w:lvl w:ilvl="0">
      <w:start w:val="1"/>
      <w:numFmt w:val="bullet"/>
      <w:lvlText w:val=""/>
      <w:lvlJc w:val="left"/>
      <w:pPr>
        <w:ind w:left="562" w:hanging="420"/>
      </w:pPr>
      <w:rPr>
        <w:rFonts w:ascii="Wingdings" w:hAnsi="Wingdings" w:hint="default"/>
      </w:rPr>
    </w:lvl>
    <w:lvl w:ilvl="1">
      <w:start w:val="1"/>
      <w:numFmt w:val="bullet"/>
      <w:lvlText w:val=""/>
      <w:lvlJc w:val="left"/>
      <w:pPr>
        <w:ind w:left="982" w:hanging="420"/>
      </w:pPr>
      <w:rPr>
        <w:rFonts w:ascii="Wingdings" w:hAnsi="Wingdings" w:hint="default"/>
      </w:rPr>
    </w:lvl>
    <w:lvl w:ilvl="2">
      <w:start w:val="1"/>
      <w:numFmt w:val="bullet"/>
      <w:lvlText w:val=""/>
      <w:lvlJc w:val="left"/>
      <w:pPr>
        <w:ind w:left="1402" w:hanging="420"/>
      </w:pPr>
      <w:rPr>
        <w:rFonts w:ascii="Wingdings" w:hAnsi="Wingdings" w:hint="default"/>
      </w:rPr>
    </w:lvl>
    <w:lvl w:ilvl="3">
      <w:start w:val="1"/>
      <w:numFmt w:val="bullet"/>
      <w:lvlText w:val=""/>
      <w:lvlJc w:val="left"/>
      <w:pPr>
        <w:ind w:left="1822" w:hanging="420"/>
      </w:pPr>
      <w:rPr>
        <w:rFonts w:ascii="Wingdings" w:hAnsi="Wingdings" w:hint="default"/>
      </w:rPr>
    </w:lvl>
    <w:lvl w:ilvl="4">
      <w:start w:val="1"/>
      <w:numFmt w:val="bullet"/>
      <w:lvlText w:val=""/>
      <w:lvlJc w:val="left"/>
      <w:pPr>
        <w:ind w:left="2242" w:hanging="420"/>
      </w:pPr>
      <w:rPr>
        <w:rFonts w:ascii="Wingdings" w:hAnsi="Wingdings" w:hint="default"/>
      </w:rPr>
    </w:lvl>
    <w:lvl w:ilvl="5">
      <w:start w:val="1"/>
      <w:numFmt w:val="bullet"/>
      <w:lvlText w:val=""/>
      <w:lvlJc w:val="left"/>
      <w:pPr>
        <w:ind w:left="2662" w:hanging="420"/>
      </w:pPr>
      <w:rPr>
        <w:rFonts w:ascii="Wingdings" w:hAnsi="Wingdings" w:hint="default"/>
      </w:rPr>
    </w:lvl>
    <w:lvl w:ilvl="6">
      <w:start w:val="1"/>
      <w:numFmt w:val="bullet"/>
      <w:lvlText w:val=""/>
      <w:lvlJc w:val="left"/>
      <w:pPr>
        <w:ind w:left="3082" w:hanging="420"/>
      </w:pPr>
      <w:rPr>
        <w:rFonts w:ascii="Wingdings" w:hAnsi="Wingdings" w:hint="default"/>
      </w:rPr>
    </w:lvl>
    <w:lvl w:ilvl="7">
      <w:start w:val="1"/>
      <w:numFmt w:val="bullet"/>
      <w:lvlText w:val=""/>
      <w:lvlJc w:val="left"/>
      <w:pPr>
        <w:ind w:left="3502" w:hanging="420"/>
      </w:pPr>
      <w:rPr>
        <w:rFonts w:ascii="Wingdings" w:hAnsi="Wingdings" w:hint="default"/>
      </w:rPr>
    </w:lvl>
    <w:lvl w:ilvl="8">
      <w:start w:val="1"/>
      <w:numFmt w:val="bullet"/>
      <w:lvlText w:val=""/>
      <w:lvlJc w:val="left"/>
      <w:pPr>
        <w:ind w:left="3922" w:hanging="420"/>
      </w:pPr>
      <w:rPr>
        <w:rFonts w:ascii="Wingdings" w:hAnsi="Wingdings" w:hint="default"/>
      </w:rPr>
    </w:lvl>
  </w:abstractNum>
  <w:abstractNum w:abstractNumId="15">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3"/>
  </w:num>
  <w:num w:numId="6">
    <w:abstractNumId w:val="14"/>
  </w:num>
  <w:num w:numId="7">
    <w:abstractNumId w:val="12"/>
  </w:num>
  <w:num w:numId="8">
    <w:abstractNumId w:val="15"/>
  </w:num>
  <w:num w:numId="9">
    <w:abstractNumId w:val="1"/>
  </w:num>
  <w:num w:numId="10">
    <w:abstractNumId w:val="5"/>
  </w:num>
  <w:num w:numId="11">
    <w:abstractNumId w:val="3"/>
  </w:num>
  <w:num w:numId="12">
    <w:abstractNumId w:val="2"/>
  </w:num>
  <w:num w:numId="13">
    <w:abstractNumId w:val="11"/>
  </w:num>
  <w:num w:numId="14">
    <w:abstractNumId w:val="0"/>
  </w:num>
  <w:num w:numId="15">
    <w:abstractNumId w:val="4"/>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5644"/>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173"/>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71A"/>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4212"/>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2C30"/>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25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0874"/>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3FF3"/>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1AA"/>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54E"/>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5AF5"/>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245E"/>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2900"/>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0231"/>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14">
    <w:name w:val="列表段落1"/>
    <w:basedOn w:val="Normal"/>
    <w:qFormat/>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