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2026年规划财务司财会监督检查</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ZQCD-26148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中国气象局规划财务司</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2026年规划财务司财会监督检查</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ZQCD-26148</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5</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合同签订后60天内交付报告</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中国气象局</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2026年07月20日 00:00:00</w:t>
      </w:r>
      <w:bookmarkEnd w:id="26"/>
      <w:r>
        <w:rPr>
          <w:rFonts w:ascii="宋体" w:hint="eastAsia"/>
          <w:szCs w:val="21"/>
          <w:highlight w:val="none"/>
        </w:rPr>
        <w:t>至</w:t>
      </w:r>
      <w:bookmarkStart w:id="27" w:name="项目公告_signUpLastTime"/>
      <w:r>
        <w:rPr>
          <w:rFonts w:ascii="宋体" w:hint="eastAsia"/>
          <w:szCs w:val="21"/>
          <w:highlight w:val="none"/>
        </w:rPr>
        <w:t>2026年07月27日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2026年08月11日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中国气象局规划财务司</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程林</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010-68406582</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北京市海淀区中关村南大街46号北区一号楼</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中国气象局规划财务司</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投标人须提供有效期内国家注册会计师行业主管部门颁发的《会计师事务所执业证书》</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6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5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r>
              <w:rPr>
                <w:rFonts w:ascii="宋体" w:hAnsi="宋体" w:cs="微软雅黑" w:hint="eastAsia"/>
                <w:kern w:val="0"/>
                <w:szCs w:val="21"/>
                <w:highlight w:val="none"/>
              </w:rPr>
              <w:t>无</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属于租赁和商务服务业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是，代理服务费：0.0万元。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65.000000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18.000000 万元,包 2 采购预算(或最高限价)为人民币 17.000000 万元,包 3 采购预算(或最高限价)为人民币 10.000000 万元,包 4 采购预算(或最高限价)为人民币 10.000000 万元,包 5 采购预算(或最高限价)为人民币 10.000000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1、本项目为5个采购包，投标人可投递其中一包，也可同时分别投递多包。在投递多包时，如所投不同包的服务团队驻场人员无重复，可兼投兼中。2、在投递多包时，如所投不同包的服务团队驻场人员有重复，则涉及重复的包兼投不兼中。即：涉及重复的包如有多包中标，投标人只能选择包号顺序最靠前的包中标，其余包视同放弃中标。</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2"/>
        <w:gridCol w:w="249"/>
        <w:gridCol w:w="1026"/>
        <w:gridCol w:w="249"/>
        <w:gridCol w:w="732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投标价格</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投标人实力（客观分）</w:t>
            </w:r>
          </w:p>
        </w:tc>
        <w:tc>
          <w:tcPr/>
          <w:p>
            <w:r>
              <w:t>勾选打分</w:t>
            </w:r>
            <w:r>
              <w:t>(5)</w:t>
            </w:r>
          </w:p>
        </w:tc>
        <w:tc>
          <w:tcPr/>
          <w:p>
            <w:r>
              <w:t>评审标准：</w:t>
            </w:r>
          </w:p>
          <w:p>
            <w:r>
              <w:t>投标人近3年内在中注协年度检查中没有重大违规记录得5分。</w:t>
            </w:r>
          </w:p>
          <w:p>
            <w:r>
              <w:t>评审标准说明：</w:t>
            </w:r>
          </w:p>
          <w:p>
            <w:r>
              <w:t>提供投标人法人代表签署并加盖投标人公章的书面声明或承诺函（格式自拟）。</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区间打分</w:t>
            </w:r>
            <w:r>
              <w:t>(16)</w:t>
            </w:r>
          </w:p>
        </w:tc>
        <w:tc>
          <w:tcPr/>
          <w:p>
            <w:r>
              <w:t>评审标准：</w:t>
            </w:r>
          </w:p>
          <w:p>
            <w:r>
              <w:t>每提供1份合同得4分，最多得16分。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3、合同标的必须包括中央行政事业单位的财会监督检查（或审计或财务绩效评价）等与本项目类似的服务内容。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服务团队（客观分）</w:t>
            </w:r>
          </w:p>
        </w:tc>
        <w:tc>
          <w:tcPr/>
          <w:p>
            <w:r>
              <w:t>区间打分</w:t>
            </w:r>
            <w:r>
              <w:t>(26)</w:t>
            </w:r>
          </w:p>
        </w:tc>
        <w:tc>
          <w:tcPr/>
          <w:p>
            <w:r>
              <w:t>评审标准：</w:t>
            </w:r>
          </w:p>
          <w:p>
            <w:r>
              <w:t>投标人应组成本项目服务团队，团队组织结构清晰，应设服务团队负责人（项目经理）和现场负责人各1人，人员专业背景齐全。具体如下：</w:t>
              <w:cr/>
              <w:t>1、服务团队人员不少于6人的，且驻场人员不少于5人的，得4分。</w:t>
              <w:cr/>
              <w:t>2、项目经理具有注册会计师资格证书，具有至少5年以上审计工作经历，具有至少10个中央行政事业单位财会监督检查或审计项目经历，完全满足得5分，否则不得分。</w:t>
              <w:cr/>
              <w:t>3、现场负责人必须驻场，具有注册会计师证书，具有至少3年以上审计工作经历，具有至少5个中央行政事业单位财会监督检查或审计项目经历，完全满足得5分，否则不得分。</w:t>
              <w:cr/>
              <w:t>4、除服务团队负责人和现场负责人外，团队成员中每有1人具有注册会计师资格证书得2分，最高得4分。</w:t>
              <w:cr/>
              <w:t>5、团队成员中每有一人具有注册资产评估师（CVA）或内部控制评价师或造价工程师的，得2分，最高得4分。</w:t>
              <w:cr/>
              <w:t>6、投标人承诺服务团队人员在服务期间不得随意更换，如确需更换须经采购单位书面同意的，得4分。</w:t>
            </w:r>
          </w:p>
          <w:p>
            <w:r>
              <w:t>评审标准说明：</w:t>
            </w:r>
          </w:p>
          <w:p>
            <w:r>
              <w:t>须提供相关承诺、投几包列出几个服务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5</w:t>
            </w:r>
          </w:p>
        </w:tc>
        <w:tc>
          <w:tcPr>
            <w:vMerge w:val="restart"/>
          </w:tcPr>
          <w:p>
            <w:r>
              <w:t>服务部分</w:t>
            </w:r>
          </w:p>
        </w:tc>
        <w:tc>
          <w:tcPr/>
          <w:p>
            <w:r>
              <w:t>项目需求理解及实施方案（主观分）</w:t>
            </w:r>
          </w:p>
        </w:tc>
        <w:tc>
          <w:tcPr/>
          <w:p>
            <w:r>
              <w:t>勾选打分</w:t>
            </w:r>
            <w:r>
              <w:t>(4)</w:t>
            </w:r>
          </w:p>
        </w:tc>
        <w:tc>
          <w:tcPr/>
          <w:p>
            <w:r>
              <w:t>评审标准：</w:t>
            </w:r>
          </w:p>
          <w:p>
            <w:r>
              <w:t>一档0分</w:t>
              <w:cr/>
              <w:t>二档1分</w:t>
              <w:cr/>
              <w:t>三档2分</w:t>
              <w:cr/>
              <w:t>四档4分</w:t>
            </w:r>
          </w:p>
          <w:p>
            <w:r>
              <w:t>评审标准说明：</w:t>
            </w:r>
          </w:p>
          <w:p>
            <w:r>
              <w:t>供应商结合项目需求分析提交详细的《项目实施方案》，明确工作安排、人员分工、进度节点及成果形式。具体评分标准如下：</w:t>
              <w:cr/>
              <w:t>一档：未提供项目实施方案。</w:t>
              <w:cr/>
              <w:t>二档：提供项目实施方案，但方案内容不完整，对项目范围和内容及用户总体需求理解有一定偏差，描述简单。</w:t>
              <w:cr/>
              <w:t>三档：提供项目实施方案，内容完整，对项目范围和内容及用户总体需求分析无偏差，但描述简单、不清晰。</w:t>
              <w:cr/>
              <w:t>四档：提供项目实施方案，内容完整，对项目范围和内容及用户总体需求分析无偏差，描述详实、清晰。</w:t>
            </w:r>
          </w:p>
          <w:p/>
        </w:tc>
      </w:tr>
      <w:tr>
        <w:tblPrEx>
          <w:tblW w:w="5000" w:type="pct"/>
          <w:tblCellMar>
            <w:left w:w="108" w:type="dxa"/>
            <w:right w:w="108" w:type="dxa"/>
          </w:tblCellMar>
        </w:tblPrEx>
        <w:tc>
          <w:tcPr/>
          <w:p>
            <w:r>
              <w:t>6</w:t>
            </w:r>
          </w:p>
        </w:tc>
        <w:tc>
          <w:tcPr>
            <w:vMerge/>
          </w:tcPr>
          <w:p>
            <w:r>
              <w:t>服务部分</w:t>
            </w:r>
          </w:p>
        </w:tc>
        <w:tc>
          <w:tcPr/>
          <w:p>
            <w:r>
              <w:t>总体服务方案（主观分）</w:t>
            </w:r>
          </w:p>
        </w:tc>
        <w:tc>
          <w:tcPr/>
          <w:p>
            <w:r>
              <w:t>勾选打分</w:t>
            </w:r>
            <w:r>
              <w:t>(5)</w:t>
            </w:r>
          </w:p>
        </w:tc>
        <w:tc>
          <w:tcPr/>
          <w:p>
            <w:r>
              <w:t>评审标准：</w:t>
            </w:r>
          </w:p>
          <w:p>
            <w:r>
              <w:t>一档0分</w:t>
              <w:cr/>
              <w:t>二档1分</w:t>
              <w:cr/>
              <w:t>三档3分</w:t>
              <w:cr/>
              <w:t>四档5分</w:t>
            </w:r>
          </w:p>
          <w:p>
            <w:r>
              <w:t>评审标准说明：</w:t>
            </w:r>
          </w:p>
          <w:p>
            <w:r>
              <w:t>对项目检查范围覆盖全面，工作步骤合理，时间安排可行，成果交付清晰；检查方法科学合理，能结合项目特点提出有针对性的检查策略；方案中应阐述问题定性、成因分析、证据整理的工作方法，以及报告撰写和质量控制的标准流程。要说明如何实现对预决算管理、政府采购、三公经费、项目管理等方面的检查路径，如何保证问题定性准确、证据充分。</w:t>
              <w:cr/>
              <w:t>根据投标人提供总体服务方案进行评分。具体评分标准如下：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7</w:t>
            </w:r>
          </w:p>
        </w:tc>
        <w:tc>
          <w:tcPr>
            <w:vMerge/>
          </w:tcPr>
          <w:p>
            <w:r>
              <w:t>服务部分</w:t>
            </w:r>
          </w:p>
        </w:tc>
        <w:tc>
          <w:tcPr/>
          <w:p>
            <w:r>
              <w:t>"习惯过紧日子"落实情况检查服务方案（主观分）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根据投标人提供"习惯过紧日子"落实情况检查服务方案进行评分。具体评分标准如下：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8</w:t>
            </w:r>
          </w:p>
        </w:tc>
        <w:tc>
          <w:tcPr>
            <w:vMerge/>
          </w:tcPr>
          <w:p>
            <w:r>
              <w:t>服务部分</w:t>
            </w:r>
          </w:p>
        </w:tc>
        <w:tc>
          <w:tcPr/>
          <w:p>
            <w:r>
              <w:t>预算执行与财务收支检查服务方案（主观分）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根据投标人提供预算执行与财务收支检查服务方案进行评分。具体评分标准如下：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9</w:t>
            </w:r>
          </w:p>
        </w:tc>
        <w:tc>
          <w:tcPr>
            <w:vMerge/>
          </w:tcPr>
          <w:p>
            <w:r>
              <w:t>服务部分</w:t>
            </w:r>
          </w:p>
        </w:tc>
        <w:tc>
          <w:tcPr/>
          <w:p>
            <w:r>
              <w:t>政府采购合规性检查服务方案（主观分）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根据投标人提供政府采购合规性检查服务方案进行评分。具体评分标准如下：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10</w:t>
            </w:r>
          </w:p>
        </w:tc>
        <w:tc>
          <w:tcPr>
            <w:vMerge/>
          </w:tcPr>
          <w:p>
            <w:r>
              <w:t>服务部分</w:t>
            </w:r>
          </w:p>
        </w:tc>
        <w:tc>
          <w:tcPr/>
          <w:p>
            <w:r>
              <w:t>国有资产管理检查服务方案（主观分）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根据投标人提供国有资产管理检查服务方案进行评分。具体评分标准如下：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11</w:t>
            </w:r>
          </w:p>
        </w:tc>
        <w:tc>
          <w:tcPr>
            <w:vMerge/>
          </w:tcPr>
          <w:p>
            <w:r>
              <w:t>服务部分</w:t>
            </w:r>
          </w:p>
        </w:tc>
        <w:tc>
          <w:tcPr/>
          <w:p>
            <w:r>
              <w:t>内部控制与风险管理检查服务方案（主观分）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根据投标人提供内部控制与风险管理检查服务方案进行评分。具体评分标准如下：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12</w:t>
            </w:r>
          </w:p>
        </w:tc>
        <w:tc>
          <w:tcPr>
            <w:vMerge/>
          </w:tcPr>
          <w:p>
            <w:r>
              <w:t>服务部分</w:t>
            </w:r>
          </w:p>
        </w:tc>
        <w:tc>
          <w:tcPr/>
          <w:p>
            <w:r>
              <w:t>项目全过程跟踪检查服务方案（主观分）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根据投标人提供项目全过程跟踪检查服务方案进行评分。具体评分标准如下：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13</w:t>
            </w:r>
          </w:p>
        </w:tc>
        <w:tc>
          <w:tcPr>
            <w:vMerge/>
          </w:tcPr>
          <w:p>
            <w:r>
              <w:t>服务部分</w:t>
            </w:r>
          </w:p>
        </w:tc>
        <w:tc>
          <w:tcPr/>
          <w:p>
            <w:r>
              <w:t>质量保障方案（主观分）</w:t>
            </w:r>
          </w:p>
        </w:tc>
        <w:tc>
          <w:tcPr/>
          <w:p>
            <w:r>
              <w:t>勾选打分</w:t>
            </w:r>
            <w:r>
              <w:t>(4)</w:t>
            </w:r>
          </w:p>
        </w:tc>
        <w:tc>
          <w:tcPr/>
          <w:p>
            <w:r>
              <w:t>评审标准：</w:t>
            </w:r>
          </w:p>
          <w:p>
            <w:r>
              <w:t>一档0分</w:t>
              <w:cr/>
              <w:t>二档1分</w:t>
              <w:cr/>
              <w:t>三档2分</w:t>
              <w:cr/>
              <w:t>四档4分</w:t>
            </w:r>
          </w:p>
          <w:p>
            <w:r>
              <w:t>评审标准说明：</w:t>
            </w:r>
          </w:p>
          <w:p>
            <w:r>
              <w:t>提供质量保障方案，提出合理的项目全过程质量保证措施，过程检查有明确依据，质量保证工作量化。</w:t>
              <w:cr/>
              <w:t>一档：未提供方案；</w:t>
              <w:cr/>
              <w:t>二档：方案不完整，无针对性，合理性、可行性差；</w:t>
              <w:cr/>
              <w:t>三档：方案内容较完整，但详细程度一般，质量保证措施针对性、合理性、可行性一般。</w:t>
              <w:cr/>
              <w:t>四档：方案内容完整详实，项目组织机构清晰，质量保证措施针对性</w:t>
            </w:r>
          </w:p>
          <w:p/>
        </w:tc>
      </w:tr>
    </w:tbl>
    <w:p w:rsidR="00A77B3E">
      <w:r>
        <w:t xml:space="preserve">      </w:t>
      </w:r>
    </w:p>
    <w:p w:rsidR="00A77B3E"/>
    <w:p w:rsidR="00A77B3E">
      <w:bookmarkEnd w:id="57"/>
    </w:p>
    <w:p>
      <w:pPr>
        <w:spacing w:before="120" w:after="80"/>
        <w:jc w:val="center"/>
        <w:rPr>
          <w:rFonts w:ascii="方正小标宋简体" w:eastAsia="方正小标宋简体" w:hAnsi="方正小标宋简体"/>
          <w:b/>
          <w:sz w:val="36"/>
        </w:rPr>
      </w:pPr>
      <w:r>
        <w:rPr>
          <w:bCs/>
          <w:szCs w:val="21"/>
          <w:highlight w:val="none"/>
        </w:rPr>
        <w:br w:type="page"/>
      </w:r>
      <w:bookmarkStart w:id="58" w:name="插入_采购需求书"/>
      <w:r>
        <w:rPr>
          <w:rFonts w:ascii="方正小标宋简体" w:eastAsia="方正小标宋简体" w:hAnsi="方正小标宋简体" w:hint="eastAsia"/>
          <w:b/>
          <w:sz w:val="36"/>
          <w:lang w:eastAsia="zh-CN"/>
        </w:rPr>
        <w:t>第七章  采购</w:t>
      </w:r>
      <w:r>
        <w:rPr>
          <w:rFonts w:ascii="方正小标宋简体" w:eastAsia="方正小标宋简体" w:hAnsi="方正小标宋简体"/>
          <w:b/>
          <w:sz w:val="36"/>
          <w:lang w:eastAsia="zh-CN"/>
        </w:rPr>
        <w:t>需求</w:t>
      </w:r>
    </w:p>
    <w:p>
      <w:pPr>
        <w:spacing w:before="120" w:after="80"/>
        <w:jc w:val="center"/>
        <w:rPr>
          <w:rFonts w:ascii="方正小标宋简体" w:eastAsia="方正小标宋简体" w:hAnsi="方正小标宋简体"/>
          <w:b/>
          <w:sz w:val="36"/>
        </w:rPr>
      </w:pPr>
    </w:p>
    <w:p>
      <w:pPr>
        <w:spacing w:before="120" w:after="80" w:line="400" w:lineRule="exact"/>
      </w:pPr>
      <w:r>
        <w:rPr>
          <w:rFonts w:ascii="黑体" w:eastAsia="黑体" w:hAnsi="黑体"/>
          <w:b/>
          <w:sz w:val="28"/>
          <w:lang w:eastAsia="zh-CN"/>
        </w:rPr>
        <w:t>一、采购背景与目的</w:t>
      </w:r>
    </w:p>
    <w:p>
      <w:pPr>
        <w:spacing w:before="40" w:after="40" w:line="400" w:lineRule="exact"/>
        <w:ind w:firstLine="480"/>
      </w:pPr>
      <w:r>
        <w:rPr>
          <w:rFonts w:ascii="仿宋_GB2312" w:eastAsia="仿宋_GB2312" w:hAnsi="仿宋_GB2312"/>
          <w:sz w:val="24"/>
          <w:lang w:eastAsia="zh-CN"/>
        </w:rPr>
        <w:t>为贯彻落实《关于</w:t>
      </w:r>
      <w:r>
        <w:rPr>
          <w:rFonts w:ascii="仿宋_GB2312" w:eastAsia="仿宋_GB2312" w:hAnsi="仿宋_GB2312" w:hint="eastAsia"/>
          <w:sz w:val="24"/>
          <w:lang w:eastAsia="zh-CN"/>
        </w:rPr>
        <w:t>进一步</w:t>
      </w:r>
      <w:r>
        <w:rPr>
          <w:rFonts w:ascii="仿宋_GB2312" w:eastAsia="仿宋_GB2312" w:hAnsi="仿宋_GB2312"/>
          <w:sz w:val="24"/>
          <w:lang w:eastAsia="zh-CN"/>
        </w:rPr>
        <w:t>加强财会监督工作的意</w:t>
      </w:r>
      <w:r>
        <w:rPr>
          <w:rFonts w:ascii="仿宋_GB2312" w:eastAsia="仿宋_GB2312" w:hAnsi="仿宋_GB2312"/>
          <w:sz w:val="24"/>
          <w:lang w:eastAsia="zh-CN"/>
        </w:rPr>
        <w:t>见》切实履行单位财会监督职责，提升财务管理水平和合规性，本单位拟通过政府采购方式引进具备专业资质、熟悉气象部门行业特点和实践经验的会计师事务所，开展2026年度财会监督检查服务。</w:t>
      </w:r>
    </w:p>
    <w:p>
      <w:pPr>
        <w:spacing w:before="40" w:after="40" w:line="400" w:lineRule="exact"/>
        <w:ind w:firstLine="480"/>
      </w:pPr>
      <w:r>
        <w:rPr>
          <w:rFonts w:ascii="仿宋_GB2312" w:eastAsia="仿宋_GB2312" w:hAnsi="仿宋_GB2312"/>
          <w:sz w:val="24"/>
          <w:lang w:eastAsia="zh-CN"/>
        </w:rPr>
        <w:t>本次采购旨在通过第三方专业机构的独立检查，客观评估本单位及所属单位财务管理现状，发现潜在风险隐患，提出改进建议，推动建立健全内部控制体系，保障国有资产安全完整，提升财政资金使用效益。</w:t>
      </w:r>
    </w:p>
    <w:p>
      <w:pPr>
        <w:spacing w:before="120" w:after="80" w:line="400" w:lineRule="exact"/>
      </w:pPr>
      <w:r>
        <w:rPr>
          <w:rFonts w:ascii="黑体" w:eastAsia="黑体" w:hAnsi="黑体" w:hint="eastAsia"/>
          <w:b/>
          <w:sz w:val="28"/>
          <w:lang w:eastAsia="zh-CN"/>
        </w:rPr>
        <w:t>二</w:t>
      </w:r>
      <w:r>
        <w:rPr>
          <w:rFonts w:ascii="黑体" w:eastAsia="黑体" w:hAnsi="黑体"/>
          <w:b/>
          <w:sz w:val="28"/>
          <w:lang w:eastAsia="zh-CN"/>
        </w:rPr>
        <w:t>、检查服务范围</w:t>
      </w:r>
    </w:p>
    <w:p>
      <w:pPr>
        <w:spacing w:before="40" w:after="40" w:line="400" w:lineRule="exact"/>
        <w:ind w:firstLine="480"/>
      </w:pPr>
      <w:r>
        <w:rPr>
          <w:rFonts w:ascii="仿宋_GB2312" w:eastAsia="仿宋_GB2312" w:hAnsi="仿宋_GB2312"/>
          <w:sz w:val="24"/>
          <w:lang w:eastAsia="zh-CN"/>
        </w:rPr>
        <w:t>本次财会监督检查涵盖以下五个方面，供应商须对全部模块提供完整服务，不得拆分承包。</w:t>
      </w:r>
    </w:p>
    <w:p>
      <w:pPr>
        <w:spacing w:before="120" w:after="80" w:line="400" w:lineRule="exact"/>
      </w:pPr>
      <w:r>
        <w:rPr>
          <w:rFonts w:ascii="黑体" w:eastAsia="黑体" w:hAnsi="黑体"/>
          <w:b/>
          <w:sz w:val="26"/>
          <w:lang w:eastAsia="zh-CN"/>
        </w:rPr>
        <w:t>（一）预算执行与财务收支检查</w:t>
      </w:r>
    </w:p>
    <w:p>
      <w:pPr>
        <w:spacing w:line="400" w:lineRule="exact"/>
        <w:ind w:firstLine="480"/>
      </w:pPr>
      <w:r>
        <w:rPr>
          <w:rFonts w:ascii="仿宋_GB2312" w:eastAsia="仿宋_GB2312" w:hAnsi="仿宋_GB2312"/>
          <w:b/>
          <w:sz w:val="24"/>
          <w:lang w:eastAsia="zh-CN"/>
        </w:rPr>
        <w:t>1. 预算编制科学性检查：</w:t>
      </w:r>
      <w:r>
        <w:rPr>
          <w:rFonts w:ascii="仿宋_GB2312" w:eastAsia="仿宋_GB2312" w:hAnsi="仿宋_GB2312"/>
          <w:sz w:val="24"/>
          <w:lang w:eastAsia="zh-CN"/>
        </w:rPr>
        <w:t>检查年度预算编制是否符合《预算法》《政府会计制度》《事业单位财务规则》等相关规定，预算编制依据是否充分、测算是否科学，是否存在虚报、多报、重报、测算依据不足等问题。</w:t>
      </w:r>
    </w:p>
    <w:p>
      <w:pPr>
        <w:spacing w:line="400" w:lineRule="exact"/>
        <w:ind w:firstLine="480"/>
      </w:pPr>
      <w:r>
        <w:rPr>
          <w:rFonts w:ascii="仿宋_GB2312" w:eastAsia="仿宋_GB2312" w:hAnsi="仿宋_GB2312"/>
          <w:b/>
          <w:sz w:val="24"/>
          <w:lang w:eastAsia="zh-CN"/>
        </w:rPr>
        <w:t>2. 预算执行严肃性检查：</w:t>
      </w:r>
      <w:r>
        <w:rPr>
          <w:rFonts w:ascii="仿宋_GB2312" w:eastAsia="仿宋_GB2312" w:hAnsi="仿宋_GB2312"/>
          <w:sz w:val="24"/>
          <w:lang w:eastAsia="zh-CN"/>
        </w:rPr>
        <w:t>检查预算执行率、资金拨付流程的合规性，重点核查预算调剂、追加程序是否规范，是否存在超预算支出、无预算支出、预算执行进度严重滞后等问题。</w:t>
      </w:r>
    </w:p>
    <w:p>
      <w:pPr>
        <w:spacing w:line="400" w:lineRule="exact"/>
        <w:ind w:firstLine="480"/>
      </w:pPr>
      <w:r>
        <w:rPr>
          <w:rFonts w:ascii="仿宋_GB2312" w:eastAsia="仿宋_GB2312" w:hAnsi="仿宋_GB2312"/>
          <w:b/>
          <w:sz w:val="24"/>
          <w:lang w:eastAsia="zh-CN"/>
        </w:rPr>
        <w:t>3. 预算调整规范性检查：</w:t>
      </w:r>
      <w:r>
        <w:rPr>
          <w:rFonts w:ascii="仿宋_GB2312" w:eastAsia="仿宋_GB2312" w:hAnsi="仿宋_GB2312"/>
          <w:sz w:val="24"/>
          <w:lang w:eastAsia="zh-CN"/>
        </w:rPr>
        <w:t>检查预算调整是否履行规定程序，调整理由是否充分，是否存在随意调整、化整为零规避审批等行为。</w:t>
      </w:r>
    </w:p>
    <w:p>
      <w:pPr>
        <w:spacing w:line="400" w:lineRule="exact"/>
        <w:ind w:firstLine="480"/>
      </w:pPr>
      <w:r>
        <w:rPr>
          <w:rFonts w:ascii="仿宋_GB2312" w:eastAsia="仿宋_GB2312" w:hAnsi="仿宋_GB2312"/>
          <w:b/>
          <w:sz w:val="24"/>
          <w:lang w:eastAsia="zh-CN"/>
        </w:rPr>
        <w:t>4. 决算真实完整性检查：</w:t>
      </w:r>
      <w:r>
        <w:rPr>
          <w:rFonts w:ascii="仿宋_GB2312" w:eastAsia="仿宋_GB2312" w:hAnsi="仿宋_GB2312"/>
          <w:sz w:val="24"/>
          <w:lang w:eastAsia="zh-CN"/>
        </w:rPr>
        <w:t>核查决算报表与会计账簿、实物资产是否一致，决算数据是否真实完整，是否存在账表不符、隐瞒收入、虚列支出等问题。</w:t>
      </w:r>
    </w:p>
    <w:p>
      <w:pPr>
        <w:spacing w:line="400" w:lineRule="exact"/>
        <w:ind w:firstLine="480"/>
      </w:pPr>
      <w:r>
        <w:rPr>
          <w:rFonts w:ascii="仿宋_GB2312" w:eastAsia="仿宋_GB2312" w:hAnsi="仿宋_GB2312"/>
          <w:b/>
          <w:sz w:val="24"/>
          <w:lang w:eastAsia="zh-CN"/>
        </w:rPr>
        <w:t>5. 财务收支真实性检查：</w:t>
      </w:r>
      <w:r>
        <w:rPr>
          <w:rFonts w:ascii="仿宋_GB2312" w:eastAsia="仿宋_GB2312" w:hAnsi="仿宋_GB2312"/>
          <w:sz w:val="24"/>
          <w:lang w:eastAsia="zh-CN"/>
        </w:rPr>
        <w:t>核查收入是否全部纳入预算管理，有无私设"小金库"、违规收费等情形；检查支出合法性、凭证完整性、原始单据真实性，重点核查大额资金流向。</w:t>
      </w:r>
    </w:p>
    <w:p>
      <w:pPr>
        <w:spacing w:line="400" w:lineRule="exact"/>
        <w:ind w:firstLine="480"/>
      </w:pPr>
      <w:r>
        <w:rPr>
          <w:rFonts w:ascii="仿宋_GB2312" w:eastAsia="仿宋_GB2312" w:hAnsi="仿宋_GB2312"/>
          <w:b/>
          <w:sz w:val="24"/>
          <w:lang w:eastAsia="zh-CN"/>
        </w:rPr>
        <w:t>6. "三公"经费、会议费、培训费检查：</w:t>
      </w:r>
      <w:r>
        <w:rPr>
          <w:rFonts w:ascii="仿宋_GB2312" w:eastAsia="仿宋_GB2312" w:hAnsi="仿宋_GB2312"/>
          <w:sz w:val="24"/>
          <w:lang w:eastAsia="zh-CN"/>
        </w:rPr>
        <w:t>重点核查因公出国（境）经费、公务用车购置及运行费、公务接待费的预算执行、开支标准、审批程序的合规性；检查会议费、培训费的开支范围、标准、审批流程及报销凭证的真实性，是否存在超标准、超范围、虚列冒领等问题。</w:t>
      </w:r>
    </w:p>
    <w:p>
      <w:pPr>
        <w:spacing w:line="400" w:lineRule="exact"/>
        <w:ind w:firstLine="480"/>
      </w:pPr>
      <w:r>
        <w:rPr>
          <w:rFonts w:ascii="仿宋_GB2312" w:eastAsia="仿宋_GB2312" w:hAnsi="仿宋_GB2312"/>
          <w:b/>
          <w:sz w:val="24"/>
          <w:lang w:eastAsia="zh-CN"/>
        </w:rPr>
        <w:t>7. 政府会计制度执行情况检查：</w:t>
      </w:r>
      <w:r>
        <w:rPr>
          <w:rFonts w:ascii="仿宋_GB2312" w:eastAsia="仿宋_GB2312" w:hAnsi="仿宋_GB2312"/>
          <w:sz w:val="24"/>
          <w:lang w:eastAsia="zh-CN"/>
        </w:rPr>
        <w:t>检查会计核算是否严格按照政府会计制度执行，财务报表（资产负债表、收入费用表、净资产变动表、现金流量表）编制是否准确完整。</w:t>
      </w:r>
    </w:p>
    <w:p>
      <w:pPr>
        <w:spacing w:line="400" w:lineRule="exact"/>
        <w:ind w:firstLine="480"/>
      </w:pPr>
      <w:r>
        <w:rPr>
          <w:rFonts w:ascii="仿宋_GB2312" w:eastAsia="仿宋_GB2312" w:hAnsi="仿宋_GB2312"/>
          <w:b/>
          <w:sz w:val="24"/>
          <w:lang w:eastAsia="zh-CN"/>
        </w:rPr>
        <w:t>8. 往来账项管理检查：</w:t>
      </w:r>
      <w:r>
        <w:rPr>
          <w:rFonts w:ascii="仿宋_GB2312" w:eastAsia="仿宋_GB2312" w:hAnsi="仿宋_GB2312"/>
          <w:sz w:val="24"/>
          <w:lang w:eastAsia="zh-CN"/>
        </w:rPr>
        <w:t>重点核查长期挂账的应收款项、预付款项，检查债权债务是否清晰，有无损失核销不规范情形。</w:t>
      </w:r>
    </w:p>
    <w:p>
      <w:pPr>
        <w:spacing w:before="120" w:after="80" w:line="400" w:lineRule="exact"/>
      </w:pPr>
      <w:r>
        <w:rPr>
          <w:rFonts w:ascii="黑体" w:eastAsia="黑体" w:hAnsi="黑体"/>
          <w:b/>
          <w:sz w:val="26"/>
          <w:lang w:eastAsia="zh-CN"/>
        </w:rPr>
        <w:t>（二）政府采购合规性检查</w:t>
      </w:r>
    </w:p>
    <w:p>
      <w:pPr>
        <w:spacing w:line="400" w:lineRule="exact"/>
        <w:ind w:firstLine="480"/>
      </w:pPr>
      <w:r>
        <w:rPr>
          <w:rFonts w:ascii="仿宋_GB2312" w:eastAsia="仿宋_GB2312" w:hAnsi="仿宋_GB2312"/>
          <w:b/>
          <w:sz w:val="24"/>
          <w:lang w:eastAsia="zh-CN"/>
        </w:rPr>
        <w:t>1. 采购程序合规性：</w:t>
      </w:r>
      <w:r>
        <w:rPr>
          <w:rFonts w:ascii="仿宋_GB2312" w:eastAsia="仿宋_GB2312" w:hAnsi="仿宋_GB2312"/>
          <w:sz w:val="24"/>
          <w:lang w:eastAsia="zh-CN"/>
        </w:rPr>
        <w:t>检查采购计划编制、采购方式确定、招标采购文件编制、评审程序执行等是否符合《政府采购法》《政府采购法实施条例》及相关管理办法要求。</w:t>
      </w:r>
    </w:p>
    <w:p>
      <w:pPr>
        <w:spacing w:line="400" w:lineRule="exact"/>
        <w:ind w:firstLine="480"/>
      </w:pPr>
      <w:r>
        <w:rPr>
          <w:rFonts w:ascii="仿宋_GB2312" w:eastAsia="仿宋_GB2312" w:hAnsi="仿宋_GB2312"/>
          <w:b/>
          <w:sz w:val="24"/>
          <w:lang w:eastAsia="zh-CN"/>
        </w:rPr>
        <w:t>2. 合同管理全流程检查：</w:t>
      </w:r>
      <w:r>
        <w:rPr>
          <w:rFonts w:ascii="仿宋_GB2312" w:eastAsia="仿宋_GB2312" w:hAnsi="仿宋_GB2312"/>
          <w:sz w:val="24"/>
          <w:lang w:eastAsia="zh-CN"/>
        </w:rPr>
        <w:t>检查采购合同签订是否与采购文件、中标（成交）结果一致，合同变更程序是否规范，合同履行及验收记录是否齐全，是否建立合同台账并实行动态管理。</w:t>
      </w:r>
    </w:p>
    <w:p>
      <w:pPr>
        <w:spacing w:line="400" w:lineRule="exact"/>
        <w:ind w:firstLine="480"/>
      </w:pPr>
      <w:r>
        <w:rPr>
          <w:rFonts w:ascii="仿宋_GB2312" w:eastAsia="仿宋_GB2312" w:hAnsi="仿宋_GB2312"/>
          <w:b/>
          <w:sz w:val="24"/>
          <w:lang w:eastAsia="zh-CN"/>
        </w:rPr>
        <w:t>3. 采购执行结果备案：</w:t>
      </w:r>
      <w:r>
        <w:rPr>
          <w:rFonts w:ascii="仿宋_GB2312" w:eastAsia="仿宋_GB2312" w:hAnsi="仿宋_GB2312"/>
          <w:sz w:val="24"/>
          <w:lang w:eastAsia="zh-CN"/>
        </w:rPr>
        <w:t>检查政府采购合同是否按规定向监管部门报备，采购信息公示是否及时完整。</w:t>
      </w:r>
    </w:p>
    <w:p>
      <w:pPr>
        <w:spacing w:line="400" w:lineRule="exact"/>
        <w:ind w:firstLine="480"/>
      </w:pPr>
      <w:r>
        <w:rPr>
          <w:rFonts w:ascii="仿宋_GB2312" w:eastAsia="仿宋_GB2312" w:hAnsi="仿宋_GB2312"/>
          <w:b/>
          <w:sz w:val="24"/>
          <w:lang w:eastAsia="zh-CN"/>
        </w:rPr>
        <w:t>4. 分散采购与集中采购边界：</w:t>
      </w:r>
      <w:r>
        <w:rPr>
          <w:rFonts w:ascii="仿宋_GB2312" w:eastAsia="仿宋_GB2312" w:hAnsi="仿宋_GB2312"/>
          <w:sz w:val="24"/>
          <w:lang w:eastAsia="zh-CN"/>
        </w:rPr>
        <w:t>检查是否存在化整为零、规避集中采购限额的行为。</w:t>
      </w:r>
    </w:p>
    <w:p>
      <w:pPr>
        <w:spacing w:before="120" w:after="80" w:line="400" w:lineRule="exact"/>
      </w:pPr>
      <w:r>
        <w:rPr>
          <w:rFonts w:ascii="黑体" w:eastAsia="黑体" w:hAnsi="黑体"/>
          <w:b/>
          <w:sz w:val="26"/>
          <w:lang w:eastAsia="zh-CN"/>
        </w:rPr>
        <w:t>（三）国有资产管理检查</w:t>
      </w:r>
    </w:p>
    <w:p>
      <w:pPr>
        <w:spacing w:line="400" w:lineRule="exact"/>
        <w:ind w:firstLine="480"/>
      </w:pPr>
      <w:r>
        <w:rPr>
          <w:rFonts w:ascii="仿宋_GB2312" w:eastAsia="仿宋_GB2312" w:hAnsi="仿宋_GB2312"/>
          <w:b/>
          <w:sz w:val="24"/>
          <w:lang w:eastAsia="zh-CN"/>
        </w:rPr>
        <w:t>1. 固定资产账实核对：</w:t>
      </w:r>
      <w:r>
        <w:rPr>
          <w:rFonts w:ascii="仿宋_GB2312" w:eastAsia="仿宋_GB2312" w:hAnsi="仿宋_GB2312"/>
          <w:sz w:val="24"/>
          <w:lang w:eastAsia="zh-CN"/>
        </w:rPr>
        <w:t>对固定资产进行盘点，检查账面价值与实物是否一致，是否存在账外资产或账内无物情形。</w:t>
      </w:r>
    </w:p>
    <w:p>
      <w:pPr>
        <w:spacing w:line="400" w:lineRule="exact"/>
        <w:ind w:firstLine="480"/>
      </w:pPr>
      <w:r>
        <w:rPr>
          <w:rFonts w:ascii="仿宋_GB2312" w:eastAsia="仿宋_GB2312" w:hAnsi="仿宋_GB2312"/>
          <w:b/>
          <w:sz w:val="24"/>
          <w:lang w:eastAsia="zh-CN"/>
        </w:rPr>
        <w:t>2. 资产配置合规性：</w:t>
      </w:r>
      <w:r>
        <w:rPr>
          <w:rFonts w:ascii="仿宋_GB2312" w:eastAsia="仿宋_GB2312" w:hAnsi="仿宋_GB2312"/>
          <w:sz w:val="24"/>
          <w:lang w:eastAsia="zh-CN"/>
        </w:rPr>
        <w:t>检查资产配置是否经过审批，标准是否符合中央行政事业单位国有资产管理相关规定，是否存在超标准配置情形。</w:t>
      </w:r>
    </w:p>
    <w:p>
      <w:pPr>
        <w:spacing w:line="400" w:lineRule="exact"/>
        <w:ind w:firstLine="480"/>
      </w:pPr>
      <w:r>
        <w:rPr>
          <w:rFonts w:ascii="仿宋_GB2312" w:eastAsia="仿宋_GB2312" w:hAnsi="仿宋_GB2312"/>
          <w:b/>
          <w:sz w:val="24"/>
          <w:lang w:eastAsia="zh-CN"/>
        </w:rPr>
        <w:t>3. 资产使用管理规范性：</w:t>
      </w:r>
      <w:r>
        <w:rPr>
          <w:rFonts w:ascii="仿宋_GB2312" w:eastAsia="仿宋_GB2312" w:hAnsi="仿宋_GB2312"/>
          <w:sz w:val="24"/>
          <w:lang w:eastAsia="zh-CN"/>
        </w:rPr>
        <w:t>检查资产日常登记、领用、保管、清查等管理制度是否健全，是否存在资产闲置浪费、被违规占用等问题。</w:t>
      </w:r>
    </w:p>
    <w:p>
      <w:pPr>
        <w:spacing w:line="400" w:lineRule="exact"/>
        <w:ind w:firstLine="480"/>
      </w:pPr>
      <w:r>
        <w:rPr>
          <w:rFonts w:ascii="仿宋_GB2312" w:eastAsia="仿宋_GB2312" w:hAnsi="仿宋_GB2312"/>
          <w:b/>
          <w:sz w:val="24"/>
          <w:lang w:eastAsia="zh-CN"/>
        </w:rPr>
        <w:t>4. 资产处置合规性：</w:t>
      </w:r>
      <w:r>
        <w:rPr>
          <w:rFonts w:ascii="仿宋_GB2312" w:eastAsia="仿宋_GB2312" w:hAnsi="仿宋_GB2312"/>
          <w:sz w:val="24"/>
          <w:lang w:eastAsia="zh-CN"/>
        </w:rPr>
        <w:t>检查资产报废、转让、对外捐赠等处置行为是否履行审批程序，处置收入是否上缴或按规定使用。</w:t>
      </w:r>
    </w:p>
    <w:p>
      <w:pPr>
        <w:spacing w:line="400" w:lineRule="exact"/>
        <w:ind w:firstLine="480"/>
      </w:pPr>
      <w:r>
        <w:rPr>
          <w:rFonts w:ascii="仿宋_GB2312" w:eastAsia="仿宋_GB2312" w:hAnsi="仿宋_GB2312"/>
          <w:b/>
          <w:sz w:val="24"/>
          <w:lang w:eastAsia="zh-CN"/>
        </w:rPr>
        <w:t>5. 无形资产管理：</w:t>
      </w:r>
      <w:r>
        <w:rPr>
          <w:rFonts w:ascii="仿宋_GB2312" w:eastAsia="仿宋_GB2312" w:hAnsi="仿宋_GB2312"/>
          <w:sz w:val="24"/>
          <w:lang w:eastAsia="zh-CN"/>
        </w:rPr>
        <w:t>检查无形资产的入账依据、摊销方法、账龄分析，以及知识产权保护和授权使用情况。</w:t>
      </w:r>
    </w:p>
    <w:p>
      <w:pPr>
        <w:spacing w:line="400" w:lineRule="exact"/>
        <w:ind w:firstLine="480"/>
      </w:pPr>
      <w:r>
        <w:rPr>
          <w:rFonts w:ascii="仿宋_GB2312" w:eastAsia="仿宋_GB2312" w:hAnsi="仿宋_GB2312"/>
          <w:b/>
          <w:sz w:val="24"/>
          <w:lang w:eastAsia="zh-CN"/>
        </w:rPr>
        <w:t>6. 资产出租出借：</w:t>
      </w:r>
      <w:r>
        <w:rPr>
          <w:rFonts w:ascii="仿宋_GB2312" w:eastAsia="仿宋_GB2312" w:hAnsi="仿宋_GB2312"/>
          <w:sz w:val="24"/>
          <w:lang w:eastAsia="zh-CN"/>
        </w:rPr>
        <w:t>检查国有资产对外出租、出借是否有合法审批，租金是否按规定纳入预算管理。</w:t>
      </w:r>
    </w:p>
    <w:p>
      <w:pPr>
        <w:spacing w:before="120" w:after="80" w:line="400" w:lineRule="exact"/>
      </w:pPr>
      <w:r>
        <w:rPr>
          <w:rFonts w:ascii="黑体" w:eastAsia="黑体" w:hAnsi="黑体"/>
          <w:b/>
          <w:sz w:val="26"/>
          <w:lang w:eastAsia="zh-CN"/>
        </w:rPr>
        <w:t>（四）内部控制与风险管理检查</w:t>
      </w:r>
    </w:p>
    <w:p>
      <w:pPr>
        <w:spacing w:line="400" w:lineRule="exact"/>
        <w:ind w:firstLine="480"/>
      </w:pPr>
      <w:r>
        <w:rPr>
          <w:rFonts w:ascii="仿宋_GB2312" w:eastAsia="仿宋_GB2312" w:hAnsi="仿宋_GB2312"/>
          <w:b/>
          <w:sz w:val="24"/>
          <w:lang w:eastAsia="zh-CN"/>
        </w:rPr>
        <w:t>1. 内控体系建立健全情况：</w:t>
      </w:r>
      <w:r>
        <w:rPr>
          <w:rFonts w:ascii="仿宋_GB2312" w:eastAsia="仿宋_GB2312" w:hAnsi="仿宋_GB2312"/>
          <w:sz w:val="24"/>
          <w:lang w:eastAsia="zh-CN"/>
        </w:rPr>
        <w:t>评估单位内控体系是否建立，关键控制节点是否有效覆盖。</w:t>
      </w:r>
    </w:p>
    <w:p>
      <w:pPr>
        <w:spacing w:line="400" w:lineRule="exact"/>
        <w:ind w:firstLine="480"/>
      </w:pPr>
      <w:r>
        <w:rPr>
          <w:rFonts w:ascii="仿宋_GB2312" w:eastAsia="仿宋_GB2312" w:hAnsi="仿宋_GB2312"/>
          <w:b/>
          <w:sz w:val="24"/>
          <w:lang w:eastAsia="zh-CN"/>
        </w:rPr>
        <w:t>2. 不相容岗位设置：</w:t>
      </w:r>
      <w:r>
        <w:rPr>
          <w:rFonts w:ascii="仿宋_GB2312" w:eastAsia="仿宋_GB2312" w:hAnsi="仿宋_GB2312"/>
          <w:sz w:val="24"/>
          <w:lang w:eastAsia="zh-CN"/>
        </w:rPr>
        <w:t>检查会计、出纳、审批、采购等岗位是否实现不相容分离，是否存在一人兼多岗的高风险情形。</w:t>
      </w:r>
    </w:p>
    <w:p>
      <w:pPr>
        <w:spacing w:line="400" w:lineRule="exact"/>
        <w:ind w:firstLine="480"/>
      </w:pPr>
      <w:r>
        <w:rPr>
          <w:rFonts w:ascii="仿宋_GB2312" w:eastAsia="仿宋_GB2312" w:hAnsi="仿宋_GB2312"/>
          <w:b/>
          <w:sz w:val="24"/>
          <w:lang w:eastAsia="zh-CN"/>
        </w:rPr>
        <w:t>3. 授权审批控制：</w:t>
      </w:r>
      <w:r>
        <w:rPr>
          <w:rFonts w:ascii="仿宋_GB2312" w:eastAsia="仿宋_GB2312" w:hAnsi="仿宋_GB2312"/>
          <w:sz w:val="24"/>
          <w:lang w:eastAsia="zh-CN"/>
        </w:rPr>
        <w:t>检查经济业务审批权限设置是否合理，越权审批、绕过审批流程等情形。</w:t>
      </w:r>
    </w:p>
    <w:p>
      <w:pPr>
        <w:spacing w:line="400" w:lineRule="exact"/>
        <w:ind w:firstLine="480"/>
      </w:pPr>
      <w:r>
        <w:rPr>
          <w:rFonts w:ascii="仿宋_GB2312" w:eastAsia="仿宋_GB2312" w:hAnsi="仿宋_GB2312"/>
          <w:b/>
          <w:sz w:val="24"/>
          <w:lang w:eastAsia="zh-CN"/>
        </w:rPr>
        <w:t>4. 信息系统与数据安全：</w:t>
      </w:r>
      <w:r>
        <w:rPr>
          <w:rFonts w:ascii="仿宋_GB2312" w:eastAsia="仿宋_GB2312" w:hAnsi="仿宋_GB2312"/>
          <w:sz w:val="24"/>
          <w:lang w:eastAsia="zh-CN"/>
        </w:rPr>
        <w:t>检查财务信息系统操作权限设置、系统日志留存、数据备份等管控机制是否健全。</w:t>
      </w:r>
    </w:p>
    <w:p>
      <w:pPr>
        <w:spacing w:line="400" w:lineRule="exact"/>
        <w:ind w:firstLine="480"/>
      </w:pPr>
      <w:r>
        <w:rPr>
          <w:rFonts w:ascii="仿宋_GB2312" w:eastAsia="仿宋_GB2312" w:hAnsi="仿宋_GB2312"/>
          <w:b/>
          <w:sz w:val="24"/>
          <w:lang w:eastAsia="zh-CN"/>
        </w:rPr>
        <w:t>5. 内控执行有效性评价：</w:t>
      </w:r>
      <w:r>
        <w:rPr>
          <w:rFonts w:ascii="仿宋_GB2312" w:eastAsia="仿宋_GB2312" w:hAnsi="仿宋_GB2312"/>
          <w:sz w:val="24"/>
          <w:lang w:eastAsia="zh-CN"/>
        </w:rPr>
        <w:t>以访谈、抽样测试相结合的方式，评估已建立内控制度的实际执行效果，识别关键风险点。</w:t>
      </w:r>
    </w:p>
    <w:p>
      <w:pPr>
        <w:spacing w:before="120" w:after="80" w:line="400" w:lineRule="exact"/>
      </w:pPr>
      <w:r>
        <w:rPr>
          <w:rFonts w:ascii="黑体" w:eastAsia="黑体" w:hAnsi="黑体"/>
          <w:b/>
          <w:sz w:val="26"/>
          <w:lang w:eastAsia="zh-CN"/>
        </w:rPr>
        <w:t>（五）项目全过程跟踪检查</w:t>
      </w:r>
    </w:p>
    <w:p>
      <w:pPr>
        <w:spacing w:before="40" w:after="40" w:line="400" w:lineRule="exact"/>
        <w:ind w:firstLine="480"/>
      </w:pPr>
      <w:r>
        <w:rPr>
          <w:rFonts w:ascii="仿宋_GB2312" w:eastAsia="仿宋_GB2312" w:hAnsi="仿宋_GB2312"/>
          <w:sz w:val="24"/>
          <w:lang w:eastAsia="zh-CN"/>
        </w:rPr>
        <w:t>对本单位</w:t>
      </w:r>
      <w:r>
        <w:rPr>
          <w:rFonts w:ascii="仿宋_GB2312" w:eastAsia="仿宋_GB2312" w:hAnsi="仿宋_GB2312" w:hint="eastAsia"/>
          <w:sz w:val="24"/>
          <w:lang w:eastAsia="zh-CN"/>
        </w:rPr>
        <w:t>大额项目</w:t>
      </w:r>
      <w:r>
        <w:rPr>
          <w:rFonts w:ascii="仿宋_GB2312" w:eastAsia="仿宋_GB2312" w:hAnsi="仿宋_GB2312"/>
          <w:sz w:val="24"/>
          <w:lang w:eastAsia="zh-CN"/>
        </w:rPr>
        <w:t>资金的立项、实施、验收及资金使用全过程进行跟踪检查，重点核查：</w:t>
      </w:r>
    </w:p>
    <w:p>
      <w:pPr>
        <w:spacing w:line="400" w:lineRule="exact"/>
        <w:ind w:firstLine="480"/>
      </w:pPr>
      <w:r>
        <w:rPr>
          <w:rFonts w:ascii="仿宋_GB2312" w:eastAsia="仿宋_GB2312" w:hAnsi="仿宋_GB2312" w:hint="eastAsia"/>
          <w:sz w:val="24"/>
          <w:lang w:eastAsia="zh-CN"/>
        </w:rPr>
        <w:t>1.</w:t>
      </w:r>
      <w:r>
        <w:rPr>
          <w:rFonts w:ascii="仿宋_GB2312" w:eastAsia="仿宋_GB2312" w:hAnsi="仿宋_GB2312"/>
          <w:sz w:val="24"/>
          <w:lang w:eastAsia="zh-CN"/>
        </w:rPr>
        <w:t>项目立项依据是否充分、审批程序是否规范；</w:t>
      </w:r>
    </w:p>
    <w:p>
      <w:pPr>
        <w:spacing w:line="400" w:lineRule="exact"/>
        <w:ind w:firstLine="480"/>
      </w:pPr>
      <w:r>
        <w:rPr>
          <w:rFonts w:ascii="仿宋_GB2312" w:eastAsia="仿宋_GB2312" w:hAnsi="仿宋_GB2312" w:hint="eastAsia"/>
          <w:sz w:val="24"/>
          <w:lang w:eastAsia="zh-CN"/>
        </w:rPr>
        <w:t>2.</w:t>
      </w:r>
      <w:r>
        <w:rPr>
          <w:rFonts w:ascii="仿宋_GB2312" w:eastAsia="仿宋_GB2312" w:hAnsi="仿宋_GB2312"/>
          <w:sz w:val="24"/>
          <w:lang w:eastAsia="zh-CN"/>
        </w:rPr>
        <w:t>项目实施进度与资金拨付是否匹配；</w:t>
      </w:r>
    </w:p>
    <w:p>
      <w:pPr>
        <w:spacing w:line="400" w:lineRule="exact"/>
        <w:ind w:firstLine="480"/>
      </w:pPr>
      <w:r>
        <w:rPr>
          <w:rFonts w:ascii="仿宋_GB2312" w:eastAsia="仿宋_GB2312" w:hAnsi="仿宋_GB2312" w:hint="eastAsia"/>
          <w:sz w:val="24"/>
          <w:lang w:eastAsia="zh-CN"/>
        </w:rPr>
        <w:t>3.</w:t>
      </w:r>
      <w:r>
        <w:rPr>
          <w:rFonts w:ascii="仿宋_GB2312" w:eastAsia="仿宋_GB2312" w:hAnsi="仿宋_GB2312"/>
          <w:sz w:val="24"/>
          <w:lang w:eastAsia="zh-CN"/>
        </w:rPr>
        <w:t>项目验收程序是否完备、验收结果是否真实；</w:t>
      </w:r>
    </w:p>
    <w:p>
      <w:pPr>
        <w:spacing w:line="400" w:lineRule="exact"/>
        <w:ind w:firstLine="480"/>
      </w:pPr>
      <w:r>
        <w:rPr>
          <w:rFonts w:ascii="仿宋_GB2312" w:eastAsia="仿宋_GB2312" w:hAnsi="仿宋_GB2312" w:hint="eastAsia"/>
          <w:sz w:val="24"/>
          <w:lang w:eastAsia="zh-CN"/>
        </w:rPr>
        <w:t>4.</w:t>
      </w:r>
      <w:r>
        <w:rPr>
          <w:rFonts w:ascii="仿宋_GB2312" w:eastAsia="仿宋_GB2312" w:hAnsi="仿宋_GB2312"/>
          <w:sz w:val="24"/>
          <w:lang w:eastAsia="zh-CN"/>
        </w:rPr>
        <w:t>结余资金是否按规定处理，是否存在截留、挤占、挪用专项资金等问题。</w:t>
      </w:r>
    </w:p>
    <w:p>
      <w:pPr>
        <w:spacing w:before="120" w:after="80" w:line="400" w:lineRule="exact"/>
      </w:pPr>
      <w:r>
        <w:rPr>
          <w:rFonts w:ascii="黑体" w:eastAsia="黑体" w:hAnsi="黑体" w:hint="eastAsia"/>
          <w:b/>
          <w:sz w:val="28"/>
          <w:lang w:eastAsia="zh-CN"/>
        </w:rPr>
        <w:t>三</w:t>
      </w:r>
      <w:r>
        <w:rPr>
          <w:rFonts w:ascii="黑体" w:eastAsia="黑体" w:hAnsi="黑体"/>
          <w:b/>
          <w:sz w:val="28"/>
          <w:lang w:eastAsia="zh-CN"/>
        </w:rPr>
        <w:t>、服务要求</w:t>
      </w:r>
    </w:p>
    <w:p>
      <w:pPr>
        <w:spacing w:before="120" w:after="80" w:line="400" w:lineRule="exact"/>
      </w:pPr>
      <w:r>
        <w:rPr>
          <w:rFonts w:ascii="黑体" w:eastAsia="黑体" w:hAnsi="黑体"/>
          <w:b/>
          <w:sz w:val="26"/>
          <w:lang w:eastAsia="zh-CN"/>
        </w:rPr>
        <w:t>（一）资质与专业能力要求</w:t>
      </w:r>
    </w:p>
    <w:p>
      <w:pPr>
        <w:spacing w:line="400" w:lineRule="exact"/>
        <w:ind w:firstLine="480"/>
      </w:pPr>
      <w:r>
        <w:rPr>
          <w:rFonts w:ascii="仿宋_GB2312" w:eastAsia="仿宋_GB2312" w:hAnsi="仿宋_GB2312"/>
          <w:b/>
          <w:sz w:val="24"/>
          <w:lang w:eastAsia="zh-CN"/>
        </w:rPr>
        <w:t>1. 基本资质：</w:t>
      </w:r>
      <w:r>
        <w:rPr>
          <w:rFonts w:ascii="仿宋_GB2312" w:eastAsia="仿宋_GB2312" w:hAnsi="仿宋_GB2312"/>
          <w:sz w:val="24"/>
          <w:lang w:eastAsia="zh-CN"/>
        </w:rPr>
        <w:t>供应商须为依法在中华人民共和国境内注册的会计师事务所，具备有效</w:t>
      </w:r>
      <w:r>
        <w:rPr>
          <w:rFonts w:ascii="仿宋_GB2312" w:eastAsia="仿宋_GB2312" w:hAnsi="仿宋_GB2312" w:hint="eastAsia"/>
          <w:sz w:val="24"/>
          <w:lang w:eastAsia="zh-CN"/>
        </w:rPr>
        <w:t>《会计师事务所执业证书》和</w:t>
      </w:r>
      <w:r>
        <w:rPr>
          <w:rFonts w:ascii="仿宋_GB2312" w:eastAsia="仿宋_GB2312" w:hAnsi="仿宋_GB2312"/>
          <w:sz w:val="24"/>
          <w:lang w:eastAsia="zh-CN"/>
        </w:rPr>
        <w:t>营业执照</w:t>
      </w:r>
      <w:r>
        <w:rPr>
          <w:rFonts w:ascii="宋体" w:hAnsi="宋体" w:hint="eastAsia"/>
          <w:szCs w:val="21"/>
          <w:lang w:eastAsia="zh-CN"/>
        </w:rPr>
        <w:t>。投标人须在投标文件中明确阐述为达到本项要求拟进行的组织机构设置和人员职责分工，并作出相应承诺。</w:t>
      </w:r>
    </w:p>
    <w:p>
      <w:pPr>
        <w:spacing w:line="400" w:lineRule="exact"/>
        <w:ind w:firstLine="480"/>
      </w:pPr>
      <w:r>
        <w:rPr>
          <w:rFonts w:ascii="仿宋_GB2312" w:eastAsia="仿宋_GB2312" w:hAnsi="仿宋_GB2312"/>
          <w:b/>
          <w:sz w:val="24"/>
          <w:lang w:eastAsia="zh-CN"/>
        </w:rPr>
        <w:t xml:space="preserve">2. </w:t>
      </w:r>
      <w:r>
        <w:rPr>
          <w:rFonts w:ascii="仿宋_GB2312" w:eastAsia="仿宋_GB2312" w:hAnsi="仿宋_GB2312" w:hint="eastAsia"/>
          <w:b/>
          <w:sz w:val="24"/>
          <w:lang w:eastAsia="zh-CN"/>
        </w:rPr>
        <w:t>技术实力</w:t>
      </w:r>
      <w:r>
        <w:rPr>
          <w:rFonts w:ascii="仿宋_GB2312" w:eastAsia="仿宋_GB2312" w:hAnsi="仿宋_GB2312"/>
          <w:b/>
          <w:sz w:val="24"/>
          <w:lang w:eastAsia="zh-CN"/>
        </w:rPr>
        <w:t>：</w:t>
      </w:r>
      <w:r>
        <w:rPr>
          <w:rFonts w:ascii="仿宋_GB2312" w:eastAsia="仿宋_GB2312" w:hAnsi="仿宋_GB2312"/>
          <w:sz w:val="24"/>
          <w:lang w:eastAsia="zh-CN"/>
        </w:rPr>
        <w:t>供应商须近3年内在中注协年度检查中无重大违规记录。</w:t>
      </w:r>
    </w:p>
    <w:p>
      <w:pPr>
        <w:spacing w:line="400" w:lineRule="exact"/>
        <w:ind w:firstLine="480"/>
      </w:pPr>
      <w:r>
        <w:rPr>
          <w:rFonts w:ascii="仿宋_GB2312" w:eastAsia="仿宋_GB2312" w:hAnsi="仿宋_GB2312"/>
          <w:b/>
          <w:sz w:val="24"/>
          <w:lang w:eastAsia="zh-CN"/>
        </w:rPr>
        <w:t>3. 政策法规精通要求：</w:t>
      </w:r>
      <w:r>
        <w:rPr>
          <w:rFonts w:ascii="仿宋_GB2312" w:eastAsia="仿宋_GB2312" w:hAnsi="仿宋_GB2312"/>
          <w:sz w:val="24"/>
          <w:lang w:eastAsia="zh-CN"/>
        </w:rPr>
        <w:t>供应商项目团队须系统精通《预算法》《政府会计制度》《事业单位财务规则》《政府采购法》及其实施条例、《行政事业</w:t>
      </w:r>
      <w:r>
        <w:rPr>
          <w:rFonts w:ascii="仿宋_GB2312" w:eastAsia="仿宋_GB2312" w:hAnsi="仿宋_GB2312" w:hint="eastAsia"/>
          <w:sz w:val="24"/>
          <w:lang w:eastAsia="zh-CN"/>
        </w:rPr>
        <w:t>性</w:t>
      </w:r>
      <w:r>
        <w:rPr>
          <w:rFonts w:ascii="仿宋_GB2312" w:eastAsia="仿宋_GB2312" w:hAnsi="仿宋_GB2312"/>
          <w:sz w:val="24"/>
          <w:lang w:eastAsia="zh-CN"/>
        </w:rPr>
        <w:t>国有资产管理</w:t>
      </w:r>
      <w:r>
        <w:rPr>
          <w:rFonts w:ascii="仿宋_GB2312" w:eastAsia="仿宋_GB2312" w:hAnsi="仿宋_GB2312" w:hint="eastAsia"/>
          <w:sz w:val="24"/>
          <w:lang w:eastAsia="zh-CN"/>
        </w:rPr>
        <w:t>条例</w:t>
      </w:r>
      <w:r>
        <w:rPr>
          <w:rFonts w:ascii="仿宋_GB2312" w:eastAsia="仿宋_GB2312" w:hAnsi="仿宋_GB2312"/>
          <w:sz w:val="24"/>
          <w:lang w:eastAsia="zh-CN"/>
        </w:rPr>
        <w:t>》等相关法律法规和政策文件，能够在检查过程中准确引用法规依据，对问题的定性有法可依、有据可查。</w:t>
      </w:r>
    </w:p>
    <w:p>
      <w:pPr>
        <w:spacing w:line="400" w:lineRule="exact"/>
        <w:ind w:firstLine="581" w:firstLineChars="242"/>
        <w:rPr>
          <w:rFonts w:ascii="仿宋_GB2312" w:eastAsia="仿宋_GB2312" w:hAnsi="仿宋_GB2312"/>
        </w:rPr>
      </w:pPr>
      <w:r>
        <w:rPr>
          <w:rFonts w:ascii="仿宋_GB2312" w:eastAsia="仿宋_GB2312" w:hAnsi="仿宋_GB2312"/>
          <w:b/>
          <w:sz w:val="24"/>
          <w:lang w:eastAsia="zh-CN"/>
        </w:rPr>
        <w:t>4. 行业专业能力要求：</w:t>
      </w:r>
      <w:r>
        <w:rPr>
          <w:rFonts w:ascii="仿宋_GB2312" w:eastAsia="仿宋_GB2312" w:hAnsi="仿宋_GB2312"/>
          <w:sz w:val="24"/>
          <w:lang w:eastAsia="zh-CN"/>
        </w:rPr>
        <w:t>供应商</w:t>
      </w:r>
      <w:r>
        <w:rPr>
          <w:rFonts w:ascii="仿宋_GB2312" w:eastAsia="仿宋_GB2312" w:hAnsi="仿宋_GB2312" w:hint="eastAsia"/>
          <w:sz w:val="24"/>
          <w:lang w:eastAsia="zh-CN"/>
        </w:rPr>
        <w:t>能够理解</w:t>
      </w:r>
      <w:r>
        <w:rPr>
          <w:rFonts w:ascii="仿宋_GB2312" w:eastAsia="仿宋_GB2312" w:hAnsi="仿宋_GB2312"/>
          <w:sz w:val="24"/>
          <w:lang w:eastAsia="zh-CN"/>
        </w:rPr>
        <w:t>气象部门事业单位财务管理的特点和具体要求，</w:t>
      </w:r>
      <w:r>
        <w:rPr>
          <w:rFonts w:ascii="仿宋_GB2312" w:eastAsia="仿宋_GB2312" w:hAnsi="仿宋_GB2312" w:hint="eastAsia"/>
          <w:sz w:val="24"/>
          <w:lang w:eastAsia="zh-CN"/>
        </w:rPr>
        <w:t>理解</w:t>
      </w:r>
      <w:r>
        <w:rPr>
          <w:rFonts w:ascii="仿宋_GB2312" w:eastAsia="仿宋_GB2312" w:hAnsi="仿宋_GB2312"/>
          <w:sz w:val="24"/>
          <w:lang w:eastAsia="zh-CN"/>
        </w:rPr>
        <w:t>气象专项资金（如气象事业费、基本建设资金、科研项目资金等）的管理规定和使用要求，能够结合</w:t>
      </w:r>
      <w:r>
        <w:rPr>
          <w:rFonts w:ascii="仿宋_GB2312" w:eastAsia="仿宋_GB2312" w:hAnsi="仿宋_GB2312" w:hint="eastAsia"/>
          <w:sz w:val="24"/>
          <w:lang w:eastAsia="zh-CN"/>
        </w:rPr>
        <w:t>项目</w:t>
      </w:r>
      <w:r>
        <w:rPr>
          <w:rFonts w:ascii="仿宋_GB2312" w:eastAsia="仿宋_GB2312" w:hAnsi="仿宋_GB2312"/>
          <w:sz w:val="24"/>
          <w:lang w:eastAsia="zh-CN"/>
        </w:rPr>
        <w:t>特点开展有针对性的检查工作。</w:t>
      </w:r>
    </w:p>
    <w:p>
      <w:pPr>
        <w:spacing w:line="400" w:lineRule="exact"/>
        <w:ind w:firstLine="581" w:firstLineChars="242"/>
      </w:pPr>
      <w:r>
        <w:rPr>
          <w:rFonts w:ascii="仿宋_GB2312" w:eastAsia="仿宋_GB2312" w:hAnsi="仿宋_GB2312"/>
          <w:b/>
          <w:sz w:val="24"/>
          <w:lang w:eastAsia="zh-CN"/>
        </w:rPr>
        <w:t>5. 审计/检查经验要求：</w:t>
      </w:r>
      <w:r>
        <w:rPr>
          <w:rFonts w:ascii="仿宋_GB2312" w:eastAsia="仿宋_GB2312" w:hAnsi="仿宋_GB2312"/>
          <w:sz w:val="24"/>
          <w:lang w:eastAsia="zh-CN"/>
        </w:rPr>
        <w:t>供应商须具有丰富的审计或财会监督检查经验，具备为同级或类似层级的中央级行政事业单位</w:t>
      </w:r>
      <w:r>
        <w:rPr>
          <w:rFonts w:ascii="仿宋_GB2312" w:eastAsia="仿宋_GB2312" w:hAnsi="仿宋_GB2312" w:hint="eastAsia"/>
          <w:sz w:val="24"/>
          <w:lang w:eastAsia="zh-CN"/>
        </w:rPr>
        <w:t>类似项目</w:t>
      </w:r>
      <w:r>
        <w:rPr>
          <w:rFonts w:ascii="仿宋_GB2312" w:eastAsia="仿宋_GB2312" w:hAnsi="仿宋_GB2312"/>
          <w:sz w:val="24"/>
          <w:lang w:eastAsia="zh-CN"/>
        </w:rPr>
        <w:t>提供审计、专项检查或咨询服务的成功案例。</w:t>
      </w:r>
    </w:p>
    <w:p>
      <w:pPr>
        <w:spacing w:line="400" w:lineRule="exact"/>
        <w:ind w:firstLine="581" w:firstLineChars="242"/>
      </w:pPr>
      <w:r>
        <w:rPr>
          <w:rFonts w:ascii="仿宋_GB2312" w:eastAsia="仿宋_GB2312" w:hAnsi="仿宋_GB2312"/>
          <w:b/>
          <w:sz w:val="24"/>
          <w:lang w:eastAsia="zh-CN"/>
        </w:rPr>
        <w:t>6. 人员资质要求：</w:t>
      </w:r>
      <w:r>
        <w:rPr>
          <w:rFonts w:ascii="仿宋_GB2312" w:eastAsia="仿宋_GB2312" w:hAnsi="仿宋_GB2312"/>
          <w:sz w:val="24"/>
          <w:lang w:eastAsia="zh-CN"/>
        </w:rPr>
        <w:t>项目</w:t>
      </w:r>
      <w:r>
        <w:rPr>
          <w:rFonts w:ascii="仿宋_GB2312" w:eastAsia="仿宋_GB2312" w:hAnsi="仿宋_GB2312" w:hint="eastAsia"/>
          <w:sz w:val="24"/>
          <w:lang w:eastAsia="zh-CN"/>
        </w:rPr>
        <w:t>经理</w:t>
      </w:r>
      <w:r>
        <w:rPr>
          <w:rFonts w:ascii="仿宋_GB2312" w:eastAsia="仿宋_GB2312" w:hAnsi="仿宋_GB2312"/>
          <w:sz w:val="24"/>
          <w:lang w:eastAsia="zh-CN"/>
        </w:rPr>
        <w:t>须具备注册会计师（CPA）资格，</w:t>
      </w:r>
      <w:r>
        <w:rPr>
          <w:rFonts w:ascii="仿宋_GB2312" w:eastAsia="仿宋_GB2312" w:hAnsi="仿宋_GB2312" w:hint="eastAsia"/>
          <w:sz w:val="24"/>
          <w:lang w:eastAsia="zh-CN"/>
        </w:rPr>
        <w:t>具有至少</w:t>
      </w:r>
      <w:r>
        <w:rPr>
          <w:rFonts w:ascii="仿宋_GB2312" w:eastAsia="仿宋_GB2312" w:hAnsi="仿宋_GB2312"/>
          <w:sz w:val="24"/>
          <w:lang w:eastAsia="zh-CN"/>
        </w:rPr>
        <w:t>5</w:t>
      </w:r>
      <w:r>
        <w:rPr>
          <w:rFonts w:ascii="仿宋_GB2312" w:eastAsia="仿宋_GB2312" w:hAnsi="仿宋_GB2312" w:hint="eastAsia"/>
          <w:sz w:val="24"/>
          <w:lang w:eastAsia="zh-CN"/>
        </w:rPr>
        <w:t>年以上审计工作经历，具有至少</w:t>
      </w:r>
      <w:r>
        <w:rPr>
          <w:rFonts w:ascii="仿宋_GB2312" w:eastAsia="仿宋_GB2312" w:hAnsi="仿宋_GB2312"/>
          <w:sz w:val="24"/>
          <w:lang w:eastAsia="zh-CN"/>
        </w:rPr>
        <w:t>10</w:t>
      </w:r>
      <w:r>
        <w:rPr>
          <w:rFonts w:ascii="仿宋_GB2312" w:eastAsia="仿宋_GB2312" w:hAnsi="仿宋_GB2312" w:hint="eastAsia"/>
          <w:sz w:val="24"/>
          <w:lang w:eastAsia="zh-CN"/>
        </w:rPr>
        <w:t>个中央行政事业单位财会监督检查或审计项目经历</w:t>
      </w:r>
      <w:r>
        <w:rPr>
          <w:rFonts w:ascii="仿宋_GB2312" w:eastAsia="仿宋_GB2312" w:hAnsi="仿宋_GB2312"/>
          <w:sz w:val="24"/>
          <w:lang w:eastAsia="zh-CN"/>
        </w:rPr>
        <w:t>；现场负责人须须具备注册会计师（CPA）资格</w:t>
      </w:r>
      <w:r>
        <w:rPr>
          <w:rFonts w:ascii="仿宋_GB2312" w:eastAsia="仿宋_GB2312" w:hAnsi="仿宋_GB2312" w:hint="eastAsia"/>
          <w:sz w:val="24"/>
          <w:lang w:eastAsia="zh-CN"/>
        </w:rPr>
        <w:t>，具有至少</w:t>
      </w:r>
      <w:r>
        <w:rPr>
          <w:rFonts w:ascii="仿宋_GB2312" w:eastAsia="仿宋_GB2312" w:hAnsi="仿宋_GB2312"/>
          <w:sz w:val="24"/>
          <w:lang w:eastAsia="zh-CN"/>
        </w:rPr>
        <w:t>3</w:t>
      </w:r>
      <w:r>
        <w:rPr>
          <w:rFonts w:ascii="仿宋_GB2312" w:eastAsia="仿宋_GB2312" w:hAnsi="仿宋_GB2312" w:hint="eastAsia"/>
          <w:sz w:val="24"/>
          <w:lang w:eastAsia="zh-CN"/>
        </w:rPr>
        <w:t>年以上审计工作经历，具有至少</w:t>
      </w:r>
      <w:r>
        <w:rPr>
          <w:rFonts w:ascii="仿宋_GB2312" w:eastAsia="仿宋_GB2312" w:hAnsi="仿宋_GB2312"/>
          <w:sz w:val="24"/>
          <w:lang w:eastAsia="zh-CN"/>
        </w:rPr>
        <w:t>5</w:t>
      </w:r>
      <w:r>
        <w:rPr>
          <w:rFonts w:ascii="仿宋_GB2312" w:eastAsia="仿宋_GB2312" w:hAnsi="仿宋_GB2312" w:hint="eastAsia"/>
          <w:sz w:val="24"/>
          <w:lang w:eastAsia="zh-CN"/>
        </w:rPr>
        <w:t>个中央行政事业单位财会监督检查或审计项目经历</w:t>
      </w:r>
      <w:r>
        <w:rPr>
          <w:rFonts w:ascii="仿宋_GB2312" w:eastAsia="仿宋_GB2312" w:hAnsi="仿宋_GB2312"/>
          <w:sz w:val="24"/>
          <w:lang w:eastAsia="zh-CN"/>
        </w:rPr>
        <w:t>，熟悉行政事业单位业务流程和</w:t>
      </w:r>
      <w:r>
        <w:rPr>
          <w:rFonts w:ascii="仿宋_GB2312" w:eastAsia="仿宋_GB2312" w:hAnsi="仿宋_GB2312" w:hint="eastAsia"/>
          <w:sz w:val="24"/>
          <w:lang w:eastAsia="zh-CN"/>
        </w:rPr>
        <w:t>类似项目</w:t>
      </w:r>
      <w:r>
        <w:rPr>
          <w:rFonts w:ascii="仿宋_GB2312" w:eastAsia="仿宋_GB2312" w:hAnsi="仿宋_GB2312"/>
          <w:sz w:val="24"/>
          <w:lang w:eastAsia="zh-CN"/>
        </w:rPr>
        <w:t>常见风险点，能够独立带领团队开展现场检查工作；项目团队人员不少于</w:t>
      </w:r>
      <w:r>
        <w:rPr>
          <w:rFonts w:ascii="仿宋_GB2312" w:eastAsia="仿宋_GB2312" w:hAnsi="仿宋_GB2312" w:hint="eastAsia"/>
          <w:sz w:val="24"/>
          <w:lang w:eastAsia="zh-CN"/>
        </w:rPr>
        <w:t>6</w:t>
      </w:r>
      <w:r>
        <w:rPr>
          <w:rFonts w:ascii="仿宋_GB2312" w:eastAsia="仿宋_GB2312" w:hAnsi="仿宋_GB2312"/>
          <w:sz w:val="24"/>
          <w:lang w:eastAsia="zh-CN"/>
        </w:rPr>
        <w:t>人，其中</w:t>
      </w:r>
      <w:r>
        <w:rPr>
          <w:rFonts w:ascii="仿宋_GB2312" w:eastAsia="仿宋_GB2312" w:hAnsi="仿宋_GB2312" w:hint="eastAsia"/>
          <w:sz w:val="24"/>
          <w:lang w:eastAsia="zh-CN"/>
        </w:rPr>
        <w:t>驻场</w:t>
      </w:r>
      <w:r>
        <w:rPr>
          <w:rFonts w:ascii="仿宋_GB2312" w:eastAsia="仿宋_GB2312" w:hAnsi="仿宋_GB2312"/>
          <w:sz w:val="24"/>
          <w:lang w:eastAsia="zh-CN"/>
        </w:rPr>
        <w:t>人员不少于</w:t>
      </w:r>
      <w:r>
        <w:rPr>
          <w:rFonts w:ascii="仿宋_GB2312" w:eastAsia="仿宋_GB2312" w:hAnsi="仿宋_GB2312" w:hint="eastAsia"/>
          <w:sz w:val="24"/>
          <w:lang w:eastAsia="zh-CN"/>
        </w:rPr>
        <w:t>5人；</w:t>
      </w:r>
      <w:r>
        <w:rPr>
          <w:rFonts w:ascii="仿宋_GB2312" w:eastAsia="仿宋_GB2312" w:hAnsi="仿宋_GB2312"/>
          <w:sz w:val="24"/>
          <w:lang w:eastAsia="zh-CN"/>
        </w:rPr>
        <w:t>团队成员中应有注册会计师资格人员</w:t>
      </w:r>
      <w:r>
        <w:rPr>
          <w:rFonts w:ascii="仿宋_GB2312" w:eastAsia="仿宋_GB2312" w:hAnsi="仿宋_GB2312" w:hint="eastAsia"/>
          <w:sz w:val="24"/>
          <w:lang w:eastAsia="zh-CN"/>
        </w:rPr>
        <w:t>，</w:t>
      </w:r>
      <w:r>
        <w:rPr>
          <w:rFonts w:ascii="仿宋_GB2312" w:eastAsia="仿宋_GB2312" w:hAnsi="仿宋_GB2312"/>
          <w:sz w:val="24"/>
          <w:lang w:eastAsia="zh-CN"/>
        </w:rPr>
        <w:t>鼓励团队成员具备注册资产评估师（CVA）、内部控制评价师、造价工程师等资格；供应商须在投标文件中明确承诺：核心团队成员（项目负责人、现场负责人）在服务期间不得随意更换，如确需更换须经采购单位书面同意。</w:t>
      </w:r>
      <w:r>
        <w:rPr>
          <w:rFonts w:ascii="仿宋_GB2312" w:eastAsia="仿宋_GB2312" w:hAnsi="仿宋_GB2312" w:hint="eastAsia"/>
          <w:sz w:val="24"/>
          <w:lang w:eastAsia="zh-CN"/>
        </w:rPr>
        <w:t>从事中国气象局财务检查的专业人员熟悉北京地区相关规定；人员相对固定，具有较高的政治素质、政策水平和专业技术水平，业务熟练，经验丰富，勤奋敬业，认真负责，有团队协作精神，综合业务素质高。投标人须在投标文件中明确阐述为达到本项要求拟进行的人员安排和技术保障，并作出相应承诺。</w:t>
      </w:r>
    </w:p>
    <w:p>
      <w:pPr>
        <w:spacing w:line="400" w:lineRule="exact"/>
        <w:ind w:firstLine="480"/>
      </w:pPr>
      <w:r>
        <w:rPr>
          <w:rFonts w:ascii="仿宋_GB2312" w:eastAsia="仿宋_GB2312" w:hAnsi="仿宋_GB2312"/>
          <w:b/>
          <w:sz w:val="24"/>
          <w:lang w:eastAsia="zh-CN"/>
        </w:rPr>
        <w:t>7. 重点领域核查能力要求：</w:t>
      </w:r>
      <w:r>
        <w:rPr>
          <w:rFonts w:ascii="仿宋_GB2312" w:eastAsia="仿宋_GB2312" w:hAnsi="仿宋_GB2312"/>
          <w:sz w:val="24"/>
          <w:lang w:eastAsia="zh-CN"/>
        </w:rPr>
        <w:t>供应商须具备以下针对性核查能力，并在投标文件中提供具体的方法说明或案例佐证：能有效检查预算编制科学性、执行严肃性、调整规范性，以及决算真实完整性；擅长核查"三公"经费、会议费、培训费支出的真实性和合规性；能深入检查政府采购程序合规性、合同履行情况；能检查资产配置、使用、处置全流程管理的规范性，关注资产账实不符、闲置浪费等问题；具备跟踪检查项目立项、实施、验收及资金使用全过程的能力。</w:t>
      </w:r>
    </w:p>
    <w:p>
      <w:pPr>
        <w:spacing w:line="400" w:lineRule="exact"/>
        <w:ind w:firstLine="480"/>
      </w:pPr>
      <w:r>
        <w:rPr>
          <w:rFonts w:ascii="仿宋_GB2312" w:eastAsia="仿宋_GB2312" w:hAnsi="仿宋_GB2312"/>
          <w:b/>
          <w:sz w:val="24"/>
          <w:lang w:eastAsia="zh-CN"/>
        </w:rPr>
        <w:t>8. 问题归纳与报告撰写能力要求：</w:t>
      </w:r>
      <w:r>
        <w:rPr>
          <w:rFonts w:ascii="仿宋_GB2312" w:eastAsia="仿宋_GB2312" w:hAnsi="仿宋_GB2312"/>
          <w:sz w:val="24"/>
          <w:lang w:eastAsia="zh-CN"/>
        </w:rPr>
        <w:t>供应商须具备精准的问题归纳与报告撰写能力，具体要求包括：能对问题的性质、成因、影响进行准确界定和深入分析，不做表面描述；能够清晰、规范地撰写检查工作底稿，底稿要素齐全、逻辑严密、证据充分；所提问题须有充分证据支撑，不得主观臆断；所提整改建议须具有针对性和可操作性，避免泛泛而谈；检查报告语言规范、结构完整、定性准确、依据充分。</w:t>
      </w:r>
    </w:p>
    <w:p>
      <w:pPr>
        <w:spacing w:line="400" w:lineRule="exact"/>
        <w:ind w:firstLine="480"/>
        <w:rPr>
          <w:rFonts w:ascii="仿宋_GB2312" w:eastAsia="仿宋_GB2312" w:hAnsi="仿宋_GB2312"/>
        </w:rPr>
      </w:pPr>
      <w:r>
        <w:rPr>
          <w:rFonts w:ascii="仿宋_GB2312" w:eastAsia="仿宋_GB2312" w:hAnsi="仿宋_GB2312"/>
          <w:b/>
          <w:sz w:val="24"/>
          <w:lang w:eastAsia="zh-CN"/>
        </w:rPr>
        <w:t>9. 无违规记录：</w:t>
      </w:r>
      <w:r>
        <w:rPr>
          <w:rFonts w:ascii="仿宋_GB2312" w:eastAsia="仿宋_GB2312" w:hAnsi="仿宋_GB2312"/>
          <w:sz w:val="24"/>
          <w:lang w:eastAsia="zh-CN"/>
        </w:rPr>
        <w:t>近3年内不得有因违规执业被财政、审计、工商部门行政处罚的记录；不得在政府采购不良行为记录名单或失信被执行人名单内。</w:t>
      </w:r>
    </w:p>
    <w:p>
      <w:pPr>
        <w:spacing w:before="120" w:after="80" w:line="400" w:lineRule="exact"/>
      </w:pPr>
      <w:r>
        <w:rPr>
          <w:rFonts w:ascii="黑体" w:eastAsia="黑体" w:hAnsi="黑体"/>
          <w:b/>
          <w:sz w:val="26"/>
          <w:lang w:eastAsia="zh-CN"/>
        </w:rPr>
        <w:t>（二）服务实施要求</w:t>
      </w:r>
    </w:p>
    <w:p>
      <w:pPr>
        <w:spacing w:before="40" w:after="40" w:line="400" w:lineRule="exact"/>
        <w:ind w:firstLine="480"/>
        <w:rPr>
          <w:rFonts w:ascii="仿宋_GB2312" w:eastAsia="仿宋_GB2312" w:hAnsi="仿宋_GB2312"/>
        </w:rPr>
      </w:pPr>
      <w:r>
        <w:rPr>
          <w:rFonts w:ascii="仿宋_GB2312" w:eastAsia="仿宋_GB2312" w:hAnsi="仿宋_GB2312"/>
          <w:sz w:val="24"/>
          <w:lang w:eastAsia="zh-CN"/>
        </w:rPr>
        <w:t>1. 工作方案：</w:t>
      </w:r>
      <w:r>
        <w:rPr>
          <w:rFonts w:ascii="仿宋_GB2312" w:eastAsia="仿宋_GB2312" w:hAnsi="仿宋_GB2312" w:hint="eastAsia"/>
          <w:sz w:val="24"/>
          <w:lang w:eastAsia="zh-CN"/>
        </w:rPr>
        <w:t>中标</w:t>
      </w:r>
      <w:r>
        <w:rPr>
          <w:rFonts w:ascii="仿宋_GB2312" w:eastAsia="仿宋_GB2312" w:hAnsi="仿宋_GB2312"/>
          <w:sz w:val="24"/>
          <w:lang w:eastAsia="zh-CN"/>
        </w:rPr>
        <w:t>后</w:t>
      </w:r>
      <w:r>
        <w:rPr>
          <w:rFonts w:ascii="仿宋_GB2312" w:eastAsia="仿宋_GB2312" w:hAnsi="仿宋_GB2312" w:hint="eastAsia"/>
          <w:sz w:val="24"/>
          <w:lang w:val="en-US" w:eastAsia="zh-CN"/>
        </w:rPr>
        <w:t>5</w:t>
      </w:r>
      <w:r>
        <w:rPr>
          <w:rFonts w:ascii="仿宋_GB2312" w:eastAsia="仿宋_GB2312" w:hAnsi="仿宋_GB2312"/>
          <w:sz w:val="24"/>
          <w:lang w:eastAsia="zh-CN"/>
        </w:rPr>
        <w:t>个工作日内，供应商须提交详细的《财会监督检查工作方案》，明确</w:t>
      </w:r>
      <w:r>
        <w:rPr>
          <w:rFonts w:ascii="仿宋_GB2312" w:eastAsia="仿宋_GB2312" w:hAnsi="仿宋_GB2312" w:hint="eastAsia"/>
          <w:sz w:val="24"/>
          <w:lang w:eastAsia="zh-CN"/>
        </w:rPr>
        <w:t>检查内容和检查方法</w:t>
      </w:r>
      <w:r>
        <w:rPr>
          <w:rFonts w:ascii="仿宋_GB2312" w:eastAsia="仿宋_GB2312" w:hAnsi="仿宋_GB2312"/>
          <w:sz w:val="24"/>
          <w:lang w:eastAsia="zh-CN"/>
        </w:rPr>
        <w:t>，经采购单位审核确认后方可开展现场工作。</w:t>
      </w:r>
    </w:p>
    <w:p>
      <w:pPr>
        <w:spacing w:before="40" w:after="40" w:line="400" w:lineRule="exact"/>
        <w:ind w:firstLine="480"/>
        <w:rPr>
          <w:rFonts w:ascii="仿宋_GB2312" w:eastAsia="仿宋_GB2312" w:hAnsi="仿宋_GB2312" w:hint="eastAsia"/>
        </w:rPr>
      </w:pPr>
      <w:r>
        <w:rPr>
          <w:rFonts w:ascii="仿宋_GB2312" w:eastAsia="仿宋_GB2312" w:hAnsi="仿宋_GB2312"/>
          <w:sz w:val="24"/>
          <w:lang w:eastAsia="zh-CN"/>
        </w:rPr>
        <w:t>2. 项目启动：合同签订后</w:t>
      </w:r>
      <w:r>
        <w:rPr>
          <w:rFonts w:ascii="仿宋_GB2312" w:eastAsia="仿宋_GB2312" w:hAnsi="仿宋_GB2312" w:hint="eastAsia"/>
          <w:sz w:val="24"/>
          <w:lang w:val="en-US" w:eastAsia="zh-CN"/>
        </w:rPr>
        <w:t>7</w:t>
      </w:r>
      <w:r>
        <w:rPr>
          <w:rFonts w:ascii="仿宋_GB2312" w:eastAsia="仿宋_GB2312" w:hAnsi="仿宋_GB2312"/>
          <w:sz w:val="24"/>
          <w:lang w:eastAsia="zh-CN"/>
        </w:rPr>
        <w:t>个工作日内</w:t>
      </w:r>
      <w:r>
        <w:rPr>
          <w:rFonts w:ascii="仿宋_GB2312" w:eastAsia="仿宋_GB2312" w:hAnsi="仿宋_GB2312" w:hint="eastAsia"/>
          <w:sz w:val="24"/>
          <w:lang w:eastAsia="zh-CN"/>
        </w:rPr>
        <w:t>进驻现场开展工作。</w:t>
      </w:r>
    </w:p>
    <w:p>
      <w:pPr>
        <w:spacing w:before="40" w:after="40" w:line="400" w:lineRule="exact"/>
        <w:ind w:firstLine="480"/>
      </w:pPr>
      <w:r>
        <w:rPr>
          <w:rFonts w:ascii="仿宋_GB2312" w:eastAsia="仿宋_GB2312" w:hAnsi="仿宋_GB2312"/>
          <w:sz w:val="24"/>
          <w:lang w:eastAsia="zh-CN"/>
        </w:rPr>
        <w:t>3. 现场检查：现场工作累计不少于</w:t>
      </w:r>
      <w:r>
        <w:rPr>
          <w:rFonts w:ascii="仿宋_GB2312" w:eastAsia="仿宋_GB2312" w:hAnsi="仿宋_GB2312" w:hint="eastAsia"/>
          <w:sz w:val="24"/>
          <w:lang w:eastAsia="zh-CN"/>
        </w:rPr>
        <w:t>1</w:t>
      </w:r>
      <w:r>
        <w:rPr>
          <w:rFonts w:ascii="仿宋_GB2312" w:eastAsia="仿宋_GB2312" w:hAnsi="仿宋_GB2312"/>
          <w:sz w:val="24"/>
          <w:lang w:eastAsia="zh-CN"/>
        </w:rPr>
        <w:t>0个工作日，检查期间核心团队成员须全程在场，不得随意更换。如需更换人员，须书面通知采购单位并获得批准。</w:t>
      </w:r>
    </w:p>
    <w:p>
      <w:pPr>
        <w:spacing w:before="40" w:after="40" w:line="400" w:lineRule="exact"/>
        <w:ind w:firstLine="480"/>
      </w:pPr>
      <w:r>
        <w:rPr>
          <w:rFonts w:ascii="仿宋_GB2312" w:eastAsia="仿宋_GB2312" w:hAnsi="仿宋_GB2312"/>
          <w:sz w:val="24"/>
          <w:lang w:eastAsia="zh-CN"/>
        </w:rPr>
        <w:t>4. 阶段性沟通：现场检查过程中，每周提交一次阶段性工作简报，及时与采购单位沟通重要发现。</w:t>
      </w:r>
    </w:p>
    <w:p>
      <w:pPr>
        <w:spacing w:before="40" w:after="40" w:line="400" w:lineRule="exact"/>
        <w:ind w:firstLine="480"/>
      </w:pPr>
      <w:r>
        <w:rPr>
          <w:rFonts w:ascii="仿宋_GB2312" w:eastAsia="仿宋_GB2312" w:hAnsi="仿宋_GB2312"/>
          <w:sz w:val="24"/>
          <w:lang w:eastAsia="zh-CN"/>
        </w:rPr>
        <w:t>5. 保密要求：供应商及其全体项目成员须严格保守采购单位财务数据、内部管理信息及其他涉密内容，项目结束后须销毁或归还全部原始资料，不得用于本项目以外的任何用途。</w:t>
      </w:r>
    </w:p>
    <w:p>
      <w:pPr>
        <w:spacing w:before="40" w:after="40" w:line="400" w:lineRule="exact"/>
        <w:ind w:firstLine="480"/>
      </w:pPr>
      <w:r>
        <w:rPr>
          <w:rFonts w:ascii="仿宋_GB2312" w:eastAsia="仿宋_GB2312" w:hAnsi="仿宋_GB2312"/>
          <w:sz w:val="24"/>
          <w:lang w:eastAsia="zh-CN"/>
        </w:rPr>
        <w:t>6. 廉洁要求：严格遵守廉洁从业规定，不得向采购单位工作人员提供超标准礼品、宴请等，发现违规行为采购单位有权解除合同并追究相应责任。</w:t>
      </w:r>
    </w:p>
    <w:p>
      <w:pPr>
        <w:spacing w:before="120" w:after="80" w:line="400" w:lineRule="exact"/>
      </w:pPr>
      <w:r>
        <w:rPr>
          <w:rFonts w:ascii="黑体" w:eastAsia="黑体" w:hAnsi="黑体"/>
          <w:b/>
          <w:sz w:val="26"/>
          <w:lang w:eastAsia="zh-CN"/>
        </w:rPr>
        <w:t>（三）成果交付要求</w:t>
      </w:r>
    </w:p>
    <w:p>
      <w:pPr>
        <w:spacing w:before="40" w:after="40" w:line="400" w:lineRule="exact"/>
        <w:ind w:firstLine="480"/>
      </w:pPr>
      <w:r>
        <w:rPr>
          <w:rFonts w:ascii="仿宋_GB2312" w:eastAsia="仿宋_GB2312" w:hAnsi="仿宋_GB2312"/>
          <w:sz w:val="24"/>
          <w:lang w:eastAsia="zh-CN"/>
        </w:rPr>
        <w:t>各项成果交付物如下表所示：</w:t>
      </w:r>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075"/>
        <w:gridCol w:w="2075"/>
        <w:gridCol w:w="2075"/>
        <w:gridCol w:w="2075"/>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075" w:type="dxa"/>
            <w:shd w:val="clear" w:color="auto" w:fill="D9E1F2"/>
          </w:tcPr>
          <w:p>
            <w:pPr>
              <w:spacing w:after="0" w:line="400" w:lineRule="exact"/>
            </w:pPr>
            <w:r>
              <w:rPr>
                <w:rFonts w:ascii="黑体" w:eastAsia="黑体" w:hAnsi="黑体"/>
                <w:b/>
              </w:rPr>
              <w:t>序号</w:t>
            </w:r>
          </w:p>
        </w:tc>
        <w:tc>
          <w:tcPr>
            <w:tcW w:w="2075" w:type="dxa"/>
            <w:shd w:val="clear" w:color="auto" w:fill="D9E1F2"/>
          </w:tcPr>
          <w:p>
            <w:pPr>
              <w:spacing w:after="0" w:line="400" w:lineRule="exact"/>
            </w:pPr>
            <w:r>
              <w:rPr>
                <w:rFonts w:ascii="黑体" w:eastAsia="黑体" w:hAnsi="黑体"/>
                <w:b/>
              </w:rPr>
              <w:t>交付物</w:t>
            </w:r>
          </w:p>
        </w:tc>
        <w:tc>
          <w:tcPr>
            <w:tcW w:w="2075" w:type="dxa"/>
            <w:shd w:val="clear" w:color="auto" w:fill="D9E1F2"/>
          </w:tcPr>
          <w:p>
            <w:pPr>
              <w:spacing w:after="0" w:line="400" w:lineRule="exact"/>
            </w:pPr>
            <w:r>
              <w:rPr>
                <w:rFonts w:ascii="黑体" w:eastAsia="黑体" w:hAnsi="黑体"/>
                <w:b/>
              </w:rPr>
              <w:t>交付时间</w:t>
            </w:r>
          </w:p>
        </w:tc>
        <w:tc>
          <w:tcPr>
            <w:tcW w:w="2075" w:type="dxa"/>
            <w:shd w:val="clear" w:color="auto" w:fill="D9E1F2"/>
          </w:tcPr>
          <w:p>
            <w:pPr>
              <w:spacing w:after="0" w:line="400" w:lineRule="exact"/>
            </w:pPr>
            <w:r>
              <w:rPr>
                <w:rFonts w:ascii="黑体" w:eastAsia="黑体" w:hAnsi="黑体"/>
                <w:b/>
              </w:rPr>
              <w:t>份数</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1</w:t>
            </w:r>
          </w:p>
        </w:tc>
        <w:tc>
          <w:tcPr>
            <w:tcW w:w="2075" w:type="dxa"/>
          </w:tcPr>
          <w:p>
            <w:pPr>
              <w:spacing w:after="0" w:line="400" w:lineRule="exact"/>
            </w:pPr>
            <w:r>
              <w:rPr>
                <w:rFonts w:ascii="仿宋_GB2312" w:eastAsia="仿宋_GB2312" w:hAnsi="仿宋_GB2312"/>
                <w:lang w:eastAsia="zh-CN"/>
              </w:rPr>
              <w:t>《财会监督检查工作方案》</w:t>
            </w:r>
          </w:p>
        </w:tc>
        <w:tc>
          <w:tcPr>
            <w:tcW w:w="2075" w:type="dxa"/>
          </w:tcPr>
          <w:p>
            <w:pPr>
              <w:spacing w:after="0" w:line="400" w:lineRule="exact"/>
            </w:pPr>
            <w:r>
              <w:rPr>
                <w:rFonts w:ascii="仿宋_GB2312" w:eastAsia="仿宋_GB2312" w:hAnsi="仿宋_GB2312" w:hint="eastAsia"/>
                <w:lang w:eastAsia="zh-CN"/>
              </w:rPr>
              <w:t>中标</w:t>
            </w:r>
            <w:r>
              <w:rPr>
                <w:rFonts w:ascii="仿宋_GB2312" w:eastAsia="仿宋_GB2312" w:hAnsi="仿宋_GB2312"/>
                <w:lang w:eastAsia="zh-CN"/>
              </w:rPr>
              <w:t>后</w:t>
            </w:r>
            <w:r>
              <w:rPr>
                <w:rFonts w:ascii="仿宋_GB2312" w:eastAsia="仿宋_GB2312" w:hAnsi="仿宋_GB2312" w:hint="eastAsia"/>
                <w:lang w:val="en-US" w:eastAsia="zh-CN"/>
              </w:rPr>
              <w:t>5</w:t>
            </w:r>
            <w:r>
              <w:rPr>
                <w:rFonts w:ascii="仿宋_GB2312" w:eastAsia="仿宋_GB2312" w:hAnsi="仿宋_GB2312"/>
                <w:lang w:eastAsia="zh-CN"/>
              </w:rPr>
              <w:t>个工作日内</w:t>
            </w:r>
          </w:p>
        </w:tc>
        <w:tc>
          <w:tcPr>
            <w:tcW w:w="2075" w:type="dxa"/>
          </w:tcPr>
          <w:p>
            <w:pPr>
              <w:spacing w:after="0" w:line="400" w:lineRule="exact"/>
            </w:pPr>
            <w:r>
              <w:rPr>
                <w:rFonts w:ascii="仿宋_GB2312" w:eastAsia="仿宋_GB2312" w:hAnsi="仿宋_GB2312"/>
              </w:rPr>
              <w:t>电子版+纸质版各1份</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2</w:t>
            </w:r>
          </w:p>
        </w:tc>
        <w:tc>
          <w:tcPr>
            <w:tcW w:w="2075" w:type="dxa"/>
          </w:tcPr>
          <w:p>
            <w:pPr>
              <w:spacing w:after="0" w:line="400" w:lineRule="exact"/>
            </w:pPr>
            <w:r>
              <w:rPr>
                <w:rFonts w:ascii="仿宋_GB2312" w:eastAsia="仿宋_GB2312" w:hAnsi="仿宋_GB2312"/>
                <w:lang w:eastAsia="zh-CN"/>
              </w:rPr>
              <w:t>《现场检查阶段性简报》</w:t>
            </w:r>
          </w:p>
        </w:tc>
        <w:tc>
          <w:tcPr>
            <w:tcW w:w="2075" w:type="dxa"/>
          </w:tcPr>
          <w:p>
            <w:pPr>
              <w:spacing w:after="0" w:line="400" w:lineRule="exact"/>
            </w:pPr>
            <w:r>
              <w:rPr>
                <w:rFonts w:ascii="仿宋_GB2312" w:eastAsia="仿宋_GB2312" w:hAnsi="仿宋_GB2312"/>
              </w:rPr>
              <w:t>现场工作每周1次</w:t>
            </w:r>
          </w:p>
        </w:tc>
        <w:tc>
          <w:tcPr>
            <w:tcW w:w="2075" w:type="dxa"/>
          </w:tcPr>
          <w:p>
            <w:pPr>
              <w:spacing w:after="0" w:line="400" w:lineRule="exact"/>
            </w:pPr>
            <w:r>
              <w:rPr>
                <w:rFonts w:ascii="仿宋_GB2312" w:eastAsia="仿宋_GB2312" w:hAnsi="仿宋_GB2312"/>
              </w:rPr>
              <w:t>电子版</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3</w:t>
            </w:r>
          </w:p>
        </w:tc>
        <w:tc>
          <w:tcPr>
            <w:tcW w:w="2075" w:type="dxa"/>
          </w:tcPr>
          <w:p>
            <w:pPr>
              <w:spacing w:after="0" w:line="400" w:lineRule="exact"/>
            </w:pPr>
            <w:r>
              <w:rPr>
                <w:rFonts w:ascii="仿宋_GB2312" w:eastAsia="仿宋_GB2312" w:hAnsi="仿宋_GB2312"/>
                <w:lang w:eastAsia="zh-CN"/>
              </w:rPr>
              <w:t>《财会监督检查报告（征求意见稿）》</w:t>
            </w:r>
          </w:p>
        </w:tc>
        <w:tc>
          <w:tcPr>
            <w:tcW w:w="2075" w:type="dxa"/>
          </w:tcPr>
          <w:p>
            <w:pPr>
              <w:spacing w:after="0" w:line="400" w:lineRule="exact"/>
            </w:pPr>
            <w:r>
              <w:rPr>
                <w:rFonts w:ascii="仿宋_GB2312" w:eastAsia="仿宋_GB2312" w:hAnsi="仿宋_GB2312"/>
                <w:lang w:eastAsia="zh-CN"/>
              </w:rPr>
              <w:t>现场工作结束后10个工作日内</w:t>
            </w:r>
          </w:p>
        </w:tc>
        <w:tc>
          <w:tcPr>
            <w:tcW w:w="2075" w:type="dxa"/>
          </w:tcPr>
          <w:p>
            <w:pPr>
              <w:spacing w:after="0" w:line="400" w:lineRule="exact"/>
            </w:pPr>
            <w:r>
              <w:rPr>
                <w:rFonts w:ascii="仿宋_GB2312" w:eastAsia="仿宋_GB2312" w:hAnsi="仿宋_GB2312"/>
              </w:rPr>
              <w:t>电子版+纸质版各2份</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4</w:t>
            </w:r>
          </w:p>
        </w:tc>
        <w:tc>
          <w:tcPr>
            <w:tcW w:w="2075" w:type="dxa"/>
          </w:tcPr>
          <w:p>
            <w:pPr>
              <w:spacing w:after="0" w:line="400" w:lineRule="exact"/>
            </w:pPr>
            <w:r>
              <w:rPr>
                <w:rFonts w:ascii="仿宋_GB2312" w:eastAsia="仿宋_GB2312" w:hAnsi="仿宋_GB2312"/>
                <w:lang w:eastAsia="zh-CN"/>
              </w:rPr>
              <w:t>《财会监督检查报告（正式稿）》</w:t>
            </w:r>
          </w:p>
        </w:tc>
        <w:tc>
          <w:tcPr>
            <w:tcW w:w="2075" w:type="dxa"/>
          </w:tcPr>
          <w:p>
            <w:pPr>
              <w:spacing w:after="0" w:line="400" w:lineRule="exact"/>
            </w:pPr>
            <w:r>
              <w:rPr>
                <w:rFonts w:ascii="仿宋_GB2312" w:eastAsia="仿宋_GB2312" w:hAnsi="仿宋_GB2312"/>
                <w:lang w:eastAsia="zh-CN"/>
              </w:rPr>
              <w:t>征求意见反馈后5个工作日内</w:t>
            </w:r>
          </w:p>
        </w:tc>
        <w:tc>
          <w:tcPr>
            <w:tcW w:w="2075" w:type="dxa"/>
          </w:tcPr>
          <w:p>
            <w:pPr>
              <w:spacing w:after="0" w:line="400" w:lineRule="exact"/>
            </w:pPr>
            <w:r>
              <w:rPr>
                <w:rFonts w:ascii="仿宋_GB2312" w:eastAsia="仿宋_GB2312" w:hAnsi="仿宋_GB2312"/>
              </w:rPr>
              <w:t>电子版+纸质版各</w:t>
            </w:r>
            <w:r>
              <w:rPr>
                <w:rFonts w:ascii="仿宋_GB2312" w:eastAsia="仿宋_GB2312" w:hAnsi="仿宋_GB2312" w:hint="eastAsia"/>
                <w:lang w:eastAsia="zh-CN"/>
              </w:rPr>
              <w:t>2</w:t>
            </w:r>
            <w:r>
              <w:rPr>
                <w:rFonts w:ascii="仿宋_GB2312" w:eastAsia="仿宋_GB2312" w:hAnsi="仿宋_GB2312"/>
              </w:rPr>
              <w:t>份</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5</w:t>
            </w:r>
          </w:p>
        </w:tc>
        <w:tc>
          <w:tcPr>
            <w:tcW w:w="2075" w:type="dxa"/>
          </w:tcPr>
          <w:p>
            <w:pPr>
              <w:spacing w:after="0" w:line="400" w:lineRule="exact"/>
            </w:pPr>
            <w:r>
              <w:rPr>
                <w:rFonts w:ascii="仿宋_GB2312" w:eastAsia="仿宋_GB2312" w:hAnsi="仿宋_GB2312"/>
              </w:rPr>
              <w:t>《整改建议清单》</w:t>
            </w:r>
          </w:p>
        </w:tc>
        <w:tc>
          <w:tcPr>
            <w:tcW w:w="2075" w:type="dxa"/>
          </w:tcPr>
          <w:p>
            <w:pPr>
              <w:spacing w:after="0" w:line="400" w:lineRule="exact"/>
            </w:pPr>
            <w:r>
              <w:rPr>
                <w:rFonts w:ascii="仿宋_GB2312" w:eastAsia="仿宋_GB2312" w:hAnsi="仿宋_GB2312"/>
              </w:rPr>
              <w:t>与正式报告同步提交</w:t>
            </w:r>
          </w:p>
        </w:tc>
        <w:tc>
          <w:tcPr>
            <w:tcW w:w="2075" w:type="dxa"/>
          </w:tcPr>
          <w:p>
            <w:pPr>
              <w:spacing w:after="0" w:line="400" w:lineRule="exact"/>
            </w:pPr>
            <w:r>
              <w:rPr>
                <w:rFonts w:ascii="仿宋_GB2312" w:eastAsia="仿宋_GB2312" w:hAnsi="仿宋_GB2312"/>
              </w:rPr>
              <w:t>电子版+纸质版各</w:t>
            </w:r>
            <w:r>
              <w:rPr>
                <w:rFonts w:ascii="仿宋_GB2312" w:eastAsia="仿宋_GB2312" w:hAnsi="仿宋_GB2312" w:hint="eastAsia"/>
                <w:lang w:eastAsia="zh-CN"/>
              </w:rPr>
              <w:t>2</w:t>
            </w:r>
            <w:r>
              <w:rPr>
                <w:rFonts w:ascii="仿宋_GB2312" w:eastAsia="仿宋_GB2312" w:hAnsi="仿宋_GB2312"/>
              </w:rPr>
              <w:t>份</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6</w:t>
            </w:r>
          </w:p>
        </w:tc>
        <w:tc>
          <w:tcPr>
            <w:tcW w:w="2075" w:type="dxa"/>
          </w:tcPr>
          <w:p>
            <w:pPr>
              <w:spacing w:after="0" w:line="400" w:lineRule="exact"/>
            </w:pPr>
            <w:r>
              <w:rPr>
                <w:rFonts w:ascii="仿宋_GB2312" w:eastAsia="仿宋_GB2312" w:hAnsi="仿宋_GB2312"/>
              </w:rPr>
              <w:t>工作底稿（归档）</w:t>
            </w:r>
          </w:p>
        </w:tc>
        <w:tc>
          <w:tcPr>
            <w:tcW w:w="2075" w:type="dxa"/>
          </w:tcPr>
          <w:p>
            <w:pPr>
              <w:spacing w:after="0" w:line="400" w:lineRule="exact"/>
            </w:pPr>
            <w:r>
              <w:rPr>
                <w:rFonts w:ascii="仿宋_GB2312" w:eastAsia="仿宋_GB2312" w:hAnsi="仿宋_GB2312"/>
              </w:rPr>
              <w:t>项目结束后移交</w:t>
            </w:r>
          </w:p>
        </w:tc>
        <w:tc>
          <w:tcPr>
            <w:tcW w:w="2075" w:type="dxa"/>
          </w:tcPr>
          <w:p>
            <w:pPr>
              <w:spacing w:after="0" w:line="400" w:lineRule="exact"/>
            </w:pPr>
            <w:r>
              <w:rPr>
                <w:rFonts w:ascii="仿宋_GB2312" w:eastAsia="仿宋_GB2312" w:hAnsi="仿宋_GB2312"/>
              </w:rPr>
              <w:t>按项目实际情况</w:t>
            </w:r>
          </w:p>
        </w:tc>
      </w:tr>
    </w:tbl>
    <w:p>
      <w:pPr>
        <w:spacing w:line="400" w:lineRule="exact"/>
      </w:pPr>
    </w:p>
    <w:p>
      <w:pPr>
        <w:spacing w:before="40" w:after="40" w:line="400" w:lineRule="exact"/>
        <w:ind w:firstLine="480"/>
      </w:pPr>
      <w:r>
        <w:rPr>
          <w:rFonts w:ascii="仿宋_GB2312" w:eastAsia="仿宋_GB2312" w:hAnsi="仿宋_GB2312"/>
          <w:sz w:val="24"/>
        </w:rPr>
        <w:t>报告质量要求：</w:t>
      </w:r>
    </w:p>
    <w:p>
      <w:pPr>
        <w:spacing w:line="400" w:lineRule="exact"/>
        <w:ind w:firstLine="480"/>
      </w:pPr>
      <w:r>
        <w:rPr>
          <w:rFonts w:ascii="仿宋_GB2312" w:eastAsia="仿宋_GB2312" w:hAnsi="仿宋_GB2312" w:hint="eastAsia"/>
          <w:sz w:val="24"/>
          <w:lang w:eastAsia="zh-CN"/>
        </w:rPr>
        <w:t>1.</w:t>
      </w:r>
      <w:r>
        <w:rPr>
          <w:rFonts w:ascii="仿宋_GB2312" w:eastAsia="仿宋_GB2312" w:hAnsi="仿宋_GB2312"/>
          <w:sz w:val="24"/>
          <w:lang w:eastAsia="zh-CN"/>
        </w:rPr>
        <w:t>检查报告须包含：检查背景与目的、检查范围与方法、发现问题及定性、整改建议、综合评价五个部分</w:t>
      </w:r>
      <w:r>
        <w:rPr>
          <w:rFonts w:ascii="仿宋_GB2312" w:eastAsia="仿宋_GB2312" w:hAnsi="仿宋_GB2312" w:hint="eastAsia"/>
          <w:sz w:val="24"/>
          <w:lang w:eastAsia="zh-CN"/>
        </w:rPr>
        <w:t>。</w:t>
      </w:r>
    </w:p>
    <w:p>
      <w:pPr>
        <w:spacing w:line="400" w:lineRule="exact"/>
        <w:ind w:firstLine="480"/>
      </w:pPr>
      <w:r>
        <w:rPr>
          <w:rFonts w:ascii="仿宋_GB2312" w:eastAsia="仿宋_GB2312" w:hAnsi="仿宋_GB2312" w:hint="eastAsia"/>
          <w:sz w:val="24"/>
          <w:lang w:eastAsia="zh-CN"/>
        </w:rPr>
        <w:t>2.</w:t>
      </w:r>
      <w:r>
        <w:rPr>
          <w:rFonts w:ascii="仿宋_GB2312" w:eastAsia="仿宋_GB2312" w:hAnsi="仿宋_GB2312"/>
          <w:sz w:val="24"/>
          <w:lang w:eastAsia="zh-CN"/>
        </w:rPr>
        <w:t>每个问题须说明：问题性质、违规依据、成因分析、影响程度，并附充分证据支撑</w:t>
      </w:r>
      <w:r>
        <w:rPr>
          <w:rFonts w:ascii="仿宋_GB2312" w:eastAsia="仿宋_GB2312" w:hAnsi="仿宋_GB2312" w:hint="eastAsia"/>
          <w:sz w:val="24"/>
          <w:lang w:eastAsia="zh-CN"/>
        </w:rPr>
        <w:t>。</w:t>
      </w:r>
    </w:p>
    <w:p>
      <w:pPr>
        <w:spacing w:line="400" w:lineRule="exact"/>
        <w:ind w:firstLine="480"/>
        <w:rPr>
          <w:rFonts w:ascii="仿宋_GB2312" w:eastAsia="仿宋_GB2312" w:hAnsi="仿宋_GB2312"/>
        </w:rPr>
      </w:pPr>
      <w:r>
        <w:rPr>
          <w:rFonts w:ascii="仿宋_GB2312" w:eastAsia="仿宋_GB2312" w:hAnsi="仿宋_GB2312" w:hint="eastAsia"/>
          <w:sz w:val="24"/>
          <w:lang w:eastAsia="zh-CN"/>
        </w:rPr>
        <w:t>3.</w:t>
      </w:r>
      <w:r>
        <w:rPr>
          <w:rFonts w:ascii="仿宋_GB2312" w:eastAsia="仿宋_GB2312" w:hAnsi="仿宋_GB2312"/>
          <w:sz w:val="24"/>
          <w:lang w:eastAsia="zh-CN"/>
        </w:rPr>
        <w:t>整改建议须针对具体问题提出，具有可操作性，明确责任主体和整改时限</w:t>
      </w:r>
      <w:r>
        <w:rPr>
          <w:rFonts w:ascii="仿宋_GB2312" w:eastAsia="仿宋_GB2312" w:hAnsi="仿宋_GB2312" w:hint="eastAsia"/>
          <w:sz w:val="24"/>
          <w:lang w:eastAsia="zh-CN"/>
        </w:rPr>
        <w:t>。</w:t>
      </w:r>
    </w:p>
    <w:p>
      <w:pPr>
        <w:spacing w:line="400" w:lineRule="exact"/>
        <w:ind w:firstLine="480"/>
      </w:pPr>
      <w:r>
        <w:rPr>
          <w:rFonts w:hint="eastAsia"/>
          <w:lang w:eastAsia="zh-CN"/>
        </w:rPr>
        <w:t>3.</w:t>
      </w:r>
      <w:r>
        <w:rPr>
          <w:rFonts w:ascii="仿宋_GB2312" w:eastAsia="仿宋_GB2312" w:hAnsi="仿宋_GB2312"/>
          <w:sz w:val="24"/>
          <w:lang w:eastAsia="zh-CN"/>
        </w:rPr>
        <w:t>正式报告须经供应商注册会计师签章，并加盖事务所公章</w:t>
      </w:r>
      <w:r>
        <w:rPr>
          <w:rFonts w:ascii="仿宋_GB2312" w:eastAsia="仿宋_GB2312" w:hAnsi="仿宋_GB2312" w:hint="eastAsia"/>
          <w:sz w:val="24"/>
          <w:lang w:eastAsia="zh-CN"/>
        </w:rPr>
        <w:t>。</w:t>
      </w:r>
    </w:p>
    <w:p>
      <w:pPr>
        <w:spacing w:line="400" w:lineRule="exact"/>
        <w:ind w:firstLine="480"/>
      </w:pPr>
      <w:r>
        <w:rPr>
          <w:rFonts w:ascii="仿宋_GB2312" w:eastAsia="仿宋_GB2312" w:hAnsi="仿宋_GB2312" w:hint="eastAsia"/>
          <w:sz w:val="24"/>
          <w:lang w:eastAsia="zh-CN"/>
        </w:rPr>
        <w:t>4.</w:t>
      </w:r>
      <w:r>
        <w:rPr>
          <w:rFonts w:ascii="仿宋_GB2312" w:eastAsia="仿宋_GB2312" w:hAnsi="仿宋_GB2312"/>
          <w:sz w:val="24"/>
          <w:lang w:eastAsia="zh-CN"/>
        </w:rPr>
        <w:t>工作底稿须要素齐全、逻辑清晰，符合审计准则相关要求，供采购单位归档备查。</w:t>
      </w:r>
    </w:p>
    <w:p/>
    <w:p w:rsidR="00A77B3E"/>
    <w:p>
      <w:pPr>
        <w:spacing w:before="120" w:after="80"/>
        <w:jc w:val="center"/>
        <w:rPr>
          <w:rFonts w:ascii="方正小标宋简体" w:eastAsia="方正小标宋简体" w:hAnsi="方正小标宋简体"/>
          <w:b/>
          <w:sz w:val="36"/>
        </w:rPr>
        <w:sectPr>
          <w:pgSz w:w="11906" w:h="16838"/>
          <w:pgMar w:top="1418" w:right="1418" w:bottom="1418" w:left="1701" w:header="851" w:footer="851" w:gutter="0"/>
          <w:cols w:space="708"/>
          <w:docGrid w:type="linesAndChars" w:linePitch="312"/>
        </w:sectPr>
      </w:pPr>
      <w:bookmarkEnd w:id="58"/>
    </w:p>
    <w:p w:rsidR="005260FF">
      <w:pPr>
        <w:spacing w:before="156" w:beforeLines="50" w:line="360" w:lineRule="auto"/>
        <w:jc w:val="center"/>
        <w:outlineLvl w:val="1"/>
        <w:rPr>
          <w:rFonts w:ascii="宋体" w:hAnsi="宋体"/>
          <w:b/>
          <w:sz w:val="30"/>
          <w:szCs w:val="30"/>
        </w:rPr>
      </w:pPr>
      <w:bookmarkStart w:id="59" w:name="投标被拒绝条款专用部分_JJTK"/>
      <w:r>
        <w:rPr>
          <w:rFonts w:ascii="宋体" w:hAnsi="宋体" w:hint="eastAsia"/>
          <w:b/>
          <w:sz w:val="30"/>
          <w:szCs w:val="30"/>
        </w:rPr>
        <w:t>第八章</w:t>
      </w:r>
      <w:r>
        <w:rPr>
          <w:rFonts w:ascii="宋体" w:hAnsi="宋体" w:hint="eastAsia"/>
          <w:b/>
          <w:sz w:val="30"/>
          <w:szCs w:val="30"/>
        </w:rPr>
        <w:t xml:space="preserve">  </w:t>
      </w:r>
      <w:r>
        <w:rPr>
          <w:rFonts w:ascii="宋体" w:hAnsi="宋体" w:hint="eastAsia"/>
          <w:b/>
          <w:sz w:val="30"/>
          <w:szCs w:val="30"/>
        </w:rPr>
        <w:t>投标被拒绝条款专用部分</w:t>
      </w:r>
    </w:p>
    <w:p w:rsidR="005260FF">
      <w:pPr>
        <w:adjustRightInd w:val="0"/>
        <w:snapToGrid w:val="0"/>
        <w:spacing w:before="156" w:beforeLines="50" w:line="360" w:lineRule="auto"/>
        <w:rPr>
          <w:rFonts w:ascii="宋体" w:hAnsi="宋体"/>
          <w:szCs w:val="21"/>
        </w:rPr>
      </w:pPr>
    </w:p>
    <w:p w:rsidR="005260FF">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4F0C22">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5260FF">
            <w:pPr>
              <w:rPr>
                <w:sz w:val="18"/>
                <w:szCs w:val="18"/>
              </w:rPr>
            </w:pPr>
            <w:r>
              <w:rPr>
                <w:rFonts w:hint="eastAsia"/>
                <w:sz w:val="18"/>
                <w:szCs w:val="18"/>
              </w:rPr>
              <w:t>序号</w:t>
            </w:r>
          </w:p>
        </w:tc>
        <w:tc>
          <w:tcPr>
            <w:tcW w:w="898" w:type="dxa"/>
            <w:vAlign w:val="center"/>
          </w:tcPr>
          <w:p w:rsidR="005260FF">
            <w:pPr>
              <w:jc w:val="center"/>
              <w:rPr>
                <w:sz w:val="18"/>
                <w:szCs w:val="18"/>
              </w:rPr>
            </w:pPr>
            <w:r>
              <w:rPr>
                <w:rFonts w:hint="eastAsia"/>
                <w:sz w:val="18"/>
                <w:szCs w:val="18"/>
              </w:rPr>
              <w:t>对应</w:t>
            </w:r>
          </w:p>
          <w:p w:rsidR="005260FF">
            <w:pPr>
              <w:jc w:val="center"/>
              <w:rPr>
                <w:sz w:val="18"/>
                <w:szCs w:val="18"/>
              </w:rPr>
            </w:pPr>
            <w:r>
              <w:rPr>
                <w:rFonts w:hint="eastAsia"/>
                <w:sz w:val="18"/>
                <w:szCs w:val="18"/>
              </w:rPr>
              <w:t>条款号</w:t>
            </w:r>
          </w:p>
        </w:tc>
        <w:tc>
          <w:tcPr>
            <w:tcW w:w="7347" w:type="dxa"/>
            <w:vAlign w:val="center"/>
          </w:tcPr>
          <w:p w:rsidR="005260FF">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4F0C22">
        <w:tblPrEx>
          <w:tblW w:w="8789" w:type="dxa"/>
          <w:tblLayout w:type="fixed"/>
          <w:tblLook w:val="04A0"/>
        </w:tblPrEx>
        <w:trPr>
          <w:cantSplit/>
        </w:trPr>
        <w:tc>
          <w:tcPr>
            <w:tcW w:w="8789" w:type="dxa"/>
            <w:gridSpan w:val="3"/>
            <w:vAlign w:val="center"/>
          </w:tcPr>
          <w:p w:rsidR="005260FF">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4F0C22">
        <w:tblPrEx>
          <w:tblW w:w="8789" w:type="dxa"/>
          <w:tblLayout w:type="fixed"/>
          <w:tblLook w:val="04A0"/>
        </w:tblPrEx>
        <w:trPr>
          <w:cantSplit/>
        </w:trPr>
        <w:tc>
          <w:tcPr>
            <w:tcW w:w="544" w:type="dxa"/>
            <w:vAlign w:val="center"/>
          </w:tcPr>
          <w:p w:rsidR="005260FF">
            <w:pPr>
              <w:numPr>
                <w:ilvl w:val="0"/>
                <w:numId w:val="7"/>
              </w:numPr>
              <w:rPr>
                <w:rFonts w:ascii="宋体" w:hAnsi="宋体"/>
                <w:sz w:val="18"/>
                <w:szCs w:val="18"/>
              </w:rPr>
            </w:pPr>
          </w:p>
        </w:tc>
        <w:tc>
          <w:tcPr>
            <w:tcW w:w="898" w:type="dxa"/>
            <w:vAlign w:val="center"/>
          </w:tcPr>
          <w:p w:rsidR="005260FF">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5260FF" w:rsidP="004F0C22">
            <w:pPr>
              <w:tabs>
                <w:tab w:val="left" w:pos="709"/>
              </w:tabs>
              <w:spacing w:line="360" w:lineRule="auto"/>
              <w:jc w:val="left"/>
              <w:rPr>
                <w:rFonts w:ascii="宋体" w:hAnsi="宋体"/>
                <w:sz w:val="18"/>
                <w:szCs w:val="18"/>
              </w:rPr>
            </w:pPr>
            <w:r w:rsidRPr="004F0C22">
              <w:rPr>
                <w:rFonts w:ascii="宋体" w:hAnsi="宋体" w:cs="微软雅黑" w:hint="eastAsia"/>
                <w:b/>
                <w:color w:val="0000FF"/>
                <w:kern w:val="0"/>
                <w:sz w:val="18"/>
                <w:szCs w:val="18"/>
              </w:rPr>
              <w:t>投标人</w:t>
            </w:r>
            <w:r>
              <w:rPr>
                <w:rFonts w:ascii="宋体" w:hAnsi="宋体" w:cs="微软雅黑" w:hint="eastAsia"/>
                <w:b/>
                <w:color w:val="0000FF"/>
                <w:kern w:val="0"/>
                <w:sz w:val="18"/>
                <w:szCs w:val="18"/>
              </w:rPr>
              <w:t>具有</w:t>
            </w:r>
            <w:r w:rsidRPr="004F0C22">
              <w:rPr>
                <w:rFonts w:ascii="宋体" w:hAnsi="宋体" w:cs="微软雅黑" w:hint="eastAsia"/>
                <w:b/>
                <w:color w:val="0000FF"/>
                <w:kern w:val="0"/>
                <w:sz w:val="18"/>
                <w:szCs w:val="18"/>
              </w:rPr>
              <w:t>有效期内国家注册会计师行业主管部门颁发的《会计师事务所执业证书》</w:t>
            </w:r>
          </w:p>
        </w:tc>
      </w:tr>
      <w:tr w:rsidTr="004F0C22">
        <w:tblPrEx>
          <w:tblW w:w="8789" w:type="dxa"/>
          <w:tblLayout w:type="fixed"/>
          <w:tblLook w:val="04A0"/>
        </w:tblPrEx>
        <w:trPr>
          <w:cantSplit/>
        </w:trPr>
        <w:tc>
          <w:tcPr>
            <w:tcW w:w="8789" w:type="dxa"/>
            <w:gridSpan w:val="3"/>
            <w:vAlign w:val="center"/>
          </w:tcPr>
          <w:p w:rsidR="005260FF">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4F0C22">
        <w:tblPrEx>
          <w:tblW w:w="8789" w:type="dxa"/>
          <w:tblLayout w:type="fixed"/>
          <w:tblLook w:val="04A0"/>
        </w:tblPrEx>
        <w:trPr>
          <w:cantSplit/>
        </w:trPr>
        <w:tc>
          <w:tcPr>
            <w:tcW w:w="544" w:type="dxa"/>
            <w:vAlign w:val="center"/>
          </w:tcPr>
          <w:p w:rsidR="005260FF">
            <w:pPr>
              <w:numPr>
                <w:ilvl w:val="0"/>
                <w:numId w:val="7"/>
              </w:numPr>
              <w:rPr>
                <w:rFonts w:ascii="宋体" w:hAnsi="宋体"/>
                <w:sz w:val="18"/>
                <w:szCs w:val="18"/>
              </w:rPr>
            </w:pPr>
          </w:p>
        </w:tc>
        <w:tc>
          <w:tcPr>
            <w:tcW w:w="898" w:type="dxa"/>
            <w:vAlign w:val="center"/>
          </w:tcPr>
          <w:p w:rsidR="005260FF">
            <w:pPr>
              <w:jc w:val="center"/>
              <w:rPr>
                <w:rFonts w:ascii="宋体" w:hAnsi="宋体"/>
                <w:sz w:val="18"/>
                <w:szCs w:val="18"/>
              </w:rPr>
            </w:pPr>
          </w:p>
        </w:tc>
        <w:tc>
          <w:tcPr>
            <w:tcW w:w="7347" w:type="dxa"/>
            <w:vAlign w:val="center"/>
          </w:tcPr>
          <w:p w:rsidR="005260FF">
            <w:pPr>
              <w:tabs>
                <w:tab w:val="left" w:pos="709"/>
              </w:tabs>
              <w:spacing w:line="360" w:lineRule="auto"/>
              <w:jc w:val="left"/>
              <w:rPr>
                <w:rFonts w:ascii="宋体" w:hAnsi="宋体"/>
                <w:sz w:val="18"/>
                <w:szCs w:val="18"/>
              </w:rPr>
            </w:pPr>
            <w:r>
              <w:rPr>
                <w:rFonts w:ascii="宋体" w:hAnsi="宋体" w:hint="eastAsia"/>
                <w:sz w:val="18"/>
                <w:szCs w:val="18"/>
              </w:rPr>
              <w:t>无</w:t>
            </w:r>
          </w:p>
        </w:tc>
      </w:tr>
    </w:tbl>
    <w:p w:rsidR="005260FF">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5260FF">
      <w:pPr>
        <w:spacing w:before="156" w:beforeLines="50" w:line="360" w:lineRule="auto"/>
        <w:ind w:firstLine="420"/>
      </w:pPr>
    </w:p>
    <w:p w:rsidR="00A77B3E"/>
    <w:p w:rsidR="005260FF">
      <w:pPr>
        <w:spacing w:before="156" w:beforeLines="50" w:line="360" w:lineRule="auto"/>
        <w:jc w:val="center"/>
        <w:outlineLvl w:val="1"/>
        <w:rPr>
          <w:rFonts w:ascii="宋体" w:hAnsi="宋体"/>
          <w:b/>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5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ascii="Times New Roman" w:eastAsia="宋体" w:hAnsi="Times New Roman" w:cs="Times New Roman" w:hint="eastAsia"/>
          <w:b/>
          <w:bCs/>
          <w:szCs w:val="21"/>
          <w:highlight w:val="none"/>
        </w:rPr>
      </w:pPr>
      <w:bookmarkStart w:id="60" w:name="采购公告合同部分_ZBGGHT"/>
      <w:r>
        <w:rPr>
          <w:rFonts w:ascii="Times New Roman" w:eastAsia="宋体" w:hAnsi="Times New Roman" w:cs="Times New Roman" w:hint="eastAsia"/>
          <w:b/>
          <w:bCs/>
          <w:szCs w:val="21"/>
          <w:highlight w:val="none"/>
        </w:rPr>
        <w:t xml:space="preserve"> 采购合同</w:t>
      </w:r>
    </w:p>
    <w:p>
      <w:pPr>
        <w:numPr>
          <w:ilvl w:val="0"/>
          <w:numId w:val="0"/>
        </w:numPr>
        <w:spacing w:line="360" w:lineRule="auto"/>
        <w:ind w:left="1680" w:firstLine="420" w:leftChars="0" w:firstLineChars="0"/>
        <w:jc w:val="left"/>
        <w:rPr>
          <w:rFonts w:ascii="Times New Roman" w:eastAsia="宋体" w:hAnsi="Times New Roman" w:cs="Times New Roman" w:hint="eastAsia"/>
          <w:b/>
          <w:bCs/>
          <w:szCs w:val="21"/>
          <w:highlight w:val="none"/>
        </w:rPr>
      </w:pPr>
      <w:r>
        <w:rPr>
          <w:rFonts w:hint="eastAsia"/>
          <w:b/>
          <w:bCs/>
          <w:szCs w:val="21"/>
          <w:highlight w:val="none"/>
        </w:rPr>
        <w:t>必须明确合同金额支付条件及支付比例</w:t>
      </w:r>
    </w:p>
    <w:p>
      <w:pPr>
        <w:spacing w:line="360" w:lineRule="auto"/>
        <w:ind w:firstLine="3066" w:firstLineChars="1460"/>
        <w:jc w:val="left"/>
        <w:rPr>
          <w:rFonts w:ascii="Times New Roman" w:eastAsia="宋体" w:hAnsi="Times New Roman" w:cs="Times New Roman"/>
          <w:b/>
          <w:bCs/>
          <w:szCs w:val="21"/>
          <w:highlight w:val="none"/>
        </w:rPr>
      </w:pPr>
      <w:r>
        <w:rPr>
          <w:rFonts w:ascii="Times New Roman" w:eastAsia="宋体" w:hAnsi="Times New Roman" w:cs="Times New Roman"/>
          <w:b/>
          <w:bCs/>
          <w:szCs w:val="21"/>
          <w:highlight w:val="none"/>
        </w:rPr>
        <w:br w:type="page"/>
      </w:r>
    </w:p>
    <w:p>
      <w:pPr>
        <w:widowControl/>
        <w:jc w:val="center"/>
        <w:rPr>
          <w:rFonts w:ascii="宋体" w:eastAsia="微软雅黑" w:hAnsi="宋体" w:cs="宋体"/>
          <w:b/>
          <w:bCs/>
          <w:color w:val="595959"/>
          <w:spacing w:val="-20"/>
          <w:kern w:val="44"/>
          <w:sz w:val="48"/>
          <w:szCs w:val="48"/>
          <w:highlight w:val="none"/>
          <w:lang w:val="zh-CN"/>
        </w:rPr>
      </w:pPr>
      <w:r>
        <w:rPr>
          <w:rFonts w:ascii="宋体" w:eastAsia="微软雅黑" w:hAnsi="宋体" w:cs="宋体" w:hint="eastAsia"/>
          <w:b/>
          <w:bCs/>
          <w:color w:val="595959"/>
          <w:spacing w:val="-20"/>
          <w:kern w:val="44"/>
          <w:sz w:val="48"/>
          <w:szCs w:val="48"/>
          <w:highlight w:val="none"/>
          <w:lang w:val="zh-CN"/>
        </w:rPr>
        <w:t>服务类政府采购合同</w:t>
      </w: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spacing w:line="360" w:lineRule="auto"/>
        <w:ind w:left="420" w:leftChars="200"/>
        <w:rPr>
          <w:rFonts w:ascii="Times New Roman" w:eastAsia="宋体" w:hAnsi="Times New Roman" w:cs="Times New Roman"/>
          <w:sz w:val="32"/>
          <w:szCs w:val="32"/>
          <w:highlight w:val="none"/>
        </w:rPr>
      </w:pPr>
      <w:r>
        <w:rPr>
          <w:rFonts w:ascii="宋体" w:eastAsia="宋体" w:hAnsi="宋体" w:cs="宋体" w:hint="eastAsia"/>
          <w:kern w:val="0"/>
          <w:sz w:val="32"/>
          <w:szCs w:val="32"/>
          <w:highlight w:val="none"/>
        </w:rPr>
        <w:t>项目名称：</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合同编号：</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甲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乙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签订时间：</w:t>
      </w:r>
      <w:r>
        <w:rPr>
          <w:rFonts w:ascii="Times New Roman" w:eastAsia="宋体" w:hAnsi="Times New Roman" w:cs="Times New Roman" w:hint="eastAsia"/>
          <w:sz w:val="32"/>
          <w:szCs w:val="32"/>
          <w:highlight w:val="none"/>
          <w:u w:val="single"/>
        </w:rPr>
        <w:t xml:space="preserve">      </w:t>
      </w:r>
      <w:r>
        <w:rPr>
          <w:rFonts w:ascii="Times New Roman" w:eastAsia="宋体" w:hAnsi="Times New Roman" w:cs="Times New Roman"/>
          <w:sz w:val="32"/>
          <w:szCs w:val="32"/>
          <w:highlight w:val="none"/>
          <w:u w:val="single"/>
        </w:rPr>
        <w:t xml:space="preserve">           </w:t>
      </w:r>
      <w:r>
        <w:rPr>
          <w:rFonts w:ascii="Times New Roman" w:eastAsia="宋体" w:hAnsi="Times New Roman" w:cs="Times New Roman" w:hint="eastAsia"/>
          <w:sz w:val="32"/>
          <w:szCs w:val="32"/>
          <w:highlight w:val="none"/>
          <w:u w:val="single"/>
        </w:rPr>
        <w:t xml:space="preserve">            </w:t>
      </w:r>
    </w:p>
    <w:p>
      <w:pPr>
        <w:rPr>
          <w:rFonts w:ascii="Times New Roman" w:eastAsia="宋体" w:hAnsi="Times New Roman" w:cs="Times New Roman"/>
          <w:szCs w:val="20"/>
          <w:highlight w:val="none"/>
        </w:rPr>
      </w:pPr>
    </w:p>
    <w:p>
      <w:pPr>
        <w:rPr>
          <w:rFonts w:ascii="Times New Roman" w:eastAsia="黑体" w:hAnsi="Times New Roman" w:cs="Times New Roman"/>
          <w:sz w:val="44"/>
          <w:szCs w:val="44"/>
          <w:highlight w:val="none"/>
        </w:rPr>
      </w:pPr>
      <w:r>
        <w:rPr>
          <w:rFonts w:ascii="Times New Roman" w:eastAsia="黑体" w:hAnsi="Times New Roman" w:cs="Times New Roman"/>
          <w:sz w:val="44"/>
          <w:szCs w:val="44"/>
          <w:highlight w:val="none"/>
        </w:rPr>
        <w:br w:type="page"/>
      </w:r>
    </w:p>
    <w:p>
      <w:pPr>
        <w:rPr>
          <w:rFonts w:ascii="Times New Roman" w:eastAsia="黑体" w:hAnsi="Times New Roman" w:cs="Times New Roman"/>
          <w:sz w:val="44"/>
          <w:szCs w:val="44"/>
          <w:highlight w:val="none"/>
        </w:rPr>
      </w:pPr>
    </w:p>
    <w:p>
      <w:pPr>
        <w:rPr>
          <w:rFonts w:ascii="Times New Roman" w:eastAsia="黑体" w:hAnsi="Times New Roman" w:cs="Times New Roman"/>
          <w:sz w:val="44"/>
          <w:szCs w:val="44"/>
          <w:highlight w:val="none"/>
        </w:rPr>
      </w:pPr>
    </w:p>
    <w:p>
      <w:pPr>
        <w:jc w:val="center"/>
        <w:rPr>
          <w:rFonts w:ascii="Times New Roman" w:eastAsia="黑体" w:hAnsi="Times New Roman" w:cs="Times New Roman"/>
          <w:sz w:val="44"/>
          <w:szCs w:val="44"/>
          <w:highlight w:val="none"/>
        </w:rPr>
      </w:pPr>
      <w:r>
        <w:rPr>
          <w:rFonts w:ascii="Times New Roman" w:eastAsia="黑体" w:hAnsi="Times New Roman" w:cs="Times New Roman"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numPr>
          <w:ilvl w:val="0"/>
          <w:numId w:val="5"/>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本合同标准文本适用于气象部门服务类（非定制开发软件）采购项目。</w:t>
      </w:r>
    </w:p>
    <w:p>
      <w:pPr>
        <w:numPr>
          <w:ilvl w:val="0"/>
          <w:numId w:val="5"/>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可以结合采购项目具体情况，对文本作必要的调整修订后使用。</w:t>
      </w:r>
    </w:p>
    <w:p>
      <w:pPr>
        <w:numPr>
          <w:ilvl w:val="0"/>
          <w:numId w:val="5"/>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本合同标准文本各条款中，如涉及填写多家供应商、多种采购标的等信息的，可根据采购项目具体情况添加信息项。</w:t>
      </w:r>
    </w:p>
    <w:p>
      <w:pPr>
        <w:widowControl/>
        <w:jc w:val="left"/>
        <w:rPr>
          <w:rFonts w:ascii="宋体" w:eastAsia="宋体" w:hAnsi="宋体" w:cs="Times New Roman"/>
          <w:szCs w:val="21"/>
          <w:highlight w:val="none"/>
        </w:rPr>
      </w:pPr>
      <w:r>
        <w:rPr>
          <w:rFonts w:ascii="宋体" w:eastAsia="宋体" w:hAnsi="宋体" w:cs="Times New Roman"/>
          <w:szCs w:val="21"/>
          <w:highlight w:val="none"/>
        </w:rPr>
        <w:br w:type="page"/>
      </w:r>
    </w:p>
    <w:p>
      <w:pPr>
        <w:snapToGrid w:val="0"/>
        <w:spacing w:line="360" w:lineRule="auto"/>
        <w:ind w:firstLine="420"/>
        <w:rPr>
          <w:rFonts w:ascii="宋体" w:eastAsia="宋体" w:hAnsi="宋体" w:cs="Times New Roman"/>
          <w:szCs w:val="21"/>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第一部分  合同专用部分</w:t>
      </w:r>
    </w:p>
    <w:p>
      <w:pPr>
        <w:snapToGrid w:val="0"/>
        <w:spacing w:line="360" w:lineRule="auto"/>
        <w:ind w:firstLine="420"/>
        <w:jc w:val="center"/>
        <w:rPr>
          <w:rFonts w:ascii="宋体" w:eastAsia="宋体" w:hAnsi="宋体" w:cs="Times New Roman"/>
          <w:szCs w:val="21"/>
          <w:highlight w:val="none"/>
        </w:rPr>
      </w:pP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甲方（采购人）：</w:t>
      </w:r>
      <w:r>
        <w:rPr>
          <w:rFonts w:ascii="Times New Roman" w:eastAsia="宋体" w:hAnsi="Times New Roman" w:cs="Times New Roman" w:hint="eastAsia"/>
          <w:szCs w:val="21"/>
          <w:highlight w:val="none"/>
          <w:u w:val="single"/>
        </w:rPr>
        <w:t xml:space="preserve">                                  </w:t>
      </w: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乙方（中标人）：</w:t>
      </w:r>
      <w:r>
        <w:rPr>
          <w:rFonts w:ascii="Times New Roman" w:eastAsia="宋体" w:hAnsi="Times New Roman" w:cs="Times New Roman" w:hint="eastAsia"/>
          <w:szCs w:val="21"/>
          <w:highlight w:val="none"/>
          <w:u w:val="single"/>
        </w:rPr>
        <w:t xml:space="preserve">                                  </w:t>
      </w: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甲乙双方</w:t>
      </w:r>
      <w:r>
        <w:rPr>
          <w:rFonts w:ascii="Calibri" w:eastAsia="宋体" w:hAnsi="Calibri" w:cs="Times New Roman" w:hint="eastAsia"/>
          <w:szCs w:val="21"/>
          <w:highlight w:val="none"/>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highlight w:val="none"/>
        </w:rPr>
        <w:t>经平等协商达成合同如下：</w:t>
      </w:r>
    </w:p>
    <w:p>
      <w:pPr>
        <w:adjustRightInd w:val="0"/>
        <w:snapToGrid w:val="0"/>
        <w:spacing w:line="360" w:lineRule="auto"/>
        <w:ind w:firstLine="412" w:firstLineChars="196"/>
        <w:rPr>
          <w:rFonts w:ascii="Times New Roman" w:eastAsia="宋体" w:hAnsi="Times New Roman" w:cs="Times New Roman"/>
          <w:b/>
          <w:szCs w:val="20"/>
          <w:highlight w:val="none"/>
        </w:rPr>
      </w:pPr>
      <w:r>
        <w:rPr>
          <w:rFonts w:ascii="Times New Roman" w:eastAsia="宋体" w:hAnsi="Times New Roman" w:cs="Times New Roman" w:hint="eastAsia"/>
          <w:b/>
          <w:szCs w:val="20"/>
          <w:highlight w:val="none"/>
        </w:rPr>
        <w:t>一、项目</w:t>
      </w:r>
    </w:p>
    <w:p>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项目名称：</w:t>
      </w:r>
      <w:r>
        <w:rPr>
          <w:rFonts w:ascii="Times New Roman" w:eastAsia="宋体" w:hAnsi="Times New Roman" w:cs="Times New Roman" w:hint="eastAsia"/>
          <w:szCs w:val="21"/>
          <w:highlight w:val="none"/>
          <w:u w:val="single"/>
        </w:rPr>
        <w:t xml:space="preserve">                                    </w:t>
      </w:r>
    </w:p>
    <w:p>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项目编号和分包号：</w:t>
      </w:r>
      <w:r>
        <w:rPr>
          <w:rFonts w:ascii="Times New Roman" w:eastAsia="宋体" w:hAnsi="Times New Roman" w:cs="Times New Roman" w:hint="eastAsia"/>
          <w:szCs w:val="21"/>
          <w:highlight w:val="none"/>
          <w:u w:val="single"/>
        </w:rPr>
        <w:t xml:space="preserve">                            </w:t>
      </w:r>
    </w:p>
    <w:p>
      <w:pPr>
        <w:adjustRightInd w:val="0"/>
        <w:snapToGrid w:val="0"/>
        <w:spacing w:line="360" w:lineRule="auto"/>
        <w:ind w:firstLine="420" w:firstLineChars="200"/>
        <w:rPr>
          <w:rFonts w:ascii="宋体" w:eastAsia="宋体" w:hAnsi="宋体" w:cs="Times New Roman"/>
          <w:b/>
          <w:szCs w:val="28"/>
          <w:highlight w:val="none"/>
        </w:rPr>
      </w:pPr>
      <w:r>
        <w:rPr>
          <w:rFonts w:ascii="Times New Roman" w:eastAsia="宋体" w:hAnsi="Times New Roman" w:cs="Times New Roman" w:hint="eastAsia"/>
          <w:szCs w:val="21"/>
          <w:highlight w:val="none"/>
        </w:rPr>
        <w:t>二、</w:t>
      </w:r>
      <w:r>
        <w:rPr>
          <w:rFonts w:ascii="宋体" w:eastAsia="宋体" w:hAnsi="宋体" w:cs="Times New Roman" w:hint="eastAsia"/>
          <w:b/>
          <w:szCs w:val="28"/>
          <w:highlight w:val="none"/>
        </w:rPr>
        <w:t>合同标的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序号</w:t>
            </w:r>
          </w:p>
        </w:tc>
        <w:tc>
          <w:tcPr>
            <w:tcW w:w="29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服务产品名称</w:t>
            </w:r>
          </w:p>
        </w:tc>
        <w:tc>
          <w:tcPr>
            <w:tcW w:w="7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数量</w:t>
            </w:r>
          </w:p>
        </w:tc>
        <w:tc>
          <w:tcPr>
            <w:tcW w:w="131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质量说明</w:t>
            </w:r>
          </w:p>
        </w:tc>
        <w:tc>
          <w:tcPr>
            <w:tcW w:w="750"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价格</w:t>
            </w:r>
          </w:p>
        </w:tc>
        <w:tc>
          <w:tcPr>
            <w:tcW w:w="1275" w:type="dxa"/>
            <w:noWrap w:val="0"/>
            <w:vAlign w:val="center"/>
          </w:tcPr>
          <w:p>
            <w:pPr>
              <w:tabs>
                <w:tab w:val="left" w:pos="1573"/>
              </w:tabs>
              <w:autoSpaceDE w:val="0"/>
              <w:autoSpaceDN w:val="0"/>
              <w:adjustRightInd w:val="0"/>
              <w:snapToGrid w:val="0"/>
              <w:spacing w:line="360" w:lineRule="auto"/>
              <w:jc w:val="center"/>
              <w:rPr>
                <w:rFonts w:ascii="宋体" w:eastAsia="宋体" w:hAnsi="宋体" w:cs="Times New Roman"/>
                <w:szCs w:val="21"/>
                <w:highlight w:val="none"/>
              </w:rPr>
            </w:pPr>
            <w:r>
              <w:rPr>
                <w:rFonts w:ascii="宋体" w:eastAsia="宋体" w:hAnsi="宋体" w:cs="Times New Roman" w:hint="eastAsia"/>
                <w:szCs w:val="21"/>
                <w:highlight w:val="none"/>
              </w:rPr>
              <w:t>交付时间</w:t>
            </w: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bl>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三</w:t>
      </w:r>
      <w:r>
        <w:rPr>
          <w:rFonts w:ascii="Times New Roman" w:eastAsia="宋体" w:hAnsi="宋体" w:cs="Times New Roman" w:hint="eastAsia"/>
          <w:b/>
          <w:szCs w:val="20"/>
          <w:highlight w:val="none"/>
        </w:rPr>
        <w:t>、合同价格及</w:t>
      </w:r>
      <w:r>
        <w:rPr>
          <w:rFonts w:ascii="宋体" w:eastAsia="宋体" w:hAnsi="宋体" w:cs="Times New Roman" w:hint="eastAsia"/>
          <w:b/>
          <w:szCs w:val="28"/>
          <w:highlight w:val="none"/>
        </w:rPr>
        <w:t>付款方式</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1、合同总金额为人民币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420" w:firstLineChars="200"/>
        <w:jc w:val="left"/>
        <w:rPr>
          <w:rFonts w:ascii="Times New Roman" w:eastAsia="宋体" w:hAnsi="宋体" w:cs="Times New Roman"/>
          <w:kern w:val="0"/>
          <w:szCs w:val="20"/>
          <w:highlight w:val="none"/>
        </w:rPr>
      </w:pPr>
      <w:r>
        <w:rPr>
          <w:rFonts w:ascii="宋体" w:eastAsia="宋体" w:hAnsi="宋体" w:cs="Times New Roman" w:hint="eastAsia"/>
          <w:szCs w:val="21"/>
          <w:highlight w:val="none"/>
        </w:rPr>
        <w:t>2、合同签订后支付合同总金额的20%作为启动款；正式检查报告（征求意见稿）通过审核后支付50%；正式报告及全部交付物验收合格后支付剩余30%。具体支付方式以最终合同约定为准。</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四、甲方应向乙方提供的资料</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rPr>
        <w:t>甲方提供该乙方履行合同所需的资料清单如下：</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五、进度要求及交付</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1、交付日期：</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2、交付地点：</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3、其他约定事项：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left="420" w:leftChars="200"/>
        <w:rPr>
          <w:rFonts w:ascii="Times New Roman" w:eastAsia="宋体" w:hAnsi="Times New Roman" w:cs="Times New Roman"/>
          <w:b/>
          <w:szCs w:val="21"/>
          <w:highlight w:val="none"/>
        </w:rPr>
      </w:pPr>
      <w:r>
        <w:rPr>
          <w:rFonts w:ascii="宋体" w:eastAsia="宋体" w:hAnsi="宋体" w:cs="Times New Roman" w:hint="eastAsia"/>
          <w:b/>
          <w:szCs w:val="21"/>
          <w:highlight w:val="none"/>
        </w:rPr>
        <w:t>六、</w:t>
      </w:r>
      <w:r>
        <w:rPr>
          <w:rFonts w:ascii="Times New Roman" w:eastAsia="宋体" w:hAnsi="Times New Roman" w:cs="Times New Roman" w:hint="eastAsia"/>
          <w:b/>
          <w:szCs w:val="21"/>
          <w:highlight w:val="none"/>
        </w:rPr>
        <w:t>技术服务和保修责任</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1"/>
          <w:highlight w:val="none"/>
        </w:rPr>
        <w:t>乙方对合同服务的质量保修期为验收证书签署之日起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个月。</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七、履约验收</w:t>
      </w:r>
    </w:p>
    <w:p>
      <w:pPr>
        <w:tabs>
          <w:tab w:val="left" w:pos="1573"/>
        </w:tabs>
        <w:adjustRightInd w:val="0"/>
        <w:snapToGrid w:val="0"/>
        <w:spacing w:line="360" w:lineRule="auto"/>
        <w:ind w:firstLine="412" w:firstLineChars="196"/>
        <w:jc w:val="left"/>
        <w:rPr>
          <w:rFonts w:ascii="宋体" w:eastAsia="宋体" w:hAnsi="宋体" w:cs="Times New Roman" w:hint="default"/>
          <w:szCs w:val="28"/>
          <w:highlight w:val="none"/>
        </w:rPr>
      </w:pPr>
      <w:r>
        <w:rPr>
          <w:rFonts w:ascii="宋体" w:eastAsia="宋体" w:hAnsi="宋体" w:cs="Times New Roman" w:hint="eastAsia"/>
          <w:szCs w:val="28"/>
          <w:highlight w:val="none"/>
          <w:lang w:val="en-US" w:eastAsia="zh-CN"/>
        </w:rPr>
        <w:t>1.合同签订：中标结果公示期满无异议后，采购单位应在30日内与中标供应商签订政府采购合同，合同内容须与招标文件和投标文件一致，不得擅自变更。</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lang w:val="en-US" w:eastAsia="zh-CN"/>
        </w:rPr>
        <w:t>2.</w:t>
      </w:r>
      <w:r>
        <w:rPr>
          <w:rFonts w:ascii="宋体" w:eastAsia="宋体" w:hAnsi="宋体" w:cs="Times New Roman" w:hint="eastAsia"/>
          <w:szCs w:val="28"/>
          <w:highlight w:val="none"/>
        </w:rPr>
        <w:t>验收标准：全部交付物按时、按质提交；检查报告无重大遗漏或错误，问题定性准确、依据充分；整改建议具有针对性和可操作性，经单位财务部门确认；工作底稿要素齐全，符合归档要求；保密义务已履行，无信息泄露情形。</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szCs w:val="28"/>
          <w:highlight w:val="none"/>
          <w:lang w:val="en-US" w:eastAsia="zh-CN"/>
        </w:rPr>
        <w:t>3</w:t>
      </w:r>
      <w:r>
        <w:rPr>
          <w:rFonts w:ascii="宋体" w:eastAsia="宋体" w:hAnsi="宋体" w:cs="Times New Roman" w:hint="eastAsia"/>
          <w:szCs w:val="28"/>
          <w:highlight w:val="none"/>
          <w:lang w:val="en-US" w:eastAsia="zh-CN"/>
        </w:rPr>
        <w:t>.其他</w:t>
      </w:r>
      <w:r>
        <w:rPr>
          <w:rFonts w:ascii="宋体" w:eastAsia="宋体" w:hAnsi="宋体" w:cs="Times New Roman" w:hint="eastAsia"/>
          <w:szCs w:val="28"/>
          <w:highlight w:val="none"/>
        </w:rPr>
        <w:t>具体条款由甲方商乙方拟定。基本内容应包括：验收时间；验收地点；一次性验收还是分阶段、分期验收；验收方式（包括</w:t>
      </w:r>
      <w:r>
        <w:rPr>
          <w:rFonts w:ascii="宋体" w:eastAsia="宋体" w:hAnsi="宋体" w:cs="Times New Roman" w:hint="eastAsia"/>
          <w:szCs w:val="21"/>
          <w:highlight w:val="none"/>
        </w:rPr>
        <w:t>自行简易验收、验收小组验收、委托第三方验收等）；验收内容和标准（参见附表）；验收未通过（整体未通过或部分未通过）的处理措施；验收费用承担方等</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八、风险管理</w:t>
      </w:r>
    </w:p>
    <w:p>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（略）</w:t>
      </w:r>
    </w:p>
    <w:p>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highlight w:val="none"/>
        </w:rPr>
        <w:t>国家政策变化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实施环境变化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重大技术变化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预算项目调整</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因质疑投诉影响</w:t>
      </w:r>
      <w:r>
        <w:rPr>
          <w:rFonts w:ascii="Times New Roman" w:eastAsia="宋体" w:hAnsi="Times New Roman" w:cs="Times New Roman" w:hint="eastAsia"/>
          <w:szCs w:val="20"/>
          <w:highlight w:val="none"/>
        </w:rPr>
        <w:t>合同</w:t>
      </w:r>
      <w:r>
        <w:rPr>
          <w:rFonts w:ascii="Times New Roman" w:eastAsia="宋体" w:hAnsi="Times New Roman" w:cs="Times New Roman"/>
          <w:szCs w:val="20"/>
          <w:highlight w:val="none"/>
        </w:rPr>
        <w:t>进度</w:t>
      </w:r>
      <w:r>
        <w:rPr>
          <w:rFonts w:ascii="Times New Roman" w:eastAsia="宋体" w:hAnsi="Times New Roman" w:cs="Times New Roman" w:hint="eastAsia"/>
          <w:szCs w:val="20"/>
          <w:highlight w:val="none"/>
        </w:rPr>
        <w:t>等）</w:t>
      </w:r>
      <w:r>
        <w:rPr>
          <w:rFonts w:ascii="宋体" w:eastAsia="宋体" w:hAnsi="宋体" w:cs="Times New Roman" w:hint="eastAsia"/>
          <w:szCs w:val="20"/>
          <w:highlight w:val="none"/>
        </w:rPr>
        <w:t>的可能性、影响程度进行研判，明确管控责任，提出有针对性的处置措施和替代方案。如本项目不属于上述项目，“八、风险管理”可省略）</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九、违约责任</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8"/>
          <w:highlight w:val="none"/>
        </w:rPr>
        <w:t>违约责任：供应商逾期交付成果的，每逾期一天，按合同总金额的0.5%扣减服务费；逾期十天（含）以上，每逾期一天按合同总金额的1%扣减服务费。逾期三十天（含）以上或造成严重损失的，采购单位有权解除合同并保留追索权。</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十、联系方式</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甲方：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乙方：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spacing w:line="360" w:lineRule="auto"/>
        <w:ind w:firstLine="420" w:firstLineChars="200"/>
        <w:jc w:val="left"/>
        <w:rPr>
          <w:rFonts w:ascii="Times New Roman" w:eastAsia="宋体" w:hAnsi="Times New Roman" w:cs="Times New Roman"/>
          <w:b/>
          <w:szCs w:val="21"/>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Times New Roman" w:eastAsia="宋体" w:hAnsi="Times New Roman" w:cs="Times New Roman" w:hint="eastAsia"/>
          <w:b/>
          <w:szCs w:val="21"/>
          <w:highlight w:val="none"/>
        </w:rPr>
        <w:t>十一、</w:t>
      </w:r>
      <w:r>
        <w:rPr>
          <w:rFonts w:ascii="宋体" w:eastAsia="宋体" w:hAnsi="宋体" w:cs="Times New Roman" w:hint="eastAsia"/>
          <w:b/>
          <w:szCs w:val="28"/>
          <w:highlight w:val="none"/>
        </w:rPr>
        <w:t>争议的解决</w:t>
      </w:r>
    </w:p>
    <w:p>
      <w:pPr>
        <w:tabs>
          <w:tab w:val="left" w:pos="1573"/>
        </w:tabs>
        <w:adjustRightInd w:val="0"/>
        <w:snapToGrid w:val="0"/>
        <w:spacing w:line="360" w:lineRule="auto"/>
        <w:ind w:firstLine="420" w:firstLineChars="200"/>
        <w:jc w:val="left"/>
        <w:rPr>
          <w:rFonts w:ascii="宋体" w:eastAsia="宋体" w:hAnsi="宋体" w:cs="Times New Roman"/>
          <w:szCs w:val="28"/>
          <w:highlight w:val="none"/>
        </w:rPr>
      </w:pPr>
      <w:r>
        <w:rPr>
          <w:rFonts w:ascii="宋体" w:eastAsia="宋体" w:hAnsi="宋体" w:cs="Times New Roman" w:hint="eastAsia"/>
          <w:szCs w:val="28"/>
          <w:highlight w:val="none"/>
        </w:rPr>
        <w:t>本项目选择</w:t>
      </w:r>
      <w:r>
        <w:rPr>
          <w:rFonts w:ascii="宋体" w:eastAsia="宋体" w:hAnsi="宋体" w:cs="Times New Roman" w:hint="eastAsia"/>
          <w:b/>
          <w:szCs w:val="28"/>
          <w:highlight w:val="none"/>
        </w:rPr>
        <w:t>第二章合同条款通用部分</w:t>
      </w:r>
      <w:r>
        <w:rPr>
          <w:rFonts w:ascii="宋体" w:eastAsia="宋体" w:hAnsi="宋体" w:cs="Times New Roman" w:hint="eastAsia"/>
          <w:szCs w:val="28"/>
          <w:highlight w:val="none"/>
        </w:rPr>
        <w:t>“争议的解决”所属第</w:t>
      </w:r>
      <w:r>
        <w:rPr>
          <w:rFonts w:ascii="宋体" w:eastAsia="宋体" w:hAnsi="宋体" w:cs="Times New Roman" w:hint="eastAsia"/>
          <w:szCs w:val="28"/>
          <w:highlight w:val="none"/>
          <w:u w:val="single"/>
        </w:rPr>
        <w:t xml:space="preserve">      </w:t>
      </w:r>
      <w:r>
        <w:rPr>
          <w:rFonts w:ascii="宋体" w:eastAsia="宋体" w:hAnsi="宋体" w:cs="Times New Roman" w:hint="eastAsia"/>
          <w:szCs w:val="28"/>
          <w:highlight w:val="none"/>
        </w:rPr>
        <w:t>种方式解决。</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十二、履约保证金</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中标人在收到中标通知书后</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个工作日内，向甲方提供相当于合同总价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%的履约保证金。 </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甲方：                                   乙方：</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单位名称：（公章）                        单位名称：（公章）</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法定代表人：                             法定代表人：</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授权代表：                               授权代表：</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签约日期：                               签约日期：</w:t>
      </w:r>
    </w:p>
    <w:p>
      <w:pPr>
        <w:widowControl/>
        <w:jc w:val="left"/>
        <w:rPr>
          <w:rFonts w:ascii="宋体" w:eastAsia="宋体" w:hAnsi="宋体" w:cs="Times New Roman"/>
          <w:b/>
          <w:szCs w:val="21"/>
          <w:highlight w:val="none"/>
        </w:rPr>
      </w:pPr>
      <w:r>
        <w:rPr>
          <w:rFonts w:ascii="宋体" w:eastAsia="宋体" w:hAnsi="宋体" w:cs="Times New Roman"/>
          <w:b/>
          <w:szCs w:val="21"/>
          <w:highlight w:val="none"/>
        </w:rPr>
        <w:br w:type="page"/>
      </w:r>
    </w:p>
    <w:p>
      <w:pPr>
        <w:spacing w:line="360" w:lineRule="auto"/>
        <w:jc w:val="left"/>
        <w:rPr>
          <w:rFonts w:ascii="Times New Roman" w:eastAsia="宋体" w:hAnsi="Times New Roman" w:cs="Times New Roman"/>
          <w:b/>
          <w:bCs/>
          <w:sz w:val="44"/>
          <w:szCs w:val="44"/>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第二部分  合同通用部分</w:t>
      </w:r>
    </w:p>
    <w:p>
      <w:pPr>
        <w:tabs>
          <w:tab w:val="left" w:pos="1573"/>
        </w:tabs>
        <w:snapToGrid w:val="0"/>
        <w:spacing w:line="360" w:lineRule="auto"/>
        <w:jc w:val="center"/>
        <w:rPr>
          <w:rFonts w:ascii="宋体" w:eastAsia="宋体" w:hAnsi="宋体" w:cs="Times New Roman"/>
          <w:szCs w:val="21"/>
          <w:highlight w:val="none"/>
        </w:rPr>
      </w:pPr>
    </w:p>
    <w:p>
      <w:pPr>
        <w:tabs>
          <w:tab w:val="left" w:pos="1573"/>
        </w:tabs>
        <w:adjustRightInd w:val="0"/>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highlight w:val="none"/>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highlight w:val="none"/>
        </w:rPr>
        <w:t xml:space="preserve"> </w:t>
      </w:r>
    </w:p>
    <w:p>
      <w:pPr>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本合同所附下列文件是构成本合同不可分割的部分，若各文件之间存在含糊不清或互相冲突之处，优先顺序应按下列文件顺序解释：</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中标通知书</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开标一览表及投标分项报价表</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商务和技术偏离表</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合同条款专用部分</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合同条款通用部分</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采购需求</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双方有关服务的洽商、变更等书面协议或文件</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投标文件、招标文件除以上的其他部分</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其他合同文本</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一、定义</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除非另有特别解释或说明，在本合同及与本合同相关的，双方另行签署的其他文件（包括但不限于本合同的附件）中，下述词语均依如下定义进行解释：</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1、“项目”详见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2、“合同”指甲乙双方签署的，与本项目相关的协议、附件、附录和其他一切文件，还</w:t>
      </w:r>
      <w:r>
        <w:rPr>
          <w:rFonts w:ascii="宋体" w:eastAsia="宋体" w:hAnsi="宋体" w:cs="Times New Roman"/>
          <w:szCs w:val="21"/>
          <w:highlight w:val="none"/>
        </w:rPr>
        <w:t>包括招标文件、投标文件中的相关内容及其有效补充文件</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3、“附件”是指与本合同的订立、履行有关的，经甲乙双方认可的，对本合同约定的内容进行细化、补充、修改、变更的文件、图纸、音像制品等资料。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4、“合同服务”指合同服务清单（同投标文件中分项报价表，下同）中所规定的服务内容、设备和软件购置等内容。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5、“验收证书”指验收完成后由合同双方签署的最终验收确认书。</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6、“保修期”指自验收证书甲方签署之日起，乙方免费对所提供给甲方服务内容进行技术支持、现场服务、升级服务等，并自担费用方式保证合同服务正常运行的时期。</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7、“第三人”是指本合同双方以外的任何中国境内、外的自然人、法人或其他经济组织。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8、“法律、法规”是指由中国有关部门制定的法律、行政法规、地方性法规、规章及其他规范性文件以及经全国人民代表大会常务委员会批准的中国缔结、参加的国际条（公）约的有关规定。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9、“招标文件”指采购中心发布的本项目招标文件。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10、“投标文件”指乙方按照采购中心发布的本项目招标文件的要求编制和投递，并最终被采购中心接受的投标文件。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11、“合同标的”指甲方同意从乙方购买，乙方同意向甲方提供</w:t>
      </w:r>
      <w:r>
        <w:rPr>
          <w:rFonts w:ascii="黑体" w:eastAsia="黑体" w:hAnsi="黑体" w:cs="Times New Roman" w:hint="eastAsia"/>
          <w:b/>
          <w:szCs w:val="21"/>
          <w:highlight w:val="none"/>
        </w:rPr>
        <w:t>合同服务清单（同投标文件中分项报价表）</w:t>
      </w:r>
      <w:r>
        <w:rPr>
          <w:rFonts w:ascii="宋体" w:eastAsia="宋体" w:hAnsi="宋体" w:cs="Times New Roman" w:hint="eastAsia"/>
          <w:szCs w:val="21"/>
          <w:highlight w:val="none"/>
        </w:rPr>
        <w:t>中所列服务内容、设备和软件购置等内容。</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二、合同标的</w:t>
      </w:r>
    </w:p>
    <w:p>
      <w:pPr>
        <w:numPr>
          <w:ilvl w:val="6"/>
          <w:numId w:val="0"/>
        </w:num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三、合同价格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1、合同总金额详见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2、本合同价格包括服务产品金额，是在项目交付前、交付时所发生或引起的本合同相关的全部成本、费用等，且为完税后价格。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3、合同服务产品详细目录及价格见</w:t>
      </w:r>
      <w:r>
        <w:rPr>
          <w:rFonts w:ascii="黑体" w:eastAsia="黑体" w:hAnsi="黑体" w:cs="Times New Roman" w:hint="eastAsia"/>
          <w:b/>
          <w:bCs/>
          <w:szCs w:val="21"/>
          <w:highlight w:val="none"/>
        </w:rPr>
        <w:t>合同服务产品清单（同投标文件中服务产品清单）</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四、支付和结算方式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1、双方因本合同发生的一切费用均以人民币结算及支付。</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2、双方的帐户名称、开户银行及帐号以本合同提供的为准。</w:t>
      </w:r>
    </w:p>
    <w:p>
      <w:pPr>
        <w:tabs>
          <w:tab w:val="left" w:pos="1573"/>
        </w:tabs>
        <w:adjustRightInd w:val="0"/>
        <w:snapToGrid w:val="0"/>
        <w:spacing w:line="360" w:lineRule="auto"/>
        <w:ind w:firstLine="420" w:firstLineChars="200"/>
        <w:rPr>
          <w:rFonts w:ascii="Times New Roman" w:eastAsia="宋体" w:hAnsi="宋体" w:cs="Times New Roman"/>
          <w:kern w:val="0"/>
          <w:szCs w:val="21"/>
          <w:highlight w:val="none"/>
        </w:rPr>
      </w:pPr>
      <w:r>
        <w:rPr>
          <w:rFonts w:ascii="宋体" w:eastAsia="宋体" w:hAnsi="宋体" w:cs="Times New Roman" w:hint="eastAsia"/>
          <w:szCs w:val="21"/>
          <w:highlight w:val="none"/>
        </w:rPr>
        <w:t>3、付款方式：</w:t>
      </w:r>
      <w:r>
        <w:rPr>
          <w:rFonts w:ascii="Times New Roman" w:eastAsia="宋体" w:hAnsi="宋体" w:cs="Times New Roman" w:hint="eastAsia"/>
          <w:kern w:val="0"/>
          <w:szCs w:val="21"/>
          <w:highlight w:val="none"/>
        </w:rPr>
        <w:t xml:space="preserve"> </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（1）合同生效后付款：双方签署合同后7个工作日内，甲方向乙方支付合同总金额的一定比例货款，支付比例、金额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（2）签署验收报后付款：合同服务安装、调试到位、试运行完成，经甲方核对无误、检验合格，双方签署验收报告后7个工作日内，甲方向乙方支付合同总金额的一定比例货款，支付比例、金额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 xml:space="preserve">； </w:t>
      </w:r>
    </w:p>
    <w:p>
      <w:pPr>
        <w:tabs>
          <w:tab w:val="left" w:pos="1573"/>
        </w:tabs>
        <w:adjustRightInd w:val="0"/>
        <w:snapToGrid w:val="0"/>
        <w:spacing w:line="360" w:lineRule="auto"/>
        <w:ind w:firstLine="420" w:firstLineChars="200"/>
        <w:rPr>
          <w:rFonts w:ascii="宋体" w:eastAsia="宋体" w:hAnsi="宋体" w:cs="Times New Roman"/>
          <w:kern w:val="0"/>
          <w:szCs w:val="20"/>
          <w:highlight w:val="none"/>
        </w:rPr>
      </w:pPr>
      <w:r>
        <w:rPr>
          <w:rFonts w:ascii="宋体" w:eastAsia="宋体" w:hAnsi="宋体" w:cs="Times New Roman" w:hint="eastAsia"/>
          <w:kern w:val="0"/>
          <w:szCs w:val="20"/>
          <w:highlight w:val="none"/>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kern w:val="0"/>
          <w:szCs w:val="20"/>
          <w:highlight w:val="none"/>
        </w:rPr>
        <w:t>，作为本合同最终结款。</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4、乙方在收到甲方每一笔付款的同时，应向甲方开具相应金额的商业发票。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五、资料的使用</w:t>
      </w:r>
    </w:p>
    <w:p>
      <w:pPr>
        <w:adjustRightInd w:val="0"/>
        <w:snapToGrid w:val="0"/>
        <w:spacing w:line="360" w:lineRule="auto"/>
        <w:ind w:left="105" w:firstLine="315" w:leftChars="50" w:firstLineChars="150"/>
        <w:rPr>
          <w:rFonts w:ascii="宋体" w:eastAsia="宋体" w:hAnsi="宋体" w:cs="Times New Roman"/>
          <w:szCs w:val="21"/>
          <w:highlight w:val="none"/>
        </w:rPr>
      </w:pPr>
      <w:r>
        <w:rPr>
          <w:rFonts w:ascii="宋体" w:eastAsia="宋体" w:hAnsi="宋体" w:cs="Times New Roman" w:hint="eastAsia"/>
          <w:szCs w:val="21"/>
          <w:highlight w:val="none"/>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2、没有甲方事先书面同意，除了履行本合同之外，乙方不应使用甲方提供的任何文件和资料。</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3、没有甲方事先书面同意，乙方不得泄露与本项目有关的任何资料、数据及其它信息。</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4、除了合同本身以外，甲方提供给乙方的任何文件是甲方的财产。如果甲方有要求，乙方在完成合同后应将这些文件(全部拷贝)还给甲方。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甲方提供该乙方履行合同所需的资料清单见</w:t>
      </w:r>
      <w:r>
        <w:rPr>
          <w:rFonts w:ascii="黑体" w:eastAsia="黑体" w:hAnsi="黑体" w:cs="Times New Roman" w:hint="eastAsia"/>
          <w:b/>
          <w:bCs/>
          <w:szCs w:val="21"/>
          <w:highlight w:val="none"/>
        </w:rPr>
        <w:t>合同条款专用部分。</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六、知识产权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1、在本协议生效日前业已存在的版权及其他知识产权应属于本协议生效前既拥有该等权利的一方。</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2、任何一方均不可凭借本协议取得另一方此前所已经拥有且根据本合同不应被合理的推论为其已经同意转移的版权、专利、商业秘密、商标或其他知识产权的所有权。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3、符合法律规定及当事人约定的原则：任何相关事项均应当符合法律规定，及应当符合当事人约定。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6、甲方将拥有其在本协议项下所从事的所有工作（包括各类纸质文档，电子文档及其他可交付物）中所包含的或与之相关的全部版权、专利、商业秘密、商标和其他知识产权以及所有权和其他权益。</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七、进度要求</w:t>
      </w:r>
    </w:p>
    <w:p>
      <w:pPr>
        <w:numPr>
          <w:ilvl w:val="6"/>
          <w:numId w:val="0"/>
        </w:numPr>
        <w:adjustRightInd w:val="0"/>
        <w:snapToGrid w:val="0"/>
        <w:spacing w:line="360" w:lineRule="auto"/>
        <w:ind w:firstLine="420" w:firstLineChars="200"/>
        <w:rPr>
          <w:rFonts w:ascii="宋体" w:eastAsia="宋体" w:hAnsi="宋体" w:cs="Times New Roman"/>
          <w:b/>
          <w:szCs w:val="21"/>
          <w:highlight w:val="none"/>
        </w:rPr>
      </w:pPr>
      <w:r>
        <w:rPr>
          <w:rFonts w:ascii="宋体" w:eastAsia="宋体" w:hAnsi="宋体" w:cs="Times New Roman" w:hint="eastAsia"/>
          <w:b/>
          <w:szCs w:val="21"/>
          <w:highlight w:val="none"/>
        </w:rPr>
        <w:t>见</w:t>
      </w:r>
      <w:r>
        <w:rPr>
          <w:rFonts w:ascii="黑体" w:eastAsia="黑体" w:hAnsi="黑体" w:cs="Times New Roman" w:hint="eastAsia"/>
          <w:b/>
          <w:bCs/>
          <w:szCs w:val="20"/>
          <w:highlight w:val="none"/>
        </w:rPr>
        <w:t>合同条款专用部分</w:t>
      </w:r>
      <w:r>
        <w:rPr>
          <w:rFonts w:ascii="宋体" w:eastAsia="宋体" w:hAnsi="宋体" w:cs="Times New Roman" w:hint="eastAsia"/>
          <w:b/>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八、技术服务和保修责任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1、乙方对合同服务的质量保修期见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。乙方应保证所提供的产品、服务，符合合同规定的技术要求。如不符时，乙方应负全责并尽快处理解决，由此造成的损失和相关费用由乙方负责，甲方保留终止合同及索赔的权利。</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2、乙方应保证通过执行合同中全部方案后，可以取得本合同规定的结果，达到本合同规定的预期目标。对任何情况下出现问题的，应尽快提出解决方案。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3、如果乙方提供的产品、服务和解决方案不符合甲方要求，或在规定的时间内没有弥补缺陷，甲方有权采取一切必要的补救措施，由此产生的费用全部由乙方负责。</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九、履约保证金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1、中标人应在收到中标通知书后规定时间内（具体时间</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）内，以信汇、电汇或履约保函形式向甲方提供履约保证金，保证金金额：见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2、如果中标人没有按照上述规定执行，甲方将有充分理由取消该中标决定，并不予退还其投标保证金。在此情况下甲方可将合同授予排名第二的中标候选人，或重新招标。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3、如果中标人在与甲方签定合同以后，将中标项目转包给第三方或者</w:t>
      </w:r>
      <w:r>
        <w:rPr>
          <w:rFonts w:ascii="Times New Roman" w:eastAsia="宋体" w:hAnsi="Times New Roman" w:cs="Times New Roman" w:hint="eastAsia"/>
          <w:szCs w:val="20"/>
          <w:highlight w:val="none"/>
        </w:rPr>
        <w:t>将合同全部及任何权利、义务向第三方转让，或者在</w:t>
      </w:r>
      <w:r>
        <w:rPr>
          <w:rFonts w:ascii="宋体" w:eastAsia="宋体" w:hAnsi="宋体" w:cs="Times New Roman" w:hint="eastAsia"/>
          <w:szCs w:val="21"/>
          <w:highlight w:val="none"/>
        </w:rPr>
        <w:t>本项目不允许分包的情况下将中标项目分包给第三方，甲方将有充分理由终止合同，并不予退还其履约保证金。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4、中标人的履约保证金将在合同服务试经甲方终验合格，履行完必要的审批手续后30日内退还中标人。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5、如乙方未能完全履行合同规定的义务，甲方有权从履约保证金中得到补偿。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十、审计及检查</w:t>
      </w:r>
    </w:p>
    <w:p>
      <w:pPr>
        <w:tabs>
          <w:tab w:val="left" w:pos="360"/>
          <w:tab w:val="left" w:pos="1573"/>
        </w:tabs>
        <w:adjustRightInd w:val="0"/>
        <w:snapToGrid w:val="0"/>
        <w:spacing w:line="360" w:lineRule="auto"/>
        <w:ind w:firstLine="420" w:firstLineChars="200"/>
        <w:rPr>
          <w:rFonts w:ascii="宋体" w:eastAsia="宋体" w:hAnsi="宋体" w:cs="Times New Roman"/>
          <w:bCs/>
          <w:szCs w:val="21"/>
          <w:highlight w:val="none"/>
        </w:rPr>
      </w:pPr>
      <w:r>
        <w:rPr>
          <w:rFonts w:ascii="宋体" w:eastAsia="宋体" w:hAnsi="宋体" w:cs="Times New Roman" w:hint="eastAsia"/>
          <w:bCs/>
          <w:szCs w:val="21"/>
          <w:highlight w:val="none"/>
        </w:rPr>
        <w:t>如果采购人要求，中标人应允许采购人检查中标人与实施本合同有关的资金、帐户和记录，并由采购人指定的审计人员对其进行审计。</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十一、违约责任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（1）在甲方同意延长的期限内交付服务产品并承担由此给甲方造成的直接损失及甲方因此产生的对第三方的责任。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（2）甲方有权部分或全部解除合同并要求乙方赔偿由此造成的损失及甲方因此产生的对第三方的责任。此时甲方可采取必要的补救措施，相关费用由乙方承担。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（3）上述情形下甲方为采取必要的补救措施或因防止损失扩大而支出的合理费用应由乙方承担。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）向对方支付违约金，但该违约金累计不得超过合同总金额的一定比例（详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）；上述逾期超过一定时间（详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），守约方有权解除合同，并要求违约方赔偿由此造成的损失。</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 xml:space="preserve">5、其它违约责任 </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（2）如乙方在合同规定的交付日期后10天内仍未能交付，则视为乙方不能交付，甲方有权解除合同，乙方若已经收取了甲方的定金则同时还应双倍返还已收取的定金。</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6、乙方违反规定，有下列行为之一的，甲方有权对因此造成的损失追究责任；构成犯罪的，由司法机关追究其刑事责任：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1）擅自向第三方提供或者转让项目资料的；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2）未经甲方许可使用项目资料的；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3）项目完成后，乙方未经甲方许可保留项目资料的；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4）对项目资料保管不当，造成数据全部或者部分丢失、被窃的。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7、乙方在进行项目时违反有关保密规定的，依照《中华人民共和国保密法》等有关法律法规的规定处理。</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9、以上各项交付的违约金并不影响违约方履行合同的各项义务。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pPr>
        <w:adjustRightInd w:val="0"/>
        <w:snapToGrid w:val="0"/>
        <w:spacing w:line="360" w:lineRule="auto"/>
        <w:ind w:firstLine="315" w:firstLineChars="150"/>
        <w:rPr>
          <w:rFonts w:ascii="宋体" w:eastAsia="宋体" w:hAnsi="宋体" w:cs="Times New Roman"/>
          <w:b/>
          <w:szCs w:val="21"/>
          <w:highlight w:val="none"/>
        </w:rPr>
      </w:pPr>
      <w:r>
        <w:rPr>
          <w:rFonts w:ascii="宋体" w:eastAsia="宋体" w:hAnsi="宋体" w:cs="Times New Roman" w:hint="eastAsia"/>
          <w:szCs w:val="21"/>
          <w:highlight w:val="none"/>
        </w:rPr>
        <w:t>11、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十二、不可抗力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1、不可抗力指下列事件：战争、动乱、瘟疫、严重火灾、洪水、地震、风暴或其他自然灾害，以及本合同各方不可预见、不可防止并不能避免或克服的一切其他因素及事件。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4、合同各方应根据不可抗力对本合同履行的影响程度，协商确定是否终止本合同，或是继续履行本合同。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十三、联系方式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2、合同双方发出的与本合同有关的通知或回复均应发至</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中的通讯地址，付款或收款应使用</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中的帐号，一方变更通讯地址或帐号，应自变更之日起三个工作日内，将变更后的地址通知对方。变更方不履行通知义务的，应对此造成的一切后果承担法律责任。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3、上述发出通知、回复的费用由发出一方承担。</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十四、保密条款</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0"/>
          <w:highlight w:val="none"/>
        </w:rPr>
        <w:t>1、</w:t>
      </w:r>
      <w:r>
        <w:rPr>
          <w:rFonts w:ascii="宋体" w:eastAsia="宋体" w:hAnsi="宋体" w:cs="Times New Roman" w:hint="eastAsia"/>
          <w:szCs w:val="21"/>
          <w:highlight w:val="none"/>
        </w:rPr>
        <w:t>任何一方对其获知的本合同及附件中其他各方的商业秘密和国家秘密负有保密义务。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十五、合同的解释和法律适用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1、任何一方对本合同及其附件的解释均应遵循诚实信用原则,依照本合同签订时有效的中国法律、法规以及通常的理解进行。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2、本合同标题仅供查阅方便，并非对本合同的诠释或解释；本合同中以日表述的时间期限均指自然日。</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3、对本合同的任何解释均应以书面作出。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4、本合同及附件的订立、效力、解释、履行、争议的解决等适用本合同签订时有效的中华人民共和国法律、法规的有关规定。</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十六、合同的终止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1、本合同因下列原因而终止：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（1）本合同正常履行完毕；</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（2）合同双方协议终止本合同的履行；</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（3）不可抗力事件导致本合同无法履行或履行不必要；</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（4）任何一方行使解除权，解除本合同。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2、对本合同终止有过错的一方应赔偿另一方因合同终止而受到的损失。对合同终止双方均无过错的，则各自承担所受到的损失。</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十七、法律适用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1、本合同及附件的订立、效力、解释、履行、争议的解决等适用本合同签订时有效的中华人民共和国法律、法规的有关规定。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2、在本合同履行期间，因中国法律、法规、政策的变化致使本合同的部分条款相冲突、无效或失去可强制执行效力时，双方同意将密切合作，尽快修改本合同中相冲突或无效或失去强制执行效力的有关条款。</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十八、权利的保留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十九、争议的解决</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1、合同双方应通过友好协商解决因解释﹑执行本合同所发生的和本合同有关的一切争议。如果经协商不能达成协议，则双方同意：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（1）在甲方所在地有管辖权的人民法院提起诉讼。</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（2）由贸易仲裁委员会根据现行有效的仲裁程序进行仲裁。仲裁裁决为最终裁决对双方均具有约束力。仲裁费除仲裁机关另有裁决外的应由败诉方承担。</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本项目选择的具体解决方式见</w:t>
      </w:r>
      <w:r>
        <w:rPr>
          <w:rFonts w:ascii="黑体" w:eastAsia="黑体" w:hAnsi="黑体" w:cs="Times New Roman" w:hint="eastAsia"/>
          <w:b/>
          <w:bCs/>
          <w:szCs w:val="20"/>
          <w:highlight w:val="none"/>
        </w:rPr>
        <w:t>合同条款专用部分。</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w:t>
      </w:r>
      <w:r>
        <w:rPr>
          <w:rFonts w:ascii="宋体" w:eastAsia="宋体" w:hAnsi="宋体" w:cs="Times New Roman"/>
          <w:szCs w:val="21"/>
          <w:highlight w:val="none"/>
        </w:rPr>
        <w:t>合同</w:t>
      </w:r>
      <w:r>
        <w:rPr>
          <w:rFonts w:ascii="宋体" w:eastAsia="宋体" w:hAnsi="宋体" w:cs="Times New Roman" w:hint="eastAsia"/>
          <w:szCs w:val="21"/>
          <w:highlight w:val="none"/>
        </w:rPr>
        <w:t>甲、乙双方一致认为，本</w:t>
      </w:r>
      <w:r>
        <w:rPr>
          <w:rFonts w:ascii="宋体" w:eastAsia="宋体" w:hAnsi="宋体" w:cs="Times New Roman"/>
          <w:szCs w:val="21"/>
          <w:highlight w:val="none"/>
        </w:rPr>
        <w:t>合同</w:t>
      </w:r>
      <w:r>
        <w:rPr>
          <w:rFonts w:ascii="宋体" w:eastAsia="宋体" w:hAnsi="宋体" w:cs="Times New Roman" w:hint="eastAsia"/>
          <w:szCs w:val="21"/>
          <w:highlight w:val="none"/>
        </w:rPr>
        <w:t>仅</w:t>
      </w:r>
      <w:r>
        <w:rPr>
          <w:rFonts w:ascii="宋体" w:eastAsia="宋体" w:hAnsi="宋体" w:cs="Times New Roman"/>
          <w:szCs w:val="21"/>
          <w:highlight w:val="none"/>
        </w:rPr>
        <w:t>属于</w:t>
      </w:r>
      <w:r>
        <w:rPr>
          <w:rFonts w:ascii="宋体" w:eastAsia="宋体" w:hAnsi="宋体" w:cs="Times New Roman" w:hint="eastAsia"/>
          <w:szCs w:val="21"/>
          <w:highlight w:val="none"/>
        </w:rPr>
        <w:t>甲、乙双方</w:t>
      </w:r>
      <w:r>
        <w:rPr>
          <w:rFonts w:ascii="宋体" w:eastAsia="宋体" w:hAnsi="宋体" w:cs="Times New Roman"/>
          <w:szCs w:val="21"/>
          <w:highlight w:val="none"/>
        </w:rPr>
        <w:t>之间的</w:t>
      </w:r>
      <w:r>
        <w:rPr>
          <w:rFonts w:ascii="宋体" w:eastAsia="宋体" w:hAnsi="宋体" w:cs="Times New Roman" w:hint="eastAsia"/>
          <w:szCs w:val="21"/>
          <w:highlight w:val="none"/>
        </w:rPr>
        <w:t>协议，任何</w:t>
      </w:r>
      <w:r>
        <w:rPr>
          <w:rFonts w:ascii="宋体" w:eastAsia="宋体" w:hAnsi="宋体" w:cs="Times New Roman"/>
          <w:szCs w:val="21"/>
          <w:highlight w:val="none"/>
        </w:rPr>
        <w:t>争议</w:t>
      </w:r>
      <w:r>
        <w:rPr>
          <w:rFonts w:ascii="宋体" w:eastAsia="宋体" w:hAnsi="宋体" w:cs="Times New Roman" w:hint="eastAsia"/>
          <w:szCs w:val="21"/>
          <w:highlight w:val="none"/>
        </w:rPr>
        <w:t>均只</w:t>
      </w:r>
      <w:r>
        <w:rPr>
          <w:rFonts w:ascii="宋体" w:eastAsia="宋体" w:hAnsi="宋体" w:cs="Times New Roman"/>
          <w:szCs w:val="21"/>
          <w:highlight w:val="none"/>
        </w:rPr>
        <w:t>应当</w:t>
      </w:r>
      <w:r>
        <w:rPr>
          <w:rFonts w:ascii="宋体" w:eastAsia="宋体" w:hAnsi="宋体" w:cs="Times New Roman" w:hint="eastAsia"/>
          <w:szCs w:val="21"/>
          <w:highlight w:val="none"/>
        </w:rPr>
        <w:t>按照本合同</w:t>
      </w:r>
      <w:r>
        <w:rPr>
          <w:rFonts w:ascii="宋体" w:eastAsia="宋体" w:hAnsi="宋体" w:cs="Times New Roman"/>
          <w:szCs w:val="21"/>
          <w:highlight w:val="none"/>
        </w:rPr>
        <w:t>的约定方式处理，</w:t>
      </w:r>
      <w:r>
        <w:rPr>
          <w:rFonts w:ascii="宋体" w:eastAsia="宋体" w:hAnsi="宋体" w:cs="Times New Roman" w:hint="eastAsia"/>
          <w:szCs w:val="21"/>
          <w:highlight w:val="none"/>
        </w:rPr>
        <w:t>任何情形下采购中心均</w:t>
      </w:r>
      <w:r>
        <w:rPr>
          <w:rFonts w:ascii="宋体" w:eastAsia="宋体" w:hAnsi="宋体" w:cs="Times New Roman"/>
          <w:szCs w:val="21"/>
          <w:highlight w:val="none"/>
        </w:rPr>
        <w:t>不应当成为该等争议的当事人，无论该等诉讼均不得</w:t>
      </w:r>
      <w:r>
        <w:rPr>
          <w:rFonts w:ascii="宋体" w:eastAsia="宋体" w:hAnsi="宋体" w:cs="Times New Roman" w:hint="eastAsia"/>
          <w:szCs w:val="21"/>
          <w:highlight w:val="none"/>
        </w:rPr>
        <w:t>针</w:t>
      </w:r>
      <w:r>
        <w:rPr>
          <w:rFonts w:ascii="宋体" w:eastAsia="宋体" w:hAnsi="宋体" w:cs="Times New Roman"/>
          <w:szCs w:val="21"/>
          <w:highlight w:val="none"/>
        </w:rPr>
        <w:t>对</w:t>
      </w:r>
      <w:r>
        <w:rPr>
          <w:rFonts w:ascii="宋体" w:eastAsia="宋体" w:hAnsi="宋体" w:cs="Times New Roman" w:hint="eastAsia"/>
          <w:szCs w:val="21"/>
          <w:highlight w:val="none"/>
        </w:rPr>
        <w:t>采购中心</w:t>
      </w:r>
      <w:r>
        <w:rPr>
          <w:rFonts w:ascii="宋体" w:eastAsia="宋体" w:hAnsi="宋体" w:cs="Times New Roman"/>
          <w:szCs w:val="21"/>
          <w:highlight w:val="none"/>
        </w:rPr>
        <w:t>提起。</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3、在争议解决期间，除了诉讼进行过程中正在解决的部分问题外，合同其余部分应继续履行。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二十、合同的补充、修改和变更</w:t>
      </w:r>
    </w:p>
    <w:p>
      <w:pPr>
        <w:adjustRightInd w:val="0"/>
        <w:snapToGrid w:val="0"/>
        <w:spacing w:line="360" w:lineRule="auto"/>
        <w:ind w:firstLine="420" w:firstLineChars="200"/>
        <w:rPr>
          <w:rFonts w:ascii="宋体" w:eastAsia="宋体" w:hAnsi="宋体" w:cs="Times New Roman"/>
          <w:b/>
          <w:bCs/>
          <w:szCs w:val="21"/>
          <w:highlight w:val="none"/>
        </w:rPr>
      </w:pPr>
      <w:r>
        <w:rPr>
          <w:rFonts w:ascii="宋体" w:eastAsia="宋体" w:hAnsi="宋体" w:cs="Times New Roman" w:hint="eastAsia"/>
          <w:szCs w:val="21"/>
          <w:highlight w:val="none"/>
        </w:rPr>
        <w:t>在不背离</w:t>
      </w:r>
      <w:r>
        <w:rPr>
          <w:rFonts w:ascii="Calibri" w:eastAsia="宋体" w:hAnsi="Calibri" w:cs="Times New Roman" w:hint="eastAsia"/>
          <w:szCs w:val="22"/>
          <w:highlight w:val="none"/>
        </w:rPr>
        <w:t>招标文件、投标文件及评审过程中的有关澄清、说明或者补正文件的实质性内容的前提下，</w:t>
      </w:r>
      <w:r>
        <w:rPr>
          <w:rFonts w:ascii="宋体" w:eastAsia="宋体" w:hAnsi="宋体" w:cs="Times New Roman" w:hint="eastAsia"/>
          <w:szCs w:val="21"/>
          <w:highlight w:val="none"/>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2、甲方收到乙方的上述回应后，应在3日内以书面方式通知乙方是否同意和接受乙方的上述回应。如果甲方接受乙方的上述回应，则双方另行对此修改签署予以确认，乙方则按修改后的约定履行本合同。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4、如乙方提出项目的部分修改建议，乙方应同时详细阐明该变更对合同价格、项目交付日期、项目技术参数的影响和变化以及对合同条款的影响等。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6、所有的修改应在双方签署书面的修改备忘录时生效。修改备忘录将变更或取代有关的技术文件中或先前的任何修改备忘录中所有不一致的条款。</w:t>
      </w:r>
    </w:p>
    <w:p>
      <w:pPr>
        <w:adjustRightInd w:val="0"/>
        <w:snapToGrid w:val="0"/>
        <w:spacing w:line="360" w:lineRule="auto"/>
        <w:ind w:left="420"/>
        <w:rPr>
          <w:rFonts w:ascii="宋体" w:eastAsia="宋体" w:hAnsi="宋体" w:cs="Times New Roman"/>
          <w:szCs w:val="21"/>
          <w:highlight w:val="none"/>
        </w:rPr>
      </w:pPr>
      <w:r>
        <w:rPr>
          <w:rFonts w:ascii="宋体" w:eastAsia="宋体" w:hAnsi="宋体" w:cs="Times New Roman" w:hint="eastAsia"/>
          <w:szCs w:val="21"/>
          <w:highlight w:val="none"/>
        </w:rPr>
        <w:t>7、任何对合同条件的变更或修改均须双方签订书面的修改书。</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8、招投标文件及其全部条款、双方签订的补充协议以及修改或变更的条款与本合同具有同等法律效力。补充、修改或变更的协议的签署及生效方式与本合同的签署及生效方式相同。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二十一、合同的生效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本合同经双方法定代表人（负责人）或授权代表签字并加盖单位公章后生效。</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二十二、其它约定事项</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1、本合同中的附件均为本合同不可分割的部分，与本合同具有相同的法律效力。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3、本合同正本一式两份，甲、乙双方各执一份，每份正本具有同等法律效力，副本报财政部备案。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4、本合同涉及的招标文件和投标文件，正本由中国气象局政府采购中心保存。</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p>
    <w:p>
      <w:pPr>
        <w:rPr>
          <w:highlight w:val="none"/>
        </w:rPr>
      </w:pPr>
    </w:p>
    <w:p w:rsidR="00A77B3E"/>
    <w:p>
      <w:pPr>
        <w:numPr>
          <w:ilvl w:val="0"/>
          <w:numId w:val="4"/>
        </w:numPr>
        <w:spacing w:line="360" w:lineRule="auto"/>
        <w:ind w:firstLine="3066" w:firstLineChars="1460"/>
        <w:jc w:val="left"/>
        <w:rPr>
          <w:rFonts w:ascii="Times New Roman" w:eastAsia="宋体" w:hAnsi="Times New Roman" w:cs="Times New Roman" w:hint="eastAsia"/>
          <w:b/>
          <w:bCs/>
          <w:szCs w:val="21"/>
          <w:highlight w:val="none"/>
        </w:rPr>
      </w:pPr>
      <w:bookmarkEnd w:id="6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方正小标宋简体">
    <w:panose1 w:val="02000000000000000000"/>
    <w:charset w:val="86"/>
    <w:family w:val="auto"/>
    <w:pitch w:val="default"/>
    <w:sig w:usb0="00000001" w:usb1="08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
  </w:num>
  <w:num w:numId="2">
    <w:abstractNumId w:val="2"/>
  </w:num>
  <w:num w:numId="3">
    <w:abstractNumId w:val="4"/>
  </w:num>
  <w:num w:numId="4">
    <w:abstractNumId w:val="1"/>
  </w:num>
  <w:num w:numId="5">
    <w:abstractNumId w:val="0"/>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C22"/>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0FF"/>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table" w:styleId="TableGrid">
    <w:name w:val="Table Grid"/>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24926</Words>
  <Characters>26292</Characters>
  <Application>Microsoft Office Word</Application>
  <DocSecurity>0</DocSecurity>
  <Lines>216</Lines>
  <Paragraphs>61</Paragraphs>
  <ScaleCrop>false</ScaleCrop>
  <Company>中国气象局</Company>
  <LinksUpToDate>false</LinksUpToDate>
  <CharactersWithSpaces>26403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2026-03-17T07:20:53Z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