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2025年雷达站网工程贵州省新建大气本底站-附属设备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贵州省大气探测技术与保障中心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2025年雷达站网工程贵州省新建大气本底站-附属设备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贵州省雷山县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2025年11月20日 00:00:00</w:t>
      </w:r>
      <w:bookmarkEnd w:id="26"/>
      <w:r>
        <w:rPr>
          <w:rFonts w:ascii="宋体" w:hint="eastAsia"/>
          <w:szCs w:val="21"/>
          <w:highlight w:val="none"/>
        </w:rPr>
        <w:t>至</w:t>
      </w:r>
      <w:bookmarkStart w:id="27" w:name="项目公告_signUpLastTime"/>
      <w:r>
        <w:rPr>
          <w:rFonts w:ascii="宋体" w:hint="eastAsia"/>
          <w:szCs w:val="21"/>
          <w:highlight w:val="none"/>
        </w:rPr>
        <w:t>2025年11月27日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贵州省大气探测技术与保障中心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彭琳茜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贵州省贵阳市观山湖区兴筑西路58号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贵州省大气探测技术与保障中心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不允许（仅针对以下产品：1、2025年雷达站网工程贵州省新建大气本底站附属设备不允许代理商投标）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设有，核心产品为温室气体自动采样系统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标的：2025年雷达站网工程贵州省新建大气本底站附属设备    ，属于工业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270.000000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270.000000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销售合同必须包括本项目核心产品温室气体自动采样系统，每提供1份合同得1分，最多得5分。否则不得分。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针对本项目采购的附属设备（温室气体自动采样系统、温室气体采样瓶、温室气体采样罐、方舱、UPS（含方舱）），</w:t>
              <w:cr/>
              <w:t>承诺每提前5天交货的得1分，最多得3分。否则不得分。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针对核心产品温室气体自动采样系统设备，每提供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(8)</w:t>
            </w:r>
          </w:p>
        </w:tc>
        <w:tc>
          <w:tcPr/>
          <w:p>
            <w:r>
              <w:t>评审标准：</w:t>
            </w:r>
          </w:p>
          <w:p>
            <w:r>
              <w:t>1、投标人为本项目拟派的服务团队中项目经理应具有3年以上相关工作经验的得2分；</w:t>
              <w:cr/>
              <w:t>2、为本项目派出的技术人员至少5人具有1年及以上相关工作经验的，得4分；除项目经理外至少8人具有2年及以上相关工作经验的，得6分；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(33)</w:t>
            </w:r>
          </w:p>
        </w:tc>
        <w:tc>
          <w:tcPr/>
          <w:p>
            <w:r>
              <w:t>评审标准：</w:t>
            </w:r>
          </w:p>
          <w:p>
            <w:r>
              <w:t>标注#的重要指标共11项，需提供投标设备能满足（如有多个下级指标，则每个下级指标均应满足）的证明材料。针对每一项标注#的重要指标，证明材料为第三方出具测试报告得3分，证明材料为设备相关用户手册或操作使用说明得1分。本项满分33分。</w:t>
            </w:r>
          </w:p>
          <w:p>
            <w:r>
              <w:t>评审标准说明：</w:t>
            </w:r>
          </w:p>
          <w:p>
            <w:r>
              <w:t>需提供技术文档。响应且满足招标文件第七章详细技术指标要求，标注#的重要指标需提供加盖投标人公章的证明材料。</w:t>
              <w:cr/>
              <w:cr/>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根据投标人提供的技术方案和能证明投标产品技术性能的第三方测试报告/设备用户手册（操作使用说明）进行评分，具体评分标准如下：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设备用户手册（操作使用说明）等，并加盖投标人公章。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rsidR="00AF3C0D" w:rsidP="00043E38">
      <w:pPr>
        <w:spacing w:line="500" w:lineRule="exact"/>
        <w:jc w:val="center"/>
        <w:outlineLvl w:val="1"/>
        <w:rPr>
          <w:rFonts w:ascii="黑体" w:eastAsia="黑体" w:hAnsi="黑体" w:hint="eastAsia"/>
          <w:bCs/>
          <w:szCs w:val="32"/>
        </w:rPr>
      </w:pPr>
      <w:r>
        <w:rPr>
          <w:bCs/>
          <w:szCs w:val="21"/>
          <w:highlight w:val="none"/>
        </w:rPr>
        <w:br w:type="page"/>
      </w:r>
      <w:bookmarkStart w:id="59" w:name="插入_采购需求书"/>
      <w:r w:rsidR="00043E38">
        <w:rPr>
          <w:rFonts w:ascii="黑体" w:eastAsia="黑体" w:hAnsi="黑体" w:hint="eastAsia"/>
          <w:bCs/>
          <w:szCs w:val="32"/>
        </w:rPr>
        <w:t xml:space="preserve">第七章 </w:t>
      </w:r>
      <w:r>
        <w:rPr>
          <w:rFonts w:ascii="黑体" w:eastAsia="黑体" w:hAnsi="黑体" w:hint="eastAsia"/>
          <w:bCs/>
          <w:szCs w:val="32"/>
        </w:rPr>
        <w:t>采购需求</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本项目拟在贵州省新建1个大气本底站，观测系统设备包括：高精度温室气体（CO</w:t>
      </w:r>
      <w:r>
        <w:rPr>
          <w:rFonts w:ascii="仿宋" w:eastAsia="仿宋" w:hAnsi="仿宋" w:cs="仿宋" w:hint="eastAsia"/>
          <w:sz w:val="28"/>
          <w:szCs w:val="20"/>
          <w:vertAlign w:val="subscript"/>
        </w:rPr>
        <w:t>2</w:t>
      </w:r>
      <w:r>
        <w:rPr>
          <w:rFonts w:ascii="仿宋" w:eastAsia="仿宋" w:hAnsi="仿宋" w:cs="仿宋" w:hint="eastAsia"/>
          <w:sz w:val="28"/>
          <w:szCs w:val="20"/>
        </w:rPr>
        <w:t>/CH</w:t>
      </w:r>
      <w:r>
        <w:rPr>
          <w:rFonts w:ascii="仿宋" w:eastAsia="仿宋" w:hAnsi="仿宋" w:cs="仿宋" w:hint="eastAsia"/>
          <w:sz w:val="28"/>
          <w:szCs w:val="20"/>
          <w:vertAlign w:val="subscript"/>
        </w:rPr>
        <w:t>4</w:t>
      </w:r>
      <w:r>
        <w:rPr>
          <w:rFonts w:ascii="仿宋" w:eastAsia="仿宋" w:hAnsi="仿宋" w:cs="仿宋" w:hint="eastAsia"/>
          <w:sz w:val="28"/>
          <w:szCs w:val="20"/>
        </w:rPr>
        <w:t>）浓度观测系统（光腔衰荡光谱法）、温室气体自动采样系统、温室气体采样瓶、温室气体采样罐、气溶胶质量浓度观测系统（</w:t>
      </w:r>
      <w:r>
        <w:rPr>
          <w:rFonts w:ascii="仿宋" w:eastAsia="仿宋" w:hAnsi="仿宋" w:cs="仿宋" w:hint="eastAsia"/>
          <w:sz w:val="28"/>
          <w:szCs w:val="20"/>
        </w:rPr>
        <w:t>β</w:t>
      </w:r>
      <w:r>
        <w:rPr>
          <w:rFonts w:ascii="仿宋" w:eastAsia="仿宋" w:hAnsi="仿宋" w:cs="仿宋" w:hint="eastAsia"/>
          <w:sz w:val="28"/>
          <w:szCs w:val="20"/>
        </w:rPr>
        <w:t>射线法）、痕量反应性气体观测系统、自动气象站、方舱、UPS（含方舱）。本项目的建设将完成贵州温室气体等观测要素的建设并观测，实现对该站的大气本底观测能力提升，进一步构建全国大气本底及温室气体生态监测站网，具备监测全国应对气候变化监测能力，服务</w:t>
      </w:r>
      <w:r>
        <w:rPr>
          <w:rFonts w:ascii="仿宋" w:eastAsia="仿宋" w:hAnsi="仿宋" w:cs="仿宋" w:hint="eastAsia"/>
          <w:sz w:val="28"/>
          <w:szCs w:val="20"/>
        </w:rPr>
        <w:t>“</w:t>
      </w:r>
      <w:r>
        <w:rPr>
          <w:rFonts w:ascii="仿宋" w:eastAsia="仿宋" w:hAnsi="仿宋" w:cs="仿宋" w:hint="eastAsia"/>
          <w:sz w:val="28"/>
          <w:szCs w:val="20"/>
        </w:rPr>
        <w:t>碳达峰、碳中和</w:t>
      </w:r>
      <w:r>
        <w:rPr>
          <w:rFonts w:ascii="仿宋" w:eastAsia="仿宋" w:hAnsi="仿宋" w:cs="仿宋" w:hint="eastAsia"/>
          <w:sz w:val="28"/>
          <w:szCs w:val="20"/>
        </w:rPr>
        <w:t>”</w:t>
      </w:r>
      <w:r>
        <w:rPr>
          <w:rFonts w:ascii="仿宋" w:eastAsia="仿宋" w:hAnsi="仿宋" w:cs="仿宋" w:hint="eastAsia"/>
          <w:sz w:val="28"/>
          <w:szCs w:val="20"/>
        </w:rPr>
        <w:t>国家战略。</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目前，本项目已委托完成主要设备气溶胶质量浓度观测系统（</w:t>
      </w:r>
      <w:r>
        <w:rPr>
          <w:rFonts w:ascii="仿宋" w:eastAsia="仿宋" w:hAnsi="仿宋" w:cs="仿宋" w:hint="eastAsia"/>
          <w:sz w:val="28"/>
          <w:szCs w:val="20"/>
        </w:rPr>
        <w:t>β</w:t>
      </w:r>
      <w:r>
        <w:rPr>
          <w:rFonts w:ascii="仿宋" w:eastAsia="仿宋" w:hAnsi="仿宋" w:cs="仿宋" w:hint="eastAsia"/>
          <w:sz w:val="28"/>
          <w:szCs w:val="20"/>
        </w:rPr>
        <w:t>射线法）、痕量反应性气体观测系统的采购，现就气象部门目录外的附属设备温室气体自动采样系统、温室气体采样瓶、温室气体采样罐、UPS（含15平方米方舱）、方舱（定制21平方米，3个）。</w:t>
      </w:r>
    </w:p>
    <w:p w:rsidR="00AF3C0D">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设备需求一览表（详见采购需求附表）</w:t>
      </w:r>
    </w:p>
    <w:p w:rsidR="00AF3C0D">
      <w:pPr>
        <w:spacing w:line="560" w:lineRule="exact"/>
        <w:ind w:firstLine="560" w:firstLineChars="200"/>
        <w:jc w:val="center"/>
        <w:rPr>
          <w:rFonts w:ascii="仿宋_GB2312" w:eastAsia="仿宋_GB2312" w:hAnsi="仿宋_GB2312" w:cs="仿宋_GB2312" w:hint="eastAsia"/>
          <w:szCs w:val="21"/>
        </w:rPr>
      </w:pPr>
      <w:r>
        <w:rPr>
          <w:rFonts w:ascii="仿宋_GB2312" w:eastAsia="仿宋_GB2312" w:hAnsi="仿宋_GB2312" w:cs="仿宋_GB2312" w:hint="eastAsia"/>
          <w:sz w:val="28"/>
          <w:szCs w:val="20"/>
        </w:rPr>
        <w:t>设备需求总表</w:t>
      </w:r>
    </w:p>
    <w:tbl>
      <w:tblPr>
        <w:tblStyle w:val="TableNormal"/>
        <w:tblW w:w="10137"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8"/>
        <w:gridCol w:w="1471"/>
        <w:gridCol w:w="1275"/>
        <w:gridCol w:w="1392"/>
        <w:gridCol w:w="1429"/>
        <w:gridCol w:w="1671"/>
        <w:gridCol w:w="1801"/>
      </w:tblGrid>
      <w:tr>
        <w:tblPrEx>
          <w:tblW w:w="10137"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79"/>
        </w:trPr>
        <w:tc>
          <w:tcPr>
            <w:tcW w:w="1098" w:type="dxa"/>
            <w:vAlign w:val="center"/>
          </w:tcPr>
          <w:p w:rsidR="00AF3C0D">
            <w:pPr>
              <w:autoSpaceDE w:val="0"/>
              <w:jc w:val="center"/>
              <w:rPr>
                <w:rFonts w:ascii="仿宋" w:eastAsia="仿宋" w:hAnsi="仿宋" w:cs="仿宋" w:hint="eastAsia"/>
                <w:b/>
                <w:bCs/>
                <w:kern w:val="0"/>
              </w:rPr>
            </w:pPr>
            <w:r>
              <w:rPr>
                <w:rFonts w:ascii="仿宋" w:eastAsia="仿宋" w:hAnsi="仿宋" w:cs="仿宋" w:hint="eastAsia"/>
                <w:b/>
                <w:bCs/>
                <w:color w:val="000000"/>
                <w:kern w:val="0"/>
                <w:sz w:val="24"/>
              </w:rPr>
              <w:t>项目名称</w:t>
            </w:r>
          </w:p>
        </w:tc>
        <w:tc>
          <w:tcPr>
            <w:tcW w:w="1471" w:type="dxa"/>
            <w:vAlign w:val="center"/>
          </w:tcPr>
          <w:p w:rsidR="00AF3C0D">
            <w:pPr>
              <w:autoSpaceDE w:val="0"/>
              <w:jc w:val="center"/>
              <w:rPr>
                <w:rFonts w:ascii="仿宋" w:eastAsia="仿宋" w:hAnsi="仿宋" w:cs="仿宋" w:hint="eastAsia"/>
                <w:b/>
                <w:bCs/>
                <w:kern w:val="0"/>
              </w:rPr>
            </w:pPr>
            <w:r>
              <w:rPr>
                <w:rFonts w:ascii="仿宋" w:eastAsia="仿宋" w:hAnsi="仿宋" w:cs="仿宋" w:hint="eastAsia"/>
                <w:b/>
                <w:bCs/>
                <w:kern w:val="0"/>
                <w:sz w:val="24"/>
              </w:rPr>
              <w:t>品目名称</w:t>
            </w:r>
          </w:p>
        </w:tc>
        <w:tc>
          <w:tcPr>
            <w:tcW w:w="1275" w:type="dxa"/>
            <w:vAlign w:val="center"/>
          </w:tcPr>
          <w:p w:rsidR="00AF3C0D">
            <w:pPr>
              <w:autoSpaceDE w:val="0"/>
              <w:jc w:val="center"/>
              <w:rPr>
                <w:rFonts w:ascii="仿宋" w:eastAsia="仿宋" w:hAnsi="仿宋" w:cs="仿宋" w:hint="eastAsia"/>
                <w:b/>
                <w:bCs/>
                <w:kern w:val="0"/>
              </w:rPr>
            </w:pPr>
            <w:r>
              <w:rPr>
                <w:rFonts w:ascii="仿宋" w:eastAsia="仿宋" w:hAnsi="仿宋" w:cs="仿宋" w:hint="eastAsia"/>
                <w:b/>
                <w:bCs/>
                <w:kern w:val="0"/>
                <w:sz w:val="24"/>
              </w:rPr>
              <w:t>采购数量</w:t>
            </w:r>
          </w:p>
        </w:tc>
        <w:tc>
          <w:tcPr>
            <w:tcW w:w="1392" w:type="dxa"/>
            <w:vAlign w:val="center"/>
          </w:tcPr>
          <w:p w:rsidR="00AF3C0D">
            <w:pPr>
              <w:autoSpaceDE w:val="0"/>
              <w:jc w:val="center"/>
              <w:rPr>
                <w:rFonts w:ascii="仿宋" w:eastAsia="仿宋" w:hAnsi="仿宋" w:cs="仿宋" w:hint="eastAsia"/>
                <w:b/>
                <w:bCs/>
                <w:kern w:val="0"/>
              </w:rPr>
            </w:pPr>
            <w:r>
              <w:rPr>
                <w:rFonts w:ascii="仿宋" w:eastAsia="仿宋" w:hAnsi="仿宋" w:cs="仿宋" w:hint="eastAsia"/>
                <w:b/>
                <w:bCs/>
                <w:kern w:val="0"/>
                <w:sz w:val="24"/>
              </w:rPr>
              <w:t>计量单位</w:t>
            </w:r>
          </w:p>
        </w:tc>
        <w:tc>
          <w:tcPr>
            <w:tcW w:w="1429" w:type="dxa"/>
            <w:vAlign w:val="center"/>
          </w:tcPr>
          <w:p w:rsidR="00AF3C0D">
            <w:pPr>
              <w:autoSpaceDE w:val="0"/>
              <w:jc w:val="center"/>
              <w:rPr>
                <w:rFonts w:ascii="仿宋" w:eastAsia="仿宋" w:hAnsi="仿宋" w:cs="仿宋" w:hint="eastAsia"/>
                <w:b/>
                <w:bCs/>
                <w:kern w:val="0"/>
              </w:rPr>
            </w:pPr>
            <w:r>
              <w:rPr>
                <w:rFonts w:ascii="仿宋" w:eastAsia="仿宋" w:hAnsi="仿宋" w:cs="仿宋" w:hint="eastAsia"/>
                <w:b/>
                <w:bCs/>
                <w:kern w:val="0"/>
                <w:sz w:val="24"/>
              </w:rPr>
              <w:t>采购预算（万元）</w:t>
            </w:r>
          </w:p>
        </w:tc>
        <w:tc>
          <w:tcPr>
            <w:tcW w:w="1671" w:type="dxa"/>
            <w:vAlign w:val="center"/>
          </w:tcPr>
          <w:p w:rsidR="00AF3C0D">
            <w:pPr>
              <w:autoSpaceDE w:val="0"/>
              <w:jc w:val="center"/>
              <w:rPr>
                <w:rFonts w:ascii="仿宋" w:eastAsia="仿宋" w:hAnsi="仿宋" w:cs="仿宋" w:hint="eastAsia"/>
                <w:b/>
                <w:bCs/>
                <w:kern w:val="0"/>
              </w:rPr>
            </w:pPr>
            <w:r>
              <w:rPr>
                <w:rFonts w:ascii="仿宋" w:eastAsia="仿宋" w:hAnsi="仿宋" w:cs="仿宋" w:hint="eastAsia"/>
                <w:b/>
                <w:bCs/>
                <w:kern w:val="0"/>
                <w:sz w:val="24"/>
              </w:rPr>
              <w:t>交货期（天）</w:t>
            </w:r>
          </w:p>
        </w:tc>
        <w:tc>
          <w:tcPr>
            <w:tcW w:w="1801" w:type="dxa"/>
            <w:vAlign w:val="center"/>
          </w:tcPr>
          <w:p w:rsidR="00AF3C0D">
            <w:pPr>
              <w:autoSpaceDE w:val="0"/>
              <w:autoSpaceDN w:val="0"/>
              <w:adjustRightInd w:val="0"/>
              <w:spacing w:before="48"/>
              <w:ind w:right="-20"/>
              <w:jc w:val="center"/>
              <w:rPr>
                <w:rFonts w:ascii="仿宋" w:eastAsia="仿宋" w:hAnsi="仿宋" w:cs="仿宋" w:hint="eastAsia"/>
                <w:b/>
                <w:bCs/>
                <w:kern w:val="0"/>
              </w:rPr>
            </w:pPr>
            <w:r>
              <w:rPr>
                <w:rFonts w:ascii="仿宋" w:eastAsia="仿宋" w:hAnsi="仿宋" w:cs="仿宋" w:hint="eastAsia"/>
                <w:b/>
                <w:bCs/>
                <w:kern w:val="0"/>
                <w:sz w:val="24"/>
              </w:rPr>
              <w:t>备注</w:t>
            </w:r>
          </w:p>
        </w:tc>
      </w:tr>
      <w:tr>
        <w:tblPrEx>
          <w:tblW w:w="10137" w:type="dxa"/>
          <w:tblInd w:w="-260" w:type="dxa"/>
          <w:tblLook w:val="0000"/>
        </w:tblPrEx>
        <w:trPr>
          <w:trHeight w:val="90"/>
        </w:trPr>
        <w:tc>
          <w:tcPr>
            <w:tcW w:w="1098" w:type="dxa"/>
            <w:vMerge w:val="restart"/>
            <w:shd w:val="clear" w:color="auto" w:fill="auto"/>
            <w:vAlign w:val="center"/>
          </w:tcPr>
          <w:p w:rsidR="00AF3C0D">
            <w:pPr>
              <w:autoSpaceDE w:val="0"/>
              <w:jc w:val="center"/>
              <w:rPr>
                <w:rFonts w:ascii="仿宋" w:eastAsia="仿宋" w:hAnsi="仿宋" w:cs="仿宋" w:hint="eastAsia"/>
                <w:kern w:val="0"/>
              </w:rPr>
            </w:pPr>
            <w:r>
              <w:rPr>
                <w:rFonts w:ascii="仿宋" w:eastAsia="仿宋" w:hAnsi="仿宋" w:cs="仿宋" w:hint="eastAsia"/>
                <w:color w:val="000000"/>
                <w:sz w:val="24"/>
              </w:rPr>
              <w:t>2025年雷达站网工程贵州省新建大气本底站-附属设备建设项目</w:t>
            </w:r>
          </w:p>
        </w:tc>
        <w:tc>
          <w:tcPr>
            <w:tcW w:w="1471"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温室气体自动采样系统（核心设备）</w:t>
            </w:r>
          </w:p>
        </w:tc>
        <w:tc>
          <w:tcPr>
            <w:tcW w:w="1275"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1</w:t>
            </w:r>
          </w:p>
        </w:tc>
        <w:tc>
          <w:tcPr>
            <w:tcW w:w="1392"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套</w:t>
            </w:r>
          </w:p>
        </w:tc>
        <w:tc>
          <w:tcPr>
            <w:tcW w:w="1429"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Fonts w:ascii="仿宋" w:eastAsia="仿宋" w:hAnsi="仿宋" w:cs="仿宋" w:hint="eastAsia"/>
                <w:color w:val="000000"/>
                <w:sz w:val="24"/>
                <w:szCs w:val="24"/>
              </w:rPr>
              <w:t>54</w:t>
            </w:r>
          </w:p>
        </w:tc>
        <w:tc>
          <w:tcPr>
            <w:tcW w:w="1671" w:type="dxa"/>
            <w:shd w:val="clear" w:color="auto" w:fill="auto"/>
            <w:vAlign w:val="center"/>
          </w:tcPr>
          <w:p w:rsidR="00AF3C0D">
            <w:pPr>
              <w:autoSpaceDE w:val="0"/>
              <w:jc w:val="center"/>
              <w:rPr>
                <w:rFonts w:ascii="仿宋" w:eastAsia="仿宋" w:hAnsi="仿宋" w:cs="仿宋"/>
                <w:kern w:val="0"/>
              </w:rPr>
            </w:pPr>
            <w:r>
              <w:rPr>
                <w:rFonts w:ascii="仿宋" w:eastAsia="仿宋" w:hAnsi="仿宋" w:cs="仿宋" w:hint="eastAsia"/>
                <w:kern w:val="0"/>
                <w:sz w:val="24"/>
              </w:rPr>
              <w:t>120</w:t>
            </w:r>
          </w:p>
        </w:tc>
        <w:tc>
          <w:tcPr>
            <w:tcW w:w="1801" w:type="dxa"/>
            <w:shd w:val="clear" w:color="auto" w:fill="FFFFFF"/>
            <w:vAlign w:val="center"/>
          </w:tcPr>
          <w:p w:rsidR="00AF3C0D">
            <w:pPr>
              <w:widowControl/>
              <w:spacing w:line="240" w:lineRule="exact"/>
              <w:jc w:val="center"/>
              <w:rPr>
                <w:rFonts w:ascii="仿宋" w:eastAsia="仿宋" w:hAnsi="仿宋" w:cs="仿宋" w:hint="eastAsia"/>
                <w:bCs/>
                <w:color w:val="000000"/>
                <w:kern w:val="0"/>
              </w:rPr>
            </w:pPr>
            <w:r>
              <w:rPr>
                <w:rFonts w:ascii="仿宋" w:eastAsia="仿宋" w:hAnsi="仿宋" w:cs="仿宋" w:hint="eastAsia"/>
                <w:bCs/>
                <w:color w:val="000000"/>
                <w:kern w:val="0"/>
                <w:sz w:val="24"/>
              </w:rPr>
              <w:t>含8年维保</w:t>
            </w:r>
          </w:p>
        </w:tc>
      </w:tr>
      <w:tr>
        <w:tblPrEx>
          <w:tblW w:w="10137" w:type="dxa"/>
          <w:tblInd w:w="-260" w:type="dxa"/>
          <w:tblLook w:val="0000"/>
        </w:tblPrEx>
        <w:trPr>
          <w:trHeight w:val="714"/>
        </w:trPr>
        <w:tc>
          <w:tcPr>
            <w:tcW w:w="1098" w:type="dxa"/>
            <w:vMerge/>
            <w:shd w:val="clear" w:color="auto" w:fill="auto"/>
            <w:vAlign w:val="center"/>
          </w:tcPr>
          <w:p w:rsidR="00AF3C0D">
            <w:pPr>
              <w:autoSpaceDE w:val="0"/>
              <w:jc w:val="center"/>
              <w:rPr>
                <w:rFonts w:ascii="仿宋" w:eastAsia="仿宋" w:hAnsi="仿宋" w:cs="仿宋" w:hint="eastAsia"/>
                <w:kern w:val="0"/>
              </w:rPr>
            </w:pPr>
          </w:p>
        </w:tc>
        <w:tc>
          <w:tcPr>
            <w:tcW w:w="1471"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温室气体采样瓶</w:t>
            </w:r>
          </w:p>
        </w:tc>
        <w:tc>
          <w:tcPr>
            <w:tcW w:w="1275"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16</w:t>
            </w:r>
          </w:p>
        </w:tc>
        <w:tc>
          <w:tcPr>
            <w:tcW w:w="1392"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套</w:t>
            </w:r>
          </w:p>
        </w:tc>
        <w:tc>
          <w:tcPr>
            <w:tcW w:w="1429"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Fonts w:ascii="仿宋" w:eastAsia="仿宋" w:hAnsi="仿宋" w:cs="仿宋" w:hint="eastAsia"/>
                <w:bCs/>
                <w:color w:val="000000"/>
                <w:kern w:val="0"/>
                <w:sz w:val="24"/>
                <w:szCs w:val="24"/>
              </w:rPr>
              <w:t>16</w:t>
            </w:r>
          </w:p>
        </w:tc>
        <w:tc>
          <w:tcPr>
            <w:tcW w:w="1671" w:type="dxa"/>
            <w:shd w:val="clear" w:color="auto" w:fill="auto"/>
            <w:vAlign w:val="center"/>
          </w:tcPr>
          <w:p w:rsidR="00AF3C0D">
            <w:pPr>
              <w:autoSpaceDE w:val="0"/>
              <w:jc w:val="center"/>
              <w:rPr>
                <w:rFonts w:ascii="仿宋" w:eastAsia="仿宋" w:hAnsi="仿宋" w:cs="仿宋" w:hint="eastAsia"/>
                <w:kern w:val="0"/>
              </w:rPr>
            </w:pPr>
            <w:r>
              <w:rPr>
                <w:rFonts w:ascii="仿宋" w:eastAsia="仿宋" w:hAnsi="仿宋" w:cs="仿宋" w:hint="eastAsia"/>
                <w:kern w:val="0"/>
                <w:sz w:val="24"/>
              </w:rPr>
              <w:t>120</w:t>
            </w:r>
          </w:p>
        </w:tc>
        <w:tc>
          <w:tcPr>
            <w:tcW w:w="1801" w:type="dxa"/>
            <w:shd w:val="clear" w:color="auto" w:fill="FFFFFF"/>
            <w:vAlign w:val="center"/>
          </w:tcPr>
          <w:p w:rsidR="00AF3C0D">
            <w:pPr>
              <w:widowControl/>
              <w:spacing w:line="240" w:lineRule="exact"/>
              <w:jc w:val="center"/>
              <w:rPr>
                <w:rFonts w:ascii="仿宋" w:eastAsia="仿宋" w:hAnsi="仿宋" w:cs="仿宋" w:hint="eastAsia"/>
                <w:bCs/>
                <w:color w:val="000000"/>
                <w:kern w:val="0"/>
              </w:rPr>
            </w:pPr>
            <w:r>
              <w:rPr>
                <w:rFonts w:ascii="仿宋" w:eastAsia="仿宋" w:hAnsi="仿宋" w:cs="仿宋" w:hint="eastAsia"/>
                <w:bCs/>
                <w:color w:val="000000"/>
                <w:kern w:val="0"/>
                <w:sz w:val="24"/>
              </w:rPr>
              <w:t>含1年维保</w:t>
            </w:r>
          </w:p>
        </w:tc>
      </w:tr>
      <w:tr>
        <w:tblPrEx>
          <w:tblW w:w="10137" w:type="dxa"/>
          <w:tblInd w:w="-260" w:type="dxa"/>
          <w:tblLook w:val="0000"/>
        </w:tblPrEx>
        <w:trPr>
          <w:trHeight w:val="714"/>
        </w:trPr>
        <w:tc>
          <w:tcPr>
            <w:tcW w:w="1098" w:type="dxa"/>
            <w:vMerge/>
            <w:shd w:val="clear" w:color="auto" w:fill="auto"/>
            <w:vAlign w:val="center"/>
          </w:tcPr>
          <w:p w:rsidR="00AF3C0D">
            <w:pPr>
              <w:autoSpaceDE w:val="0"/>
              <w:jc w:val="center"/>
              <w:rPr>
                <w:rFonts w:ascii="仿宋" w:eastAsia="仿宋" w:hAnsi="仿宋" w:cs="仿宋" w:hint="eastAsia"/>
                <w:kern w:val="0"/>
              </w:rPr>
            </w:pPr>
          </w:p>
        </w:tc>
        <w:tc>
          <w:tcPr>
            <w:tcW w:w="1471"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温室气体采样罐</w:t>
            </w:r>
          </w:p>
        </w:tc>
        <w:tc>
          <w:tcPr>
            <w:tcW w:w="1275"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16</w:t>
            </w:r>
          </w:p>
        </w:tc>
        <w:tc>
          <w:tcPr>
            <w:tcW w:w="1392" w:type="dxa"/>
            <w:shd w:val="clear" w:color="auto" w:fill="auto"/>
            <w:vAlign w:val="center"/>
          </w:tcPr>
          <w:p w:rsidR="00AF3C0D">
            <w:pPr>
              <w:adjustRightInd w:val="0"/>
              <w:snapToGrid w:val="0"/>
              <w:spacing w:line="360" w:lineRule="auto"/>
              <w:jc w:val="center"/>
              <w:rPr>
                <w:rFonts w:ascii="仿宋" w:eastAsia="仿宋" w:hAnsi="仿宋" w:cs="仿宋" w:hint="eastAsia"/>
                <w:kern w:val="0"/>
              </w:rPr>
            </w:pPr>
            <w:r>
              <w:rPr>
                <w:rStyle w:val="14"/>
                <w:rFonts w:ascii="仿宋" w:eastAsia="仿宋" w:hAnsi="仿宋" w:cs="仿宋" w:hint="eastAsia"/>
                <w:sz w:val="24"/>
                <w:szCs w:val="24"/>
              </w:rPr>
              <w:t>套</w:t>
            </w:r>
          </w:p>
        </w:tc>
        <w:tc>
          <w:tcPr>
            <w:tcW w:w="1429"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32</w:t>
            </w:r>
          </w:p>
        </w:tc>
        <w:tc>
          <w:tcPr>
            <w:tcW w:w="1671" w:type="dxa"/>
            <w:shd w:val="clear" w:color="auto" w:fill="auto"/>
            <w:vAlign w:val="center"/>
          </w:tcPr>
          <w:p w:rsidR="00AF3C0D">
            <w:pPr>
              <w:autoSpaceDE w:val="0"/>
              <w:jc w:val="center"/>
              <w:rPr>
                <w:rFonts w:ascii="仿宋" w:eastAsia="仿宋" w:hAnsi="仿宋" w:cs="仿宋" w:hint="eastAsia"/>
                <w:kern w:val="0"/>
              </w:rPr>
            </w:pPr>
            <w:r>
              <w:rPr>
                <w:rFonts w:ascii="仿宋" w:eastAsia="仿宋" w:hAnsi="仿宋" w:cs="仿宋" w:hint="eastAsia"/>
                <w:kern w:val="0"/>
                <w:sz w:val="24"/>
              </w:rPr>
              <w:t>120</w:t>
            </w:r>
          </w:p>
        </w:tc>
        <w:tc>
          <w:tcPr>
            <w:tcW w:w="1801" w:type="dxa"/>
            <w:shd w:val="clear" w:color="auto" w:fill="FFFFFF"/>
            <w:vAlign w:val="center"/>
          </w:tcPr>
          <w:p w:rsidR="00AF3C0D">
            <w:pPr>
              <w:widowControl/>
              <w:spacing w:line="240" w:lineRule="exact"/>
              <w:jc w:val="center"/>
              <w:rPr>
                <w:rFonts w:ascii="仿宋" w:eastAsia="仿宋" w:hAnsi="仿宋" w:cs="仿宋" w:hint="eastAsia"/>
                <w:bCs/>
                <w:color w:val="000000"/>
                <w:kern w:val="0"/>
              </w:rPr>
            </w:pPr>
            <w:r>
              <w:rPr>
                <w:rFonts w:ascii="仿宋" w:eastAsia="仿宋" w:hAnsi="仿宋" w:cs="仿宋" w:hint="eastAsia"/>
                <w:bCs/>
                <w:color w:val="000000"/>
                <w:kern w:val="0"/>
                <w:sz w:val="24"/>
              </w:rPr>
              <w:t>含1年维保</w:t>
            </w:r>
          </w:p>
        </w:tc>
      </w:tr>
      <w:tr>
        <w:tblPrEx>
          <w:tblW w:w="10137" w:type="dxa"/>
          <w:tblInd w:w="-260" w:type="dxa"/>
          <w:tblLook w:val="0000"/>
        </w:tblPrEx>
        <w:trPr>
          <w:trHeight w:val="1067"/>
        </w:trPr>
        <w:tc>
          <w:tcPr>
            <w:tcW w:w="1098" w:type="dxa"/>
            <w:vMerge/>
            <w:shd w:val="clear" w:color="auto" w:fill="auto"/>
            <w:vAlign w:val="center"/>
          </w:tcPr>
          <w:p w:rsidR="00AF3C0D">
            <w:pPr>
              <w:autoSpaceDE w:val="0"/>
              <w:jc w:val="center"/>
              <w:rPr>
                <w:rFonts w:ascii="仿宋" w:eastAsia="仿宋" w:hAnsi="仿宋" w:cs="仿宋" w:hint="eastAsia"/>
                <w:kern w:val="0"/>
              </w:rPr>
            </w:pPr>
          </w:p>
        </w:tc>
        <w:tc>
          <w:tcPr>
            <w:tcW w:w="1471"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UPS（含15平方米方舱）</w:t>
            </w:r>
          </w:p>
        </w:tc>
        <w:tc>
          <w:tcPr>
            <w:tcW w:w="1275"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1</w:t>
            </w:r>
          </w:p>
        </w:tc>
        <w:tc>
          <w:tcPr>
            <w:tcW w:w="1392" w:type="dxa"/>
            <w:shd w:val="clear" w:color="auto" w:fill="auto"/>
            <w:vAlign w:val="center"/>
          </w:tcPr>
          <w:p w:rsidR="00AF3C0D">
            <w:pPr>
              <w:adjustRightInd w:val="0"/>
              <w:snapToGrid w:val="0"/>
              <w:spacing w:line="360" w:lineRule="auto"/>
              <w:jc w:val="center"/>
              <w:rPr>
                <w:rFonts w:ascii="仿宋" w:eastAsia="仿宋" w:hAnsi="仿宋" w:cs="仿宋" w:hint="eastAsia"/>
                <w:kern w:val="0"/>
              </w:rPr>
            </w:pPr>
            <w:r>
              <w:rPr>
                <w:rStyle w:val="14"/>
                <w:rFonts w:ascii="仿宋" w:eastAsia="仿宋" w:hAnsi="仿宋" w:cs="仿宋" w:hint="eastAsia"/>
                <w:sz w:val="24"/>
                <w:szCs w:val="24"/>
              </w:rPr>
              <w:t>套</w:t>
            </w:r>
          </w:p>
        </w:tc>
        <w:tc>
          <w:tcPr>
            <w:tcW w:w="1429"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72</w:t>
            </w:r>
          </w:p>
        </w:tc>
        <w:tc>
          <w:tcPr>
            <w:tcW w:w="1671" w:type="dxa"/>
            <w:shd w:val="clear" w:color="auto" w:fill="auto"/>
            <w:vAlign w:val="center"/>
          </w:tcPr>
          <w:p w:rsidR="00AF3C0D">
            <w:pPr>
              <w:autoSpaceDE w:val="0"/>
              <w:jc w:val="center"/>
              <w:rPr>
                <w:rFonts w:ascii="仿宋" w:eastAsia="仿宋" w:hAnsi="仿宋" w:cs="仿宋" w:hint="eastAsia"/>
                <w:kern w:val="0"/>
              </w:rPr>
            </w:pPr>
            <w:r>
              <w:rPr>
                <w:rFonts w:ascii="仿宋" w:eastAsia="仿宋" w:hAnsi="仿宋" w:cs="仿宋" w:hint="eastAsia"/>
                <w:kern w:val="0"/>
                <w:sz w:val="24"/>
              </w:rPr>
              <w:t>120</w:t>
            </w:r>
          </w:p>
        </w:tc>
        <w:tc>
          <w:tcPr>
            <w:tcW w:w="1801" w:type="dxa"/>
            <w:shd w:val="clear" w:color="auto" w:fill="FFFFFF"/>
            <w:vAlign w:val="center"/>
          </w:tcPr>
          <w:p w:rsidR="00AF3C0D">
            <w:pPr>
              <w:widowControl/>
              <w:spacing w:line="240" w:lineRule="exact"/>
              <w:jc w:val="center"/>
              <w:rPr>
                <w:rFonts w:ascii="仿宋" w:eastAsia="仿宋" w:hAnsi="仿宋" w:cs="仿宋" w:hint="eastAsia"/>
                <w:bCs/>
                <w:color w:val="000000"/>
                <w:kern w:val="0"/>
              </w:rPr>
            </w:pPr>
            <w:r>
              <w:rPr>
                <w:rFonts w:ascii="仿宋" w:eastAsia="仿宋" w:hAnsi="仿宋" w:cs="仿宋" w:hint="eastAsia"/>
                <w:bCs/>
                <w:color w:val="000000"/>
                <w:kern w:val="0"/>
                <w:sz w:val="24"/>
              </w:rPr>
              <w:t>含8年维保、基础建设及防雷</w:t>
            </w:r>
          </w:p>
        </w:tc>
      </w:tr>
      <w:tr>
        <w:tblPrEx>
          <w:tblW w:w="10137" w:type="dxa"/>
          <w:tblInd w:w="-260" w:type="dxa"/>
          <w:tblLook w:val="0000"/>
        </w:tblPrEx>
        <w:trPr>
          <w:trHeight w:val="1075"/>
        </w:trPr>
        <w:tc>
          <w:tcPr>
            <w:tcW w:w="1098" w:type="dxa"/>
            <w:vMerge/>
            <w:shd w:val="clear" w:color="auto" w:fill="auto"/>
            <w:vAlign w:val="center"/>
          </w:tcPr>
          <w:p w:rsidR="00AF3C0D">
            <w:pPr>
              <w:autoSpaceDE w:val="0"/>
              <w:jc w:val="center"/>
              <w:rPr>
                <w:rFonts w:ascii="仿宋" w:eastAsia="仿宋" w:hAnsi="仿宋" w:cs="仿宋" w:hint="eastAsia"/>
                <w:kern w:val="0"/>
              </w:rPr>
            </w:pPr>
          </w:p>
        </w:tc>
        <w:tc>
          <w:tcPr>
            <w:tcW w:w="1471"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方舱（定制21平方米）</w:t>
            </w:r>
          </w:p>
        </w:tc>
        <w:tc>
          <w:tcPr>
            <w:tcW w:w="1275"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3</w:t>
            </w:r>
          </w:p>
        </w:tc>
        <w:tc>
          <w:tcPr>
            <w:tcW w:w="1392" w:type="dxa"/>
            <w:shd w:val="clear" w:color="auto" w:fill="auto"/>
            <w:vAlign w:val="center"/>
          </w:tcPr>
          <w:p w:rsidR="00AF3C0D">
            <w:pPr>
              <w:adjustRightInd w:val="0"/>
              <w:snapToGrid w:val="0"/>
              <w:spacing w:line="360" w:lineRule="auto"/>
              <w:jc w:val="center"/>
              <w:rPr>
                <w:rFonts w:ascii="仿宋" w:eastAsia="仿宋" w:hAnsi="仿宋" w:cs="仿宋" w:hint="eastAsia"/>
                <w:kern w:val="0"/>
              </w:rPr>
            </w:pPr>
            <w:r>
              <w:rPr>
                <w:rStyle w:val="14"/>
                <w:rFonts w:ascii="仿宋" w:eastAsia="仿宋" w:hAnsi="仿宋" w:cs="仿宋" w:hint="eastAsia"/>
                <w:sz w:val="24"/>
                <w:szCs w:val="24"/>
              </w:rPr>
              <w:t>套</w:t>
            </w:r>
          </w:p>
        </w:tc>
        <w:tc>
          <w:tcPr>
            <w:tcW w:w="1429" w:type="dxa"/>
            <w:shd w:val="clear" w:color="auto" w:fill="auto"/>
            <w:vAlign w:val="center"/>
          </w:tcPr>
          <w:p w:rsidR="00AF3C0D">
            <w:pPr>
              <w:pStyle w:val="NoSpacing"/>
              <w:adjustRightInd w:val="0"/>
              <w:snapToGrid w:val="0"/>
              <w:spacing w:line="360" w:lineRule="auto"/>
              <w:jc w:val="center"/>
              <w:rPr>
                <w:rFonts w:ascii="仿宋" w:eastAsia="仿宋" w:hAnsi="仿宋" w:cs="仿宋" w:hint="eastAsia"/>
                <w:kern w:val="0"/>
                <w:sz w:val="24"/>
              </w:rPr>
            </w:pPr>
            <w:r>
              <w:rPr>
                <w:rStyle w:val="14"/>
                <w:rFonts w:ascii="仿宋" w:eastAsia="仿宋" w:hAnsi="仿宋" w:cs="仿宋" w:hint="eastAsia"/>
                <w:sz w:val="24"/>
                <w:szCs w:val="24"/>
              </w:rPr>
              <w:t>96</w:t>
            </w:r>
          </w:p>
        </w:tc>
        <w:tc>
          <w:tcPr>
            <w:tcW w:w="1671" w:type="dxa"/>
            <w:shd w:val="clear" w:color="auto" w:fill="auto"/>
            <w:vAlign w:val="center"/>
          </w:tcPr>
          <w:p w:rsidR="00AF3C0D">
            <w:pPr>
              <w:autoSpaceDE w:val="0"/>
              <w:jc w:val="center"/>
              <w:rPr>
                <w:rFonts w:ascii="仿宋" w:eastAsia="仿宋" w:hAnsi="仿宋" w:cs="仿宋" w:hint="eastAsia"/>
                <w:kern w:val="0"/>
              </w:rPr>
            </w:pPr>
            <w:r>
              <w:rPr>
                <w:rFonts w:ascii="仿宋" w:eastAsia="仿宋" w:hAnsi="仿宋" w:cs="仿宋" w:hint="eastAsia"/>
                <w:kern w:val="0"/>
                <w:sz w:val="24"/>
              </w:rPr>
              <w:t>120</w:t>
            </w:r>
          </w:p>
        </w:tc>
        <w:tc>
          <w:tcPr>
            <w:tcW w:w="1801" w:type="dxa"/>
            <w:shd w:val="clear" w:color="auto" w:fill="FFFFFF"/>
            <w:vAlign w:val="center"/>
          </w:tcPr>
          <w:p w:rsidR="00AF3C0D">
            <w:pPr>
              <w:widowControl/>
              <w:spacing w:line="240" w:lineRule="exact"/>
              <w:jc w:val="center"/>
              <w:rPr>
                <w:rFonts w:ascii="仿宋" w:eastAsia="仿宋" w:hAnsi="仿宋" w:cs="仿宋" w:hint="eastAsia"/>
                <w:bCs/>
                <w:color w:val="000000"/>
                <w:kern w:val="0"/>
              </w:rPr>
            </w:pPr>
            <w:r>
              <w:rPr>
                <w:rFonts w:ascii="仿宋" w:eastAsia="仿宋" w:hAnsi="仿宋" w:cs="仿宋" w:hint="eastAsia"/>
                <w:bCs/>
                <w:color w:val="000000"/>
                <w:kern w:val="0"/>
                <w:sz w:val="24"/>
              </w:rPr>
              <w:t>含8年维保、基础建设及防雷</w:t>
            </w:r>
          </w:p>
        </w:tc>
      </w:tr>
    </w:tbl>
    <w:p w:rsidR="00AF3C0D">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技术性能指标</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本次采购的设备为温室气体自动采样系统、温室气体采样瓶、温室气体采样罐、UPS（含15平方米方舱）、方舱（定制21平方米，3个）。设备技术指标</w:t>
      </w:r>
    </w:p>
    <w:p w:rsidR="00AF3C0D">
      <w:pPr>
        <w:snapToGrid w:val="0"/>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（一）温室气体自动采样系统</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 功能：按照预设时间自动完成对样品瓶或样品罐的冲洗和充气。</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rPr>
        <w:t xml:space="preserve"> 设备性能指标</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80"/>
        <w:gridCol w:w="5551"/>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jc w:val="center"/>
        </w:trPr>
        <w:tc>
          <w:tcPr>
            <w:tcW w:w="2380" w:type="dxa"/>
          </w:tcPr>
          <w:p w:rsidR="00AF3C0D">
            <w:pPr>
              <w:widowControl/>
              <w:jc w:val="center"/>
              <w:rPr>
                <w:rStyle w:val="14"/>
                <w:rFonts w:ascii="仿宋" w:eastAsia="仿宋" w:hAnsi="仿宋" w:cs="仿宋" w:hint="eastAsia"/>
              </w:rPr>
            </w:pPr>
            <w:r>
              <w:rPr>
                <w:rStyle w:val="14"/>
                <w:rFonts w:ascii="仿宋" w:eastAsia="仿宋" w:hAnsi="仿宋" w:cs="仿宋" w:hint="eastAsia"/>
                <w:sz w:val="24"/>
                <w:szCs w:val="24"/>
              </w:rPr>
              <w:t>类别</w:t>
            </w:r>
          </w:p>
        </w:tc>
        <w:tc>
          <w:tcPr>
            <w:tcW w:w="5551" w:type="dxa"/>
          </w:tcPr>
          <w:p w:rsidR="00AF3C0D">
            <w:pPr>
              <w:widowControl/>
              <w:jc w:val="center"/>
              <w:rPr>
                <w:rStyle w:val="14"/>
                <w:rFonts w:ascii="仿宋" w:eastAsia="仿宋" w:hAnsi="仿宋" w:cs="仿宋" w:hint="eastAsia"/>
              </w:rPr>
            </w:pPr>
            <w:r>
              <w:rPr>
                <w:rStyle w:val="14"/>
                <w:rFonts w:ascii="仿宋" w:eastAsia="仿宋" w:hAnsi="仿宋" w:cs="仿宋" w:hint="eastAsia"/>
                <w:sz w:val="24"/>
                <w:szCs w:val="24"/>
              </w:rPr>
              <w:t>指标描述</w:t>
            </w:r>
          </w:p>
        </w:tc>
      </w:tr>
      <w:tr>
        <w:tblPrEx>
          <w:tblW w:w="0" w:type="auto"/>
          <w:jc w:val="center"/>
          <w:tblInd w:w="0" w:type="dxa"/>
          <w:tblLayout w:type="fixed"/>
          <w:tblLook w:val="0000"/>
        </w:tblPrEx>
        <w:trPr>
          <w:trHeight w:val="454"/>
          <w:jc w:val="center"/>
        </w:trPr>
        <w:tc>
          <w:tcPr>
            <w:tcW w:w="2380"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#样品容器位</w:t>
            </w:r>
          </w:p>
        </w:tc>
        <w:tc>
          <w:tcPr>
            <w:tcW w:w="5551" w:type="dxa"/>
          </w:tcPr>
          <w:p w:rsidR="00AF3C0D">
            <w:pPr>
              <w:widowControl/>
              <w:jc w:val="center"/>
              <w:rPr>
                <w:rStyle w:val="14"/>
                <w:rFonts w:ascii="仿宋" w:eastAsia="仿宋" w:hAnsi="仿宋" w:cs="仿宋" w:hint="eastAsia"/>
                <w:highlight w:val="yellow"/>
              </w:rPr>
            </w:pPr>
            <w:r>
              <w:rPr>
                <w:rFonts w:ascii="仿宋" w:eastAsia="仿宋" w:hAnsi="仿宋" w:cs="仿宋" w:hint="eastAsia"/>
                <w:sz w:val="28"/>
                <w:szCs w:val="28"/>
                <w:highlight w:val="yellow"/>
              </w:rPr>
              <w:t>≥</w:t>
            </w:r>
            <w:r>
              <w:rPr>
                <w:rStyle w:val="14"/>
                <w:rFonts w:ascii="仿宋" w:eastAsia="仿宋" w:hAnsi="仿宋" w:cs="仿宋" w:hint="eastAsia"/>
                <w:sz w:val="24"/>
                <w:szCs w:val="24"/>
                <w:highlight w:val="yellow"/>
              </w:rPr>
              <w:t>4个，具备平行样采集功能</w:t>
            </w:r>
          </w:p>
        </w:tc>
      </w:tr>
      <w:tr>
        <w:tblPrEx>
          <w:tblW w:w="0" w:type="auto"/>
          <w:jc w:val="center"/>
          <w:tblInd w:w="0" w:type="dxa"/>
          <w:tblLayout w:type="fixed"/>
          <w:tblLook w:val="0000"/>
        </w:tblPrEx>
        <w:trPr>
          <w:trHeight w:val="454"/>
          <w:jc w:val="center"/>
        </w:trPr>
        <w:tc>
          <w:tcPr>
            <w:tcW w:w="2380"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#采样流量</w:t>
            </w:r>
          </w:p>
        </w:tc>
        <w:tc>
          <w:tcPr>
            <w:tcW w:w="5551"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1～5L/min</w:t>
            </w:r>
          </w:p>
        </w:tc>
      </w:tr>
      <w:tr>
        <w:tblPrEx>
          <w:tblW w:w="0" w:type="auto"/>
          <w:jc w:val="center"/>
          <w:tblInd w:w="0" w:type="dxa"/>
          <w:tblLayout w:type="fixed"/>
          <w:tblLook w:val="0000"/>
        </w:tblPrEx>
        <w:trPr>
          <w:trHeight w:val="454"/>
          <w:jc w:val="center"/>
        </w:trPr>
        <w:tc>
          <w:tcPr>
            <w:tcW w:w="2380"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#采样压力</w:t>
            </w:r>
          </w:p>
        </w:tc>
        <w:tc>
          <w:tcPr>
            <w:tcW w:w="5551"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5～30psi 可调，双路独立控压</w:t>
            </w:r>
          </w:p>
        </w:tc>
      </w:tr>
      <w:tr>
        <w:tblPrEx>
          <w:tblW w:w="0" w:type="auto"/>
          <w:jc w:val="center"/>
          <w:tblInd w:w="0" w:type="dxa"/>
          <w:tblLayout w:type="fixed"/>
          <w:tblLook w:val="0000"/>
        </w:tblPrEx>
        <w:trPr>
          <w:trHeight w:val="454"/>
          <w:jc w:val="center"/>
        </w:trPr>
        <w:tc>
          <w:tcPr>
            <w:tcW w:w="2380"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#冷凝除水温度</w:t>
            </w:r>
          </w:p>
        </w:tc>
        <w:tc>
          <w:tcPr>
            <w:tcW w:w="5551" w:type="dxa"/>
          </w:tcPr>
          <w:p w:rsidR="00AF3C0D">
            <w:pPr>
              <w:widowControl/>
              <w:jc w:val="center"/>
              <w:rPr>
                <w:rStyle w:val="14"/>
                <w:rFonts w:ascii="仿宋" w:eastAsia="仿宋" w:hAnsi="仿宋" w:cs="仿宋" w:hint="eastAsia"/>
                <w:highlight w:val="yellow"/>
              </w:rPr>
            </w:pPr>
            <w:r>
              <w:rPr>
                <w:rStyle w:val="14"/>
                <w:rFonts w:ascii="仿宋" w:eastAsia="仿宋" w:hAnsi="仿宋" w:cs="仿宋" w:hint="eastAsia"/>
                <w:sz w:val="24"/>
                <w:szCs w:val="24"/>
                <w:highlight w:val="yellow"/>
              </w:rPr>
              <w:t>≤</w:t>
            </w:r>
            <w:r>
              <w:rPr>
                <w:rStyle w:val="14"/>
                <w:rFonts w:ascii="仿宋" w:eastAsia="仿宋" w:hAnsi="仿宋" w:cs="仿宋" w:hint="eastAsia"/>
                <w:sz w:val="24"/>
                <w:szCs w:val="24"/>
                <w:highlight w:val="yellow"/>
              </w:rPr>
              <w:t>5</w:t>
            </w:r>
            <w:r>
              <w:rPr>
                <w:rStyle w:val="14"/>
                <w:rFonts w:ascii="仿宋" w:eastAsia="仿宋" w:hAnsi="仿宋" w:cs="仿宋" w:hint="eastAsia"/>
                <w:sz w:val="24"/>
                <w:szCs w:val="24"/>
                <w:highlight w:val="yellow"/>
              </w:rPr>
              <w:t>℃</w:t>
            </w:r>
          </w:p>
        </w:tc>
      </w:tr>
      <w:tr>
        <w:tblPrEx>
          <w:tblW w:w="0" w:type="auto"/>
          <w:jc w:val="center"/>
          <w:tblInd w:w="0" w:type="dxa"/>
          <w:tblLayout w:type="fixed"/>
          <w:tblLook w:val="0000"/>
        </w:tblPrEx>
        <w:trPr>
          <w:trHeight w:val="454"/>
          <w:jc w:val="center"/>
        </w:trPr>
        <w:tc>
          <w:tcPr>
            <w:tcW w:w="2380" w:type="dxa"/>
          </w:tcPr>
          <w:p w:rsidR="00AF3C0D">
            <w:pPr>
              <w:widowControl/>
              <w:jc w:val="center"/>
              <w:rPr>
                <w:rStyle w:val="14"/>
                <w:rFonts w:ascii="仿宋" w:eastAsia="仿宋" w:hAnsi="仿宋" w:cs="仿宋" w:hint="eastAsia"/>
              </w:rPr>
            </w:pPr>
            <w:r>
              <w:rPr>
                <w:rStyle w:val="14"/>
                <w:rFonts w:ascii="仿宋" w:eastAsia="仿宋" w:hAnsi="仿宋" w:cs="仿宋" w:hint="eastAsia"/>
                <w:sz w:val="24"/>
                <w:szCs w:val="24"/>
              </w:rPr>
              <w:t>样品泄露率</w:t>
            </w:r>
          </w:p>
        </w:tc>
        <w:tc>
          <w:tcPr>
            <w:tcW w:w="5551" w:type="dxa"/>
          </w:tcPr>
          <w:p w:rsidR="00AF3C0D">
            <w:pPr>
              <w:widowControl/>
              <w:jc w:val="center"/>
              <w:rPr>
                <w:rStyle w:val="14"/>
                <w:rFonts w:ascii="仿宋" w:eastAsia="仿宋" w:hAnsi="仿宋" w:cs="仿宋" w:hint="eastAsia"/>
              </w:rPr>
            </w:pPr>
            <w:r>
              <w:rPr>
                <w:rStyle w:val="14"/>
                <w:rFonts w:ascii="仿宋" w:eastAsia="仿宋" w:hAnsi="仿宋" w:cs="仿宋" w:hint="eastAsia"/>
                <w:sz w:val="24"/>
                <w:szCs w:val="24"/>
              </w:rPr>
              <w:t>＜1psi/24h</w:t>
            </w:r>
          </w:p>
        </w:tc>
      </w:tr>
    </w:tbl>
    <w:p w:rsidR="00AF3C0D">
      <w:pPr>
        <w:snapToGrid w:val="0"/>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（二）温室气体采样瓶</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 功能：采集样气，配套温室气体自动采样系统使用。</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 设备性能指标：</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（1）容量：</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2.5L；</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（2）双口活塞。</w:t>
      </w:r>
    </w:p>
    <w:p w:rsidR="00AF3C0D">
      <w:pPr>
        <w:snapToGrid w:val="0"/>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（三）温室气体采样罐</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 功能：采集样气，配套温室气体自动采样系统使用。</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 设备性能指标：</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（1）容量：</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3L；</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（2）最大耐压：</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41psi。</w:t>
      </w:r>
    </w:p>
    <w:p w:rsidR="00AF3C0D">
      <w:pPr>
        <w:snapToGrid w:val="0"/>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（四）UPS</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1.功能：</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2.设备性能指标：</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（1）主机：</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80KW；</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（2）蓄电池：12V100AH/块</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96块</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3个电池柜。</w:t>
      </w:r>
    </w:p>
    <w:p w:rsidR="00AF3C0D">
      <w:pPr>
        <w:snapToGrid w:val="0"/>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（五）方舱</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 功能</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主要用于安装温室气体浓度观测系统、气溶胶观测系统、痕量反应性气体观测系统，面积能保证观测仪器设备的安装、运行以及操作等，包含仪器检修、校准和未来发展的空间。</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 一个方舱面积21平方米。</w:t>
      </w:r>
    </w:p>
    <w:p w:rsidR="00AF3C0D">
      <w:pPr>
        <w:numPr>
          <w:ilvl w:val="0"/>
          <w:numId w:val="5"/>
        </w:num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 方舱环境要求</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（1）入口处宜设有缓冲区域或空间，以保持温度和湿度的稳定，防止灰尘和泥土直接带入观测室。</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（2）内地面、墙壁、顶棚应采用不易起尘的环保材料。不受强震动、强电磁辐射的干扰。</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（3）室内环境应保持整洁，室内温度、湿度按照仪器运行的环境要求保持相对稳定，取暖采用空调或电暖气设备。根据当地的环境特点，采取适当的防虫措施。</w:t>
      </w:r>
    </w:p>
    <w:p w:rsidR="00AF3C0D">
      <w:pPr>
        <w:snapToGrid w:val="0"/>
        <w:spacing w:line="360" w:lineRule="auto"/>
        <w:ind w:firstLine="480" w:firstLineChars="200"/>
        <w:rPr>
          <w:rFonts w:ascii="仿宋" w:eastAsia="仿宋" w:hAnsi="仿宋" w:cs="仿宋" w:hint="eastAsia"/>
          <w:sz w:val="28"/>
          <w:szCs w:val="28"/>
          <w:highlight w:val="yellow"/>
        </w:rPr>
      </w:pPr>
      <w:r>
        <w:rPr>
          <w:rStyle w:val="14"/>
          <w:rFonts w:ascii="仿宋" w:eastAsia="仿宋" w:hAnsi="仿宋" w:cs="仿宋" w:hint="eastAsia"/>
          <w:sz w:val="24"/>
          <w:szCs w:val="24"/>
          <w:highlight w:val="yellow"/>
        </w:rPr>
        <w:t>#</w:t>
      </w:r>
      <w:r>
        <w:rPr>
          <w:rFonts w:ascii="仿宋" w:eastAsia="仿宋" w:hAnsi="仿宋" w:cs="仿宋" w:hint="eastAsia"/>
          <w:sz w:val="28"/>
          <w:szCs w:val="28"/>
          <w:highlight w:val="yellow"/>
        </w:rPr>
        <w:t>（4）安装温湿度控制设备，使室内温度能控制在25</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5</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（如使用色谱法环境温度波动</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2</w:t>
      </w:r>
      <w:r>
        <w:rPr>
          <w:rFonts w:ascii="仿宋" w:eastAsia="仿宋" w:hAnsi="仿宋" w:cs="仿宋" w:hint="eastAsia"/>
          <w:sz w:val="28"/>
          <w:szCs w:val="28"/>
          <w:highlight w:val="yellow"/>
        </w:rPr>
        <w:t>℃</w:t>
      </w:r>
      <w:r>
        <w:rPr>
          <w:rFonts w:ascii="仿宋" w:eastAsia="仿宋" w:hAnsi="仿宋" w:cs="仿宋" w:hint="eastAsia"/>
          <w:sz w:val="28"/>
          <w:szCs w:val="28"/>
          <w:highlight w:val="yellow"/>
        </w:rPr>
        <w:t>），相对湿度控制在60％以下。</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（5）具有良好的通风条件和排风设施，以保持室内空气清洁。</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（6）根据观测项目的技术要求，可预先在观测室顶部及侧壁的适当位置预留管线孔洞。</w:t>
      </w:r>
    </w:p>
    <w:p w:rsidR="00AF3C0D">
      <w:pPr>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（7）设有可靠的网络、通讯和电话传输线路等。</w:t>
      </w:r>
    </w:p>
    <w:p w:rsidR="00AF3C0D">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（8）配备专门的消防设施和器材，对危险物品配备监控装置和设施。</w:t>
      </w:r>
    </w:p>
    <w:p w:rsidR="00AF3C0D">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（9）需做基建及防雷。</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温室气体自动采样系统（核心设备）质保期为8年，温室气体采样瓶质保期为1年，温室气体采样罐质保期为1年，UPS（含15平方米方舱）质保期为8年，方舱（定制21平方米）质保期为8年。从双方签署现场安装测试报告之日起开始计算质保期。</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（2）每年需进行1次现场巡检和维护，设备发生故障时在业务规定时间内完成维修、维护保障或更换组件，同时需提供必要的软件升级服务。</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rsidR="00AF3C0D">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设备的技术性能指标除满足三、技术性能指标外，设备出厂、包装运输、安装调试、设备验收、工程进度方面还应满足以下要求：</w:t>
      </w:r>
    </w:p>
    <w:p w:rsidR="00AF3C0D">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 出厂前配合买方人员进行严格测试和检查，确保设备长期稳定、可靠地运行。</w:t>
      </w:r>
    </w:p>
    <w:p w:rsidR="00AF3C0D">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rsidR="00AF3C0D">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rsidR="00AF3C0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rsidR="00AF3C0D">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（3）设备安装调试和试运行结束后，采购人组织最终验收。</w:t>
      </w:r>
    </w:p>
    <w:p w:rsidR="00AF3C0D">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5.4工程进度</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rsidR="00AF3C0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AF3C0D">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六、售后服务要求</w:t>
      </w:r>
    </w:p>
    <w:p w:rsidR="00AF3C0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售后服务响应速度、售后服务承诺、技术支持文档等。其中，售后服务组织机构设置合理，人员技术能力强，技术文档内容全面。书面承诺提供质保期内的7</w:t>
      </w:r>
      <w:r>
        <w:rPr>
          <w:rFonts w:ascii="仿宋" w:eastAsia="仿宋" w:hAnsi="仿宋" w:cs="仿宋" w:hint="eastAsia"/>
          <w:sz w:val="28"/>
          <w:szCs w:val="20"/>
        </w:rPr>
        <w:t>×</w:t>
      </w:r>
      <w:r>
        <w:rPr>
          <w:rFonts w:ascii="仿宋" w:eastAsia="仿宋" w:hAnsi="仿宋" w:cs="仿宋" w:hint="eastAsia"/>
          <w:sz w:val="28"/>
          <w:szCs w:val="20"/>
        </w:rPr>
        <w:t>24小时电话技术支持和保修，电话支持无法解决的问题必须提供现场技术支持，并应采购人服务保障要求，开展现场保障。完全满足采购文件需求。</w:t>
      </w:r>
    </w:p>
    <w:p w:rsidR="00AF3C0D">
      <w:pPr>
        <w:spacing w:line="560" w:lineRule="exact"/>
        <w:ind w:left="630"/>
        <w:rPr>
          <w:rFonts w:ascii="仿宋" w:eastAsia="仿宋" w:hAnsi="仿宋" w:cs="仿宋" w:hint="eastAsia"/>
          <w:sz w:val="28"/>
          <w:szCs w:val="20"/>
        </w:rPr>
      </w:pPr>
      <w:r>
        <w:rPr>
          <w:rFonts w:ascii="仿宋" w:eastAsia="仿宋" w:hAnsi="仿宋" w:cs="仿宋" w:hint="eastAsia"/>
          <w:sz w:val="28"/>
          <w:szCs w:val="20"/>
        </w:rPr>
        <w:t>七、培训要求</w:t>
      </w:r>
    </w:p>
    <w:p w:rsidR="00AF3C0D">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具备常规操作、日常维护、中小故障排除的能力；掌握本项目进一步开发、应用所需的知识和技能。书面承诺每种设备的培训讲师具有中级以上职称或从事该设备技术工作至少2年；</w:t>
      </w:r>
    </w:p>
    <w:p w:rsidR="00AF3C0D">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w:t>
      </w:r>
      <w:r>
        <w:rPr>
          <w:rFonts w:ascii="仿宋" w:eastAsia="仿宋" w:hAnsi="仿宋" w:cs="仿宋" w:hint="eastAsia"/>
          <w:sz w:val="28"/>
          <w:szCs w:val="20"/>
        </w:rPr>
        <w:t>2个</w:t>
      </w:r>
      <w:r>
        <w:rPr>
          <w:rFonts w:ascii="仿宋" w:eastAsia="仿宋" w:hAnsi="仿宋" w:cs="仿宋"/>
          <w:sz w:val="28"/>
          <w:szCs w:val="20"/>
        </w:rPr>
        <w:t>课时，培训人数不少于</w:t>
      </w:r>
      <w:r>
        <w:rPr>
          <w:rFonts w:ascii="仿宋" w:eastAsia="仿宋" w:hAnsi="仿宋" w:cs="仿宋" w:hint="eastAsia"/>
          <w:sz w:val="28"/>
          <w:szCs w:val="20"/>
        </w:rPr>
        <w:t>2人</w:t>
      </w:r>
      <w:r>
        <w:rPr>
          <w:rFonts w:ascii="仿宋" w:eastAsia="仿宋" w:hAnsi="仿宋" w:cs="仿宋"/>
          <w:sz w:val="28"/>
          <w:szCs w:val="20"/>
        </w:rPr>
        <w:t>。</w:t>
      </w:r>
      <w:r>
        <w:rPr>
          <w:rFonts w:ascii="仿宋" w:eastAsia="仿宋" w:hAnsi="仿宋" w:cs="仿宋" w:hint="eastAsia"/>
          <w:sz w:val="28"/>
          <w:szCs w:val="20"/>
        </w:rPr>
        <w:t>培训内容包括设备安装、使用、日常维护等，培训时间及地点双方协商确定。</w:t>
      </w:r>
    </w:p>
    <w:p w:rsidR="00AF3C0D">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八、交货要求及履约地点</w:t>
      </w:r>
    </w:p>
    <w:p w:rsidR="00AF3C0D">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中标供应商将所有设备运送至贵州省雷山县，运输相关费用由供应商负责，并负责安装调试。</w:t>
      </w:r>
    </w:p>
    <w:p w:rsidR="00AF3C0D">
      <w:pPr>
        <w:ind w:firstLine="560" w:firstLineChars="200"/>
        <w:rPr>
          <w:rFonts w:ascii="仿宋" w:eastAsia="仿宋" w:hAnsi="仿宋" w:cs="仿宋" w:hint="eastAsia"/>
          <w:sz w:val="28"/>
          <w:szCs w:val="20"/>
        </w:rPr>
      </w:pPr>
      <w:r>
        <w:rPr>
          <w:rFonts w:ascii="仿宋" w:eastAsia="仿宋" w:hAnsi="仿宋" w:cs="仿宋" w:hint="eastAsia"/>
          <w:sz w:val="28"/>
          <w:szCs w:val="20"/>
        </w:rPr>
        <w:t>合同签订后120天内交货，交货后30天内完成安装调试并具备验收条件。</w:t>
      </w:r>
    </w:p>
    <w:p w:rsidR="00AF3C0D">
      <w:pPr>
        <w:spacing w:line="560" w:lineRule="exact"/>
        <w:ind w:left="630"/>
        <w:rPr>
          <w:rFonts w:ascii="仿宋" w:eastAsia="仿宋" w:hAnsi="仿宋" w:cs="仿宋" w:hint="eastAsia"/>
          <w:sz w:val="28"/>
          <w:szCs w:val="20"/>
        </w:rPr>
      </w:pPr>
      <w:r>
        <w:rPr>
          <w:rFonts w:ascii="仿宋" w:eastAsia="仿宋" w:hAnsi="仿宋" w:cs="仿宋" w:hint="eastAsia"/>
          <w:sz w:val="28"/>
          <w:szCs w:val="20"/>
        </w:rPr>
        <w:t>九、服务团队要求</w:t>
      </w:r>
    </w:p>
    <w:p w:rsidR="00AF3C0D" w:rsidP="00E956B3">
      <w:pPr>
        <w:ind w:firstLine="560" w:firstLineChars="200"/>
        <w:rPr>
          <w:rFonts w:ascii="黑体" w:eastAsia="黑体" w:hAnsi="黑体" w:hint="eastAsia"/>
          <w:bCs/>
          <w:snapToGrid w:val="0"/>
          <w:kern w:val="0"/>
          <w:sz w:val="44"/>
          <w:szCs w:val="44"/>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1"/>
        <w:gridCol w:w="2473"/>
        <w:gridCol w:w="740"/>
        <w:gridCol w:w="1029"/>
        <w:gridCol w:w="1173"/>
        <w:gridCol w:w="740"/>
        <w:gridCol w:w="195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温室气体自动采样系统（核心设备）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含8年维保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温室气体采样瓶</w:t>
            </w:r>
          </w:p>
        </w:tc>
        <w:tc>
          <w:tcPr/>
          <w:p>
            <w:pPr>
              <w:autoSpaceDE w:val="0"/>
              <w:jc w:val="center"/>
              <w:rPr>
                <w:rFonts w:asciiTheme="minorEastAsia" w:hAnsiTheme="minorEastAsia" w:cstheme="minorEastAsia"/>
                <w:kern w:val="0"/>
                <w:szCs w:val="21"/>
              </w:rPr>
            </w:pPr>
            <w:r>
              <w:t>16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含1年维保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温室气体采样罐</w:t>
            </w:r>
          </w:p>
        </w:tc>
        <w:tc>
          <w:tcPr/>
          <w:p>
            <w:pPr>
              <w:autoSpaceDE w:val="0"/>
              <w:jc w:val="center"/>
              <w:rPr>
                <w:rFonts w:asciiTheme="minorEastAsia" w:hAnsiTheme="minorEastAsia" w:cstheme="minorEastAsia"/>
                <w:kern w:val="0"/>
                <w:szCs w:val="21"/>
              </w:rPr>
            </w:pPr>
            <w:r>
              <w:t>16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含1年维保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UPS（含15平方米方舱）</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含8年维保、基础建设及防雷</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方舱（定制21平方米）</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960,000.00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含8年维保、基础建设及防雷</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2,700,000.00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4"/>
        <w:gridCol w:w="1442"/>
        <w:gridCol w:w="2324"/>
        <w:gridCol w:w="424"/>
        <w:gridCol w:w="967"/>
        <w:gridCol w:w="806"/>
        <w:gridCol w:w="967"/>
        <w:gridCol w:w="116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大探中心(001052017)</w:t>
            </w:r>
          </w:p>
        </w:tc>
        <w:tc>
          <w:tcPr/>
          <w:p>
            <w:r>
              <w:t>UPS（含15平方米方舱）</w:t>
            </w:r>
          </w:p>
        </w:tc>
        <w:tc>
          <w:tcPr/>
          <w:p>
            <w:r>
              <w:t>1</w:t>
            </w:r>
          </w:p>
        </w:tc>
        <w:tc>
          <w:tcPr/>
          <w:p>
            <w:r>
              <w:t>720000.00</w:t>
            </w:r>
          </w:p>
        </w:tc>
        <w:tc>
          <w:tcPr>
            <w:vMerge w:val="restart"/>
          </w:tcPr>
          <w:p>
            <w:r>
              <w:t xml:space="preserve">2700000.00  </w:t>
            </w:r>
          </w:p>
        </w:tc>
        <w:tc>
          <w:tcPr/>
          <w:p>
            <w:r>
              <w:t>贵州省雷山县</w:t>
            </w:r>
          </w:p>
        </w:tc>
        <w:tc>
          <w:tcPr/>
          <w:p>
            <w:r>
              <w:t>雷莹18883174530</w:t>
            </w:r>
          </w:p>
        </w:tc>
      </w:tr>
      <w:tr>
        <w:tblPrEx>
          <w:tblW w:w="5000" w:type="pct"/>
          <w:tblCellMar>
            <w:left w:w="108" w:type="dxa"/>
            <w:right w:w="108" w:type="dxa"/>
          </w:tblCellMar>
        </w:tblPrEx>
        <w:tc>
          <w:tcPr/>
          <w:p>
            <w:r>
              <w:t>2</w:t>
            </w:r>
          </w:p>
        </w:tc>
        <w:tc>
          <w:tcPr>
            <w:vMerge/>
          </w:tcPr>
          <w:p>
            <w:r>
              <w:t>大探中心(001052017)</w:t>
            </w:r>
          </w:p>
        </w:tc>
        <w:tc>
          <w:tcPr/>
          <w:p>
            <w:r>
              <w:t>方舱（定制21平方米）</w:t>
            </w:r>
          </w:p>
        </w:tc>
        <w:tc>
          <w:tcPr/>
          <w:p>
            <w:r>
              <w:t>3</w:t>
            </w:r>
          </w:p>
        </w:tc>
        <w:tc>
          <w:tcPr/>
          <w:p>
            <w:r>
              <w:t>960000.00</w:t>
            </w:r>
          </w:p>
        </w:tc>
        <w:tc>
          <w:tcPr>
            <w:vMerge/>
          </w:tcPr>
          <w:p>
            <w:r>
              <w:t xml:space="preserve">2700000.00  </w:t>
            </w:r>
          </w:p>
        </w:tc>
        <w:tc>
          <w:tcPr/>
          <w:p>
            <w:r>
              <w:t>贵州省雷山县</w:t>
            </w:r>
          </w:p>
        </w:tc>
        <w:tc>
          <w:tcPr/>
          <w:p>
            <w:r>
              <w:t>雷莹18883174530</w:t>
            </w:r>
          </w:p>
        </w:tc>
      </w:tr>
      <w:tr>
        <w:tblPrEx>
          <w:tblW w:w="5000" w:type="pct"/>
          <w:tblCellMar>
            <w:left w:w="108" w:type="dxa"/>
            <w:right w:w="108" w:type="dxa"/>
          </w:tblCellMar>
        </w:tblPrEx>
        <w:tc>
          <w:tcPr/>
          <w:p>
            <w:r>
              <w:t>3</w:t>
            </w:r>
          </w:p>
        </w:tc>
        <w:tc>
          <w:tcPr>
            <w:vMerge/>
          </w:tcPr>
          <w:p>
            <w:r>
              <w:t>大探中心(001052017)</w:t>
            </w:r>
          </w:p>
        </w:tc>
        <w:tc>
          <w:tcPr/>
          <w:p>
            <w:r>
              <w:t>温室气体自动采样系统（核心设备）</w:t>
            </w:r>
          </w:p>
        </w:tc>
        <w:tc>
          <w:tcPr/>
          <w:p>
            <w:r>
              <w:t>1</w:t>
            </w:r>
          </w:p>
        </w:tc>
        <w:tc>
          <w:tcPr/>
          <w:p>
            <w:r>
              <w:t>540000.00</w:t>
            </w:r>
          </w:p>
        </w:tc>
        <w:tc>
          <w:tcPr>
            <w:vMerge/>
          </w:tcPr>
          <w:p>
            <w:r>
              <w:t xml:space="preserve">2700000.00  </w:t>
            </w:r>
          </w:p>
        </w:tc>
        <w:tc>
          <w:tcPr/>
          <w:p>
            <w:r>
              <w:t>贵州省雷山县</w:t>
            </w:r>
          </w:p>
        </w:tc>
        <w:tc>
          <w:tcPr/>
          <w:p>
            <w:r>
              <w:t>雷莹 18883174530</w:t>
            </w:r>
          </w:p>
        </w:tc>
      </w:tr>
      <w:tr>
        <w:tblPrEx>
          <w:tblW w:w="5000" w:type="pct"/>
          <w:tblCellMar>
            <w:left w:w="108" w:type="dxa"/>
            <w:right w:w="108" w:type="dxa"/>
          </w:tblCellMar>
        </w:tblPrEx>
        <w:tc>
          <w:tcPr/>
          <w:p>
            <w:r>
              <w:t>4</w:t>
            </w:r>
          </w:p>
        </w:tc>
        <w:tc>
          <w:tcPr>
            <w:vMerge/>
          </w:tcPr>
          <w:p>
            <w:r>
              <w:t>大探中心(001052017)</w:t>
            </w:r>
          </w:p>
        </w:tc>
        <w:tc>
          <w:tcPr/>
          <w:p>
            <w:r>
              <w:t>温室气体采样瓶</w:t>
            </w:r>
          </w:p>
        </w:tc>
        <w:tc>
          <w:tcPr/>
          <w:p>
            <w:r>
              <w:t>16</w:t>
            </w:r>
          </w:p>
        </w:tc>
        <w:tc>
          <w:tcPr/>
          <w:p>
            <w:r>
              <w:t>160000.00</w:t>
            </w:r>
          </w:p>
        </w:tc>
        <w:tc>
          <w:tcPr>
            <w:vMerge/>
          </w:tcPr>
          <w:p>
            <w:r>
              <w:t xml:space="preserve">2700000.00  </w:t>
            </w:r>
          </w:p>
        </w:tc>
        <w:tc>
          <w:tcPr/>
          <w:p>
            <w:r>
              <w:t>贵州省雷山县</w:t>
            </w:r>
          </w:p>
        </w:tc>
        <w:tc>
          <w:tcPr/>
          <w:p>
            <w:r>
              <w:t>雷莹18883174530</w:t>
            </w:r>
          </w:p>
        </w:tc>
      </w:tr>
      <w:tr>
        <w:tblPrEx>
          <w:tblW w:w="5000" w:type="pct"/>
          <w:tblCellMar>
            <w:left w:w="108" w:type="dxa"/>
            <w:right w:w="108" w:type="dxa"/>
          </w:tblCellMar>
        </w:tblPrEx>
        <w:tc>
          <w:tcPr/>
          <w:p>
            <w:r>
              <w:t>5</w:t>
            </w:r>
          </w:p>
        </w:tc>
        <w:tc>
          <w:tcPr>
            <w:vMerge/>
          </w:tcPr>
          <w:p>
            <w:r>
              <w:t>大探中心(001052017)</w:t>
            </w:r>
          </w:p>
        </w:tc>
        <w:tc>
          <w:tcPr/>
          <w:p>
            <w:r>
              <w:t>温室气体采样罐</w:t>
            </w:r>
          </w:p>
        </w:tc>
        <w:tc>
          <w:tcPr/>
          <w:p>
            <w:r>
              <w:t>16</w:t>
            </w:r>
          </w:p>
        </w:tc>
        <w:tc>
          <w:tcPr/>
          <w:p>
            <w:r>
              <w:t>320000.00</w:t>
            </w:r>
          </w:p>
        </w:tc>
        <w:tc>
          <w:tcPr>
            <w:vMerge/>
          </w:tcPr>
          <w:p>
            <w:r>
              <w:t xml:space="preserve">2700000.00  </w:t>
            </w:r>
          </w:p>
        </w:tc>
        <w:tc>
          <w:tcPr/>
          <w:p>
            <w:r>
              <w:t>贵州省雷山县</w:t>
            </w:r>
          </w:p>
        </w:tc>
        <w:tc>
          <w:tcPr/>
          <w:p>
            <w:r>
              <w:t>雷莹 18883174530</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AF3C0D" w:rsidP="00043E38">
      <w:pPr>
        <w:spacing w:line="500" w:lineRule="exact"/>
        <w:jc w:val="center"/>
        <w:outlineLvl w:val="1"/>
        <w:rPr>
          <w:rFonts w:ascii="黑体" w:eastAsia="黑体" w:hAnsi="黑体" w:hint="eastAsia"/>
          <w:bCs/>
          <w:szCs w:val="32"/>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ind w:firstLine="420"/>
        <w:rPr>
          <w:highlight w:val="none"/>
        </w:rPr>
      </w:pPr>
      <w:r>
        <w:rPr>
          <w:rFonts w:ascii="宋体" w:hAnsi="宋体" w:hint="eastAsia"/>
          <w:szCs w:val="21"/>
          <w:highlight w:val="none"/>
        </w:rPr>
        <w:t>注：根据项目具体情</w:t>
      </w:r>
      <w:r>
        <w:rPr>
          <w:rFonts w:ascii="宋体" w:hAnsi="宋体" w:hint="eastAsia"/>
          <w:szCs w:val="21"/>
          <w:highlight w:val="none"/>
        </w:rPr>
        <w:t>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69"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贵州省大气探测技术与保障中心</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20个工作日完成合同款95%支付</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 xml:space="preserve">            设备到货后20个工作日完成合同款5%支付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r>
        <w:rPr>
          <w:rFonts w:ascii="宋体" w:hAnsi="宋体" w:cs="宋体" w:hint="eastAsia"/>
          <w:szCs w:val="21"/>
          <w:highlight w:val="none"/>
          <w:u w:val="single"/>
          <w:lang w:eastAsia="zh-CN"/>
        </w:rPr>
        <w:t>贵州省雷山县</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合同总价</w:t>
      </w:r>
      <w:r>
        <w:rPr>
          <w:rFonts w:ascii="宋体" w:eastAsia="宋体" w:hAnsi="宋体" w:cs="宋体" w:hint="eastAsia"/>
          <w:bCs/>
          <w:sz w:val="21"/>
          <w:highlight w:val="none"/>
          <w:u w:val="single"/>
          <w:lang w:val="en-US" w:eastAsia="zh-CN"/>
        </w:rPr>
        <w:t>5%</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1</w:t>
      </w:r>
      <w:r>
        <w:rPr>
          <w:rFonts w:ascii="宋体" w:hAnsi="宋体" w:cs="宋体" w:hint="eastAsia"/>
          <w:bCs/>
          <w:szCs w:val="21"/>
          <w:highlight w:val="none"/>
          <w:u w:val="single"/>
          <w:lang w:val="en-US" w:eastAsia="zh-CN"/>
        </w:rPr>
        <w:t>年质保期</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甲方</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FE"/>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w:t>
      </w:r>
      <w:r>
        <w:rPr>
          <w:rFonts w:ascii="宋体" w:hAnsi="宋体" w:hint="eastAsia"/>
          <w:bCs/>
          <w:szCs w:val="21"/>
          <w:highlight w:val="none"/>
          <w:u w:val="single"/>
          <w:lang w:val="en-US" w:eastAsia="zh-CN"/>
        </w:rPr>
        <w:t>30</w:t>
      </w:r>
      <w:r>
        <w:rPr>
          <w:rFonts w:ascii="宋体" w:hAnsi="宋体" w:hint="eastAsia"/>
          <w:bCs/>
          <w:szCs w:val="21"/>
          <w:highlight w:val="none"/>
          <w:u w:val="single"/>
        </w:rPr>
        <w:t xml:space="preserve">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按照合同约定</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FE"/>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4</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贵州省大气探测技术与保障中心</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穆仕超</w:t>
            </w: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雷莹</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0851-85202346</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贵州省贵阳市观山湖区兴筑西路58号气象局</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甲方所在地</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variable"/>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AA69B11"/>
    <w:multiLevelType w:val="singleLevel"/>
    <w:tmpl w:val="DAA69B11"/>
    <w:lvl w:ilvl="0">
      <w:start w:val="3"/>
      <w:numFmt w:val="decimal"/>
      <w:suff w:val="space"/>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77B2FE4B"/>
    <w:multiLevelType w:val="singleLevel"/>
    <w:tmpl w:val="77B2FE4B"/>
    <w:lvl w:ilvl="0">
      <w:start w:val="2"/>
      <w:numFmt w:val="chineseCounting"/>
      <w:suff w:val="nothing"/>
      <w:lvlText w:val="%1、"/>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2"/>
  </w:num>
  <w:num w:numId="5">
    <w:abstractNumId w:val="2"/>
  </w:num>
  <w:num w:numId="6">
    <w:abstractNumId w:val="13"/>
  </w:num>
  <w:num w:numId="7">
    <w:abstractNumId w:val="1"/>
  </w:num>
  <w:num w:numId="8">
    <w:abstractNumId w:val="6"/>
  </w:num>
  <w:num w:numId="9">
    <w:abstractNumId w:val="4"/>
  </w:num>
  <w:num w:numId="10">
    <w:abstractNumId w:val="3"/>
  </w:num>
  <w:num w:numId="11">
    <w:abstractNumId w:val="11"/>
  </w:num>
  <w:num w:numId="12">
    <w:abstractNumId w:val="0"/>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E38"/>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3C0D"/>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6B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14">
    <w:name w:val="正文文本 字符1"/>
    <w:qFormat/>
    <w:rPr>
      <w:rFonts w:ascii="Times New Roman" w:eastAsia="宋体" w:hAnsi="Times New Roman" w:cs="Times New Roman"/>
      <w:kern w:val="0"/>
      <w:sz w:val="20"/>
      <w:szCs w:val="20"/>
    </w:rPr>
  </w:style>
  <w:style w:type="paragraph" w:styleId="NoSpacing">
    <w:name w:val="No Spacing"/>
    <w:uiPriority w:val="1"/>
    <w:qFormat/>
    <w:pPr>
      <w:widowControl w:val="0"/>
      <w:jc w:val="both"/>
    </w:pPr>
    <w:rPr>
      <w:kern w:val="2"/>
      <w:sz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