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2025年吉林生态观测站建设项目——智能无人机观测系统（重新招标）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吉林省气象探测保障中心（吉林省气象仪器计量检定站）</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2025年吉林生态观测站建设项目——智能无人机观测系统（重新招标）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吉林省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2025年11月28日 00:00:00</w:t>
      </w:r>
      <w:bookmarkEnd w:id="26"/>
      <w:r>
        <w:rPr>
          <w:rFonts w:ascii="宋体" w:hint="eastAsia"/>
          <w:szCs w:val="21"/>
          <w:highlight w:val="none"/>
        </w:rPr>
        <w:t>至</w:t>
      </w:r>
      <w:bookmarkStart w:id="27" w:name="项目公告_signUpLastTime"/>
      <w:r>
        <w:rPr>
          <w:rFonts w:ascii="宋体" w:hint="eastAsia"/>
          <w:szCs w:val="21"/>
          <w:highlight w:val="none"/>
        </w:rPr>
        <w:t>2025年12月05日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吉林省气象探测保障中心（吉林省气象仪器计量检定站）</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王旭</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0431-87965255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吉林省长春市绿园区绥中路176号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吉林省气象探测保障中心（吉林省气象仪器计量检定站）</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不允许（仅针对以下产品：无人机观测系统不允许代理商投标）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设有，核心产品为智能无人机观测系统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398.000000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398.000000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标注#的重要指标共32项，每满足1项（如有多个下级指标，则每个下级指标均应满足）得1.25分，满分40分。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针对智能无人机系统设备，测试报告应涵盖耐水耐尘、盐水喷雾、高低温等内容，每包含一项得1分，最多得3分。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一、项目概况及总体要求</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二、设备需求一览表（详见采购需求附表）</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三、技术性能指标</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序号</w:t>
            </w:r>
          </w:p>
        </w:tc>
        <w:tc>
          <w:tcPr>
            <w:tcW w:w="1384"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设备名称</w:t>
            </w:r>
          </w:p>
        </w:tc>
        <w:tc>
          <w:tcPr>
            <w:tcW w:w="7229"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Times New Roman" w:eastAsia="仿宋" w:hAnsi="Times New Roman" w:cs="Times New Roman" w:hint="default"/>
                <w:sz w:val="24"/>
                <w:szCs w:val="24"/>
              </w:rPr>
            </w:pPr>
          </w:p>
        </w:tc>
        <w:tc>
          <w:tcPr>
            <w:tcW w:w="1384" w:type="dxa"/>
            <w:vAlign w:val="center"/>
          </w:tcPr>
          <w:p>
            <w:pPr>
              <w:jc w:val="left"/>
              <w:rPr>
                <w:rFonts w:ascii="Times New Roman" w:eastAsia="仿宋" w:hAnsi="Times New Roman" w:cs="Times New Roman" w:hint="default"/>
              </w:rPr>
            </w:pPr>
            <w:r>
              <w:rPr>
                <w:rFonts w:ascii="Times New Roman" w:eastAsia="仿宋" w:hAnsi="Times New Roman" w:cs="Times New Roman" w:hint="default"/>
                <w:sz w:val="24"/>
              </w:rPr>
              <w:t>智能无人机系统</w:t>
            </w:r>
          </w:p>
        </w:tc>
        <w:tc>
          <w:tcPr>
            <w:tcW w:w="7229" w:type="dxa"/>
            <w:vAlign w:val="center"/>
          </w:tcPr>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智能无人机：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#（1）无人机系统平台构型为六旋翼；</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#（2）无人机自身质量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24kg，最大载荷重量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10kg；</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#（3）续航时间（飞行速度8-10m/s，飞行高度</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100米）：空载条件下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60min，负载3kg条件下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50min，负载7kg条件下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40min，满载10kg条件下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30min；</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#（4）无人机有效载荷同时挂载数量大于等于3个；</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（5）无人机轴距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1700mm，桨间距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2500mm；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（6）无人机系统操控距离</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10km；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（7）无人机防雨能力：中雨（10-24.9mm/24h）；（机库具备IPX4级别的防雨能力）；大雨或者雷暴天气停止作业；</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（8）无人机抗风能力：无人机起降阶段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4级，飞行阶段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6级；</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（9）无人机工作和存储温度：工作环境温度-25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湿度</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95%；无人机存储温度-30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（10）高度自动化，无人机放飞、执勤、回收、充电等环节完全自主执行，不需人工操作；</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（11）支持自定义规划航线自主飞行；</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（12）无人机动力形式为纯电动，电池容量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22AH，电池电压36-52V，导航方式为北斗+惯性导航组合方法；</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（13）无人机应能为机载设备提供直流稳定电源，支持电压范围 DC 9V～36V宽压输入，使用航空插头或其他高可靠连接器；</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（14）无人机和机载设备之间支持千兆以太网/串口/通信接口定制,支持 TCP/IP/串口/FTP 数据传输协议；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（15）无人机和机库之间支持900M/1.4G/2.4G/5.8G通信；</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（16）无人机具备低电量保护功能，电量低于20%自动返航降落机库；</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（17）无人机具备失联保护功能，与机库失去信号连接后继续执行航线任务，自动返航降落机库；</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（18）无人机具备高海拔起降功能，最大起飞海拔高度5000米飞行相对高度100米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eastAsia"/>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eastAsia"/>
                <w:color w:val="000000"/>
                <w:kern w:val="0"/>
                <w:sz w:val="24"/>
                <w:highlight w:val="yellow"/>
                <w:lang w:val="en-US" w:eastAsia="zh-CN"/>
              </w:rPr>
              <w:t>19</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default"/>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ascii="Times New Roman" w:eastAsia="仿宋" w:hAnsi="Times New Roman" w:cs="Times New Roman" w:hint="eastAsia"/>
                <w:color w:val="000000"/>
                <w:kern w:val="0"/>
                <w:sz w:val="24"/>
                <w:highlight w:val="yellow"/>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智能机库：</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#（1）机库内外具备监控摄像头，并配备通信气象站，一体化集成温度、风速、雨量传感器、无线数据链基站及天线，能够全方位检测机库和无人机运行状态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#（2）机库支持通过命令控制启动、关闭机载设备数据采集；支持通过WIFI或有线直联的方式进行数据导出；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default"/>
                <w:color w:val="000000"/>
                <w:kern w:val="0"/>
                <w:sz w:val="24"/>
                <w:highlight w:val="yellow"/>
              </w:rPr>
              <w:t>（3）机库配备环控系统，能够为无人机、电池提供恒温条件，保障其最佳运行状态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（4）旋翼机臂支持免工具快速插拔，可与机体分离收纳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（5）机库闭合外形尺寸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2.5m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2.2m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2.0m（长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（6）机库展开外形尺寸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6.0m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2.4m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1.5m（长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（7）机库质量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1000kg，输入电压：220V，峰值功率：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8kW（加温设备启动状态功率），额定功率：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4kW；</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（8）机库具备自动化的归中机构、导水设施和充电或换电装置；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（9）机库配备UPS电源，机库突遇断电时UPS电源应能支撑任务中的无人机返航降落</w:t>
            </w:r>
            <w:r>
              <w:rPr>
                <w:rFonts w:ascii="Times New Roman" w:eastAsia="仿宋" w:hAnsi="Times New Roman" w:cs="Times New Roman" w:hint="default"/>
                <w:color w:val="000000"/>
                <w:kern w:val="0"/>
                <w:sz w:val="24"/>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连接件：</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#无人机和载荷之间的连接件应具备卡扣、螺栓或其他通用接口，可为机载多波段光谱成像仪、</w:t>
            </w:r>
            <w:r>
              <w:rPr>
                <w:rFonts w:ascii="Times New Roman" w:eastAsia="仿宋" w:hAnsi="Times New Roman" w:cs="Times New Roman" w:hint="eastAsia"/>
                <w:color w:val="000000"/>
                <w:kern w:val="0"/>
                <w:sz w:val="24"/>
                <w:highlight w:val="yellow"/>
                <w:lang w:val="en-US" w:eastAsia="zh-CN"/>
              </w:rPr>
              <w:t>机载三维激光扫描雷达、机载双通道热红外成像仪</w:t>
            </w:r>
            <w:r>
              <w:rPr>
                <w:rFonts w:ascii="Times New Roman" w:eastAsia="仿宋" w:hAnsi="Times New Roman" w:cs="Times New Roman" w:hint="default"/>
                <w:color w:val="000000"/>
                <w:kern w:val="0"/>
                <w:sz w:val="24"/>
                <w:highlight w:val="yellow"/>
              </w:rPr>
              <w:t>配套开发挂载所需结构件及供电、数据通信等功能模块。</w:t>
            </w:r>
          </w:p>
          <w:p>
            <w:pPr>
              <w:widowControl/>
              <w:rPr>
                <w:rFonts w:ascii="Times New Roman" w:eastAsia="仿宋" w:hAnsi="Times New Roman" w:cs="Times New Roman" w:hint="default"/>
                <w:b/>
                <w:bCs/>
                <w:color w:val="000000"/>
                <w:kern w:val="0"/>
                <w:highlight w:val="yellow"/>
              </w:rPr>
            </w:pPr>
            <w:r>
              <w:rPr>
                <w:rFonts w:ascii="Times New Roman" w:eastAsia="仿宋" w:hAnsi="Times New Roman" w:cs="Times New Roman" w:hint="default"/>
                <w:b/>
                <w:bCs/>
                <w:color w:val="000000"/>
                <w:kern w:val="0"/>
                <w:sz w:val="24"/>
                <w:highlight w:val="yellow"/>
              </w:rPr>
              <w:t>可见光相机：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#（1）分辨率：</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800万像素；</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#（2）镜头视野：覆盖70-120度；</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（3）帧率：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10fps；</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（4）曝光时间：1/500秒至3秒可调。</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平台软件：</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（1）飞行监控一览图；</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（2）飞行数据综合管理；</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（3）飞行作业任务可视化：二维正</w:t>
            </w:r>
            <w:r>
              <w:rPr>
                <w:rFonts w:ascii="Times New Roman" w:eastAsia="仿宋" w:hAnsi="Times New Roman" w:cs="Times New Roman" w:hint="eastAsia"/>
                <w:color w:val="000000"/>
                <w:kern w:val="0"/>
                <w:sz w:val="24"/>
                <w:highlight w:val="none"/>
                <w:lang w:val="en-US" w:eastAsia="zh-CN"/>
              </w:rPr>
              <w:t>摄影</w:t>
            </w:r>
            <w:r>
              <w:rPr>
                <w:rFonts w:ascii="Times New Roman" w:eastAsia="仿宋" w:hAnsi="Times New Roman" w:cs="Times New Roman" w:hint="default"/>
                <w:color w:val="000000"/>
                <w:kern w:val="0"/>
                <w:sz w:val="24"/>
                <w:highlight w:val="none"/>
              </w:rPr>
              <w:t>像、实时视频画面；</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（4）任务航线规划。</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机载三维激光扫描雷达</w:t>
            </w:r>
          </w:p>
        </w:tc>
        <w:tc>
          <w:tcPr>
            <w:tcW w:w="7229" w:type="dxa"/>
            <w:vAlign w:val="center"/>
          </w:tcPr>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#有效测距范围:</w:t>
            </w:r>
            <w:r>
              <w:rPr>
                <w:highlight w:val="yellow"/>
              </w:rPr>
              <w:t xml:space="preserve"> </w:t>
            </w:r>
            <w:r>
              <w:rPr>
                <w:rFonts w:ascii="仿宋" w:eastAsia="仿宋" w:hAnsi="仿宋" w:cs="仿宋"/>
                <w:sz w:val="24"/>
                <w:highlight w:val="yellow"/>
              </w:rPr>
              <w:t>10-120m</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#激光发射</w:t>
            </w:r>
            <w:r>
              <w:rPr>
                <w:rFonts w:ascii="仿宋" w:eastAsia="仿宋" w:hAnsi="仿宋" w:cs="仿宋" w:hint="eastAsia"/>
                <w:sz w:val="24"/>
                <w:highlight w:val="yellow"/>
                <w:lang w:val="en-US" w:eastAsia="zh-CN"/>
              </w:rPr>
              <w:t>和接收点频</w:t>
            </w:r>
            <w:r>
              <w:rPr>
                <w:rFonts w:ascii="仿宋" w:eastAsia="仿宋" w:hAnsi="仿宋" w:cs="仿宋" w:hint="eastAsia"/>
                <w:sz w:val="24"/>
                <w:highlight w:val="yellow"/>
              </w:rPr>
              <w:t>:</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600KHz（单回波）</w:t>
            </w:r>
          </w:p>
          <w:p>
            <w:pPr>
              <w:pStyle w:val="NormalWeb"/>
              <w:shd w:val="clear" w:color="auto" w:fill="FFFFFF"/>
              <w:spacing w:before="0" w:beforeAutospacing="0" w:after="0" w:afterAutospacing="0"/>
              <w:contextualSpacing/>
              <w:rPr>
                <w:rFonts w:ascii="仿宋" w:eastAsia="仿宋" w:hAnsi="仿宋" w:cs="仿宋" w:hint="eastAsia"/>
                <w:sz w:val="24"/>
                <w:highlight w:val="yellow"/>
              </w:rPr>
            </w:pPr>
            <w:r>
              <w:rPr>
                <w:rFonts w:ascii="仿宋" w:eastAsia="仿宋" w:hAnsi="仿宋" w:cs="仿宋" w:hint="eastAsia"/>
                <w:sz w:val="24"/>
                <w:highlight w:val="yellow"/>
              </w:rPr>
              <w:t>#平均有效点云密度: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70 点/㎡</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航高100m</w:t>
            </w:r>
            <w:r>
              <w:rPr>
                <w:rFonts w:ascii="仿宋" w:eastAsia="仿宋" w:hAnsi="仿宋" w:cs="仿宋" w:hint="eastAsia"/>
                <w:sz w:val="24"/>
                <w:highlight w:val="yellow"/>
                <w:lang w:eastAsia="zh-CN"/>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#最大回波数:</w:t>
            </w:r>
            <w:r>
              <w:rPr>
                <w:rFonts w:ascii="仿宋" w:eastAsia="仿宋" w:hAnsi="仿宋" w:cs="仿宋" w:hint="eastAsia"/>
                <w:sz w:val="24"/>
                <w:highlight w:val="yellow"/>
              </w:rPr>
              <w:t>≥</w:t>
            </w:r>
            <w:r>
              <w:rPr>
                <w:rFonts w:ascii="仿宋" w:eastAsia="仿宋" w:hAnsi="仿宋" w:cs="仿宋" w:hint="eastAsia"/>
                <w:sz w:val="24"/>
                <w:highlight w:val="yellow"/>
              </w:rPr>
              <w:t>3</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#单次扫描有效视场角:</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120</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#惯导数据更新频率: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500Hz</w:t>
            </w:r>
          </w:p>
          <w:p>
            <w:pPr>
              <w:pStyle w:val="NormalWeb"/>
              <w:shd w:val="clear" w:color="auto" w:fill="FFFFFF"/>
              <w:spacing w:before="0" w:beforeAutospacing="0" w:after="0" w:afterAutospacing="0"/>
              <w:contextualSpacing/>
              <w:rPr>
                <w:rFonts w:ascii="仿宋" w:eastAsia="仿宋" w:hAnsi="仿宋" w:cs="仿宋" w:hint="eastAsia"/>
                <w:sz w:val="24"/>
                <w:highlight w:val="yellow"/>
                <w:lang w:val="en-US"/>
              </w:rPr>
            </w:pPr>
            <w:r>
              <w:rPr>
                <w:rFonts w:ascii="仿宋" w:eastAsia="仿宋" w:hAnsi="仿宋" w:cs="仿宋" w:hint="eastAsia"/>
                <w:sz w:val="24"/>
                <w:highlight w:val="yellow"/>
              </w:rPr>
              <w:t>#可见光相机像素:</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2600 万</w:t>
            </w:r>
            <w:r>
              <w:rPr>
                <w:rFonts w:ascii="仿宋" w:eastAsia="仿宋" w:hAnsi="仿宋" w:cs="仿宋" w:hint="eastAsia"/>
                <w:sz w:val="24"/>
                <w:highlight w:val="yellow"/>
                <w:lang w:val="en-US" w:eastAsia="zh-CN"/>
              </w:rPr>
              <w:t xml:space="preserve"> </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#点云高程精度: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p>
            <w:pPr>
              <w:pStyle w:val="NormalWeb"/>
              <w:shd w:val="clear" w:color="auto" w:fill="FFFFFF"/>
              <w:spacing w:before="0" w:beforeAutospacing="0" w:after="0" w:afterAutospacing="0"/>
              <w:contextualSpacing/>
              <w:rPr>
                <w:rFonts w:ascii="仿宋" w:eastAsia="仿宋" w:hAnsi="仿宋" w:cs="仿宋" w:hint="default"/>
                <w:sz w:val="24"/>
                <w:highlight w:val="yellow"/>
                <w:lang w:val="en-US" w:bidi="ar-SA"/>
              </w:rPr>
            </w:pPr>
            <w:r>
              <w:rPr>
                <w:rFonts w:ascii="仿宋" w:eastAsia="仿宋" w:hAnsi="仿宋" w:cs="仿宋" w:hint="eastAsia"/>
                <w:sz w:val="24"/>
                <w:highlight w:val="yellow"/>
              </w:rPr>
              <w:t>#点云水平定位精度: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机载双通道热红外成像仪</w:t>
            </w:r>
          </w:p>
        </w:tc>
        <w:tc>
          <w:tcPr>
            <w:tcW w:w="7229" w:type="dxa"/>
            <w:vAlign w:val="center"/>
          </w:tcPr>
          <w:p>
            <w:pPr>
              <w:rPr>
                <w:rFonts w:ascii="仿宋" w:eastAsia="仿宋" w:hAnsi="仿宋"/>
                <w:szCs w:val="18"/>
              </w:rPr>
            </w:pPr>
            <w:r>
              <w:rPr>
                <w:rFonts w:ascii="仿宋" w:eastAsia="仿宋" w:hAnsi="仿宋" w:hint="eastAsia"/>
                <w:sz w:val="24"/>
                <w:szCs w:val="18"/>
              </w:rPr>
              <w:t>可见光相机:</w:t>
            </w:r>
          </w:p>
          <w:p>
            <w:pPr>
              <w:rPr>
                <w:rFonts w:ascii="仿宋" w:eastAsia="仿宋" w:hAnsi="仿宋"/>
                <w:szCs w:val="18"/>
              </w:rPr>
            </w:pPr>
            <w:r>
              <w:rPr>
                <w:rFonts w:ascii="仿宋" w:eastAsia="仿宋" w:hAnsi="仿宋" w:hint="eastAsia"/>
                <w:sz w:val="24"/>
                <w:szCs w:val="18"/>
              </w:rPr>
              <w:t>有效像素:</w:t>
            </w:r>
            <w:r>
              <w:rPr>
                <w:rFonts w:hint="eastAsia"/>
              </w:rPr>
              <w:t xml:space="preserve"> </w:t>
            </w:r>
            <w:r>
              <w:rPr>
                <w:rFonts w:ascii="仿宋" w:eastAsia="仿宋" w:hAnsi="仿宋" w:hint="eastAsia"/>
                <w:sz w:val="24"/>
                <w:szCs w:val="18"/>
              </w:rPr>
              <w:t>≥</w:t>
            </w:r>
            <w:r>
              <w:rPr>
                <w:rFonts w:ascii="仿宋" w:eastAsia="仿宋" w:hAnsi="仿宋" w:hint="eastAsia"/>
                <w:sz w:val="24"/>
                <w:szCs w:val="18"/>
              </w:rPr>
              <w:t>4800 万像素</w:t>
            </w:r>
          </w:p>
          <w:p>
            <w:pPr>
              <w:rPr>
                <w:rFonts w:ascii="仿宋" w:eastAsia="仿宋" w:hAnsi="仿宋"/>
                <w:szCs w:val="18"/>
              </w:rPr>
            </w:pPr>
            <w:r>
              <w:rPr>
                <w:rFonts w:ascii="仿宋" w:eastAsia="仿宋" w:hAnsi="仿宋" w:hint="eastAsia"/>
                <w:sz w:val="24"/>
                <w:szCs w:val="18"/>
              </w:rPr>
              <w:t>热成像相机:</w:t>
            </w:r>
          </w:p>
          <w:p>
            <w:pPr>
              <w:rPr>
                <w:rFonts w:ascii="仿宋" w:eastAsia="仿宋" w:hAnsi="仿宋"/>
                <w:szCs w:val="18"/>
                <w:highlight w:val="yellow"/>
              </w:rPr>
            </w:pPr>
            <w:r>
              <w:rPr>
                <w:rFonts w:ascii="仿宋" w:eastAsia="仿宋" w:hAnsi="仿宋" w:hint="eastAsia"/>
                <w:sz w:val="24"/>
                <w:szCs w:val="18"/>
                <w:highlight w:val="yellow"/>
              </w:rPr>
              <w:t>#分辨率:</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rPr>
              <w:t>640</w:t>
            </w:r>
            <w:r>
              <w:rPr>
                <w:rFonts w:ascii="仿宋" w:eastAsia="仿宋" w:hAnsi="仿宋" w:hint="eastAsia"/>
                <w:sz w:val="24"/>
                <w:szCs w:val="18"/>
                <w:highlight w:val="yellow"/>
              </w:rPr>
              <w:t>×</w:t>
            </w:r>
            <w:r>
              <w:rPr>
                <w:rFonts w:ascii="仿宋" w:eastAsia="仿宋" w:hAnsi="仿宋" w:hint="eastAsia"/>
                <w:sz w:val="24"/>
                <w:szCs w:val="18"/>
                <w:highlight w:val="yellow"/>
              </w:rPr>
              <w:t>512</w:t>
            </w:r>
          </w:p>
          <w:p>
            <w:pPr>
              <w:rPr>
                <w:rFonts w:ascii="仿宋" w:eastAsia="仿宋" w:hAnsi="仿宋"/>
                <w:szCs w:val="18"/>
                <w:highlight w:val="yellow"/>
              </w:rPr>
            </w:pPr>
            <w:r>
              <w:rPr>
                <w:rFonts w:ascii="仿宋" w:eastAsia="仿宋" w:hAnsi="仿宋" w:hint="eastAsia"/>
                <w:sz w:val="24"/>
                <w:szCs w:val="18"/>
                <w:highlight w:val="yellow"/>
              </w:rPr>
              <w:t>#测温范围:</w:t>
            </w:r>
            <w:r>
              <w:rPr>
                <w:rFonts w:hint="eastAsia"/>
                <w:highlight w:val="yellow"/>
              </w:rPr>
              <w:t xml:space="preserve"> </w:t>
            </w:r>
            <w:r>
              <w:rPr>
                <w:rFonts w:ascii="仿宋" w:eastAsia="仿宋" w:hAnsi="仿宋" w:hint="eastAsia"/>
                <w:sz w:val="24"/>
                <w:szCs w:val="18"/>
                <w:highlight w:val="yellow"/>
              </w:rPr>
              <w:t>-20</w:t>
            </w:r>
            <w:r>
              <w:rPr>
                <w:rFonts w:ascii="仿宋" w:eastAsia="仿宋" w:hAnsi="仿宋" w:hint="eastAsia"/>
                <w:sz w:val="24"/>
                <w:szCs w:val="18"/>
                <w:highlight w:val="yellow"/>
              </w:rPr>
              <w:t>℃</w:t>
            </w:r>
            <w:r>
              <w:rPr>
                <w:rFonts w:ascii="仿宋" w:eastAsia="仿宋" w:hAnsi="仿宋" w:hint="eastAsia"/>
                <w:sz w:val="24"/>
                <w:szCs w:val="18"/>
                <w:highlight w:val="yellow"/>
              </w:rPr>
              <w:t>～+150</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rPr>
              <w:t>#测温精度:</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lang w:val="en-US" w:eastAsia="zh-CN"/>
              </w:rPr>
              <w:t>#温度漂移：</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（运行10、20、30分钟）</w:t>
            </w:r>
          </w:p>
          <w:p>
            <w:pPr>
              <w:rPr>
                <w:rFonts w:ascii="仿宋" w:eastAsia="仿宋" w:hAnsi="仿宋" w:hint="default"/>
                <w:szCs w:val="18"/>
              </w:rPr>
            </w:pPr>
            <w:r>
              <w:rPr>
                <w:rFonts w:ascii="仿宋" w:eastAsia="仿宋" w:hAnsi="仿宋" w:hint="eastAsia"/>
                <w:sz w:val="24"/>
                <w:szCs w:val="18"/>
                <w:highlight w:val="yellow"/>
                <w:lang w:val="en-US" w:eastAsia="zh-CN"/>
              </w:rPr>
              <w:t>#视场角：</w:t>
            </w:r>
            <w:r>
              <w:rPr>
                <w:rFonts w:ascii="仿宋" w:eastAsia="仿宋" w:hAnsi="仿宋" w:hint="eastAsia"/>
                <w:sz w:val="24"/>
                <w:szCs w:val="18"/>
                <w:highlight w:val="yellow"/>
                <w:lang w:val="en-US" w:eastAsia="zh-CN"/>
              </w:rPr>
              <w:t>≥</w:t>
            </w:r>
            <w:r>
              <w:rPr>
                <w:rFonts w:ascii="仿宋" w:eastAsia="仿宋" w:hAnsi="仿宋" w:hint="eastAsia"/>
                <w:sz w:val="24"/>
                <w:szCs w:val="18"/>
                <w:highlight w:val="yellow"/>
                <w:lang w:val="en-US" w:eastAsia="zh-CN"/>
              </w:rPr>
              <w:t>45</w:t>
            </w:r>
            <w:r>
              <w:rPr>
                <w:rFonts w:ascii="仿宋" w:eastAsia="仿宋" w:hAnsi="仿宋" w:hint="eastAsia"/>
                <w:sz w:val="24"/>
                <w:szCs w:val="18"/>
                <w:highlight w:val="yellow"/>
                <w:lang w:val="en-US" w:eastAsia="zh-CN"/>
              </w:rPr>
              <w:t>°</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机载多波段光谱成像仪</w:t>
            </w:r>
          </w:p>
        </w:tc>
        <w:tc>
          <w:tcPr>
            <w:tcW w:w="7229" w:type="dxa"/>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pPr>
              <w:rPr>
                <w:rFonts w:ascii="仿宋" w:eastAsia="仿宋" w:hAnsi="仿宋" w:cs="仿宋"/>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570nm</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10nm@470nm,650nm,705nm,</w:t>
            </w: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hint="default"/>
              </w:rPr>
            </w:pP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35dB</w:t>
            </w:r>
            <w:r>
              <w:rPr>
                <w:rFonts w:ascii="仿宋" w:eastAsia="仿宋" w:hAnsi="仿宋" w:cs="仿宋" w:hint="eastAsia"/>
                <w:sz w:val="24"/>
                <w:highlight w:val="yellow"/>
                <w:lang w:eastAsia="zh-CN"/>
              </w:rPr>
              <w:t>）</w:t>
            </w:r>
          </w:p>
        </w:tc>
      </w:tr>
    </w:tbl>
    <w:p>
      <w:p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#设备适配要求：</w:t>
      </w:r>
      <w:r>
        <w:rPr>
          <w:rFonts w:ascii="Times New Roman" w:eastAsia="仿宋" w:hAnsi="Times New Roman" w:cs="Times New Roman" w:hint="default"/>
          <w:sz w:val="28"/>
          <w:szCs w:val="20"/>
          <w:highlight w:val="yellow"/>
        </w:rPr>
        <w:t>无人机</w:t>
      </w:r>
      <w:r>
        <w:rPr>
          <w:rFonts w:ascii="Times New Roman" w:eastAsia="仿宋" w:hAnsi="Times New Roman" w:cs="Times New Roman" w:hint="eastAsia"/>
          <w:sz w:val="28"/>
          <w:szCs w:val="20"/>
          <w:highlight w:val="yellow"/>
          <w:lang w:val="en-US" w:eastAsia="zh-CN"/>
        </w:rPr>
        <w:t>应</w:t>
      </w:r>
      <w:r>
        <w:rPr>
          <w:rFonts w:ascii="Times New Roman" w:eastAsia="仿宋" w:hAnsi="Times New Roman" w:cs="Times New Roman" w:hint="default"/>
          <w:sz w:val="28"/>
          <w:szCs w:val="20"/>
          <w:highlight w:val="yellow"/>
        </w:rPr>
        <w:t>与机载多波段光谱成像仪、机载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热红外成像仪等设备挂载、供电、通讯等功能适配良好，无人机和载荷连接件的测试联调工作包括载荷控制协议及传输协议对接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结构挂载及电气连接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地面联调测试</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外场飞行功能测试</w:t>
      </w:r>
      <w:r>
        <w:rPr>
          <w:rFonts w:ascii="Times New Roman" w:eastAsia="仿宋" w:hAnsi="Times New Roman" w:cs="Times New Roman" w:hint="eastAsia"/>
          <w:sz w:val="28"/>
          <w:szCs w:val="20"/>
          <w:highlight w:val="yellow"/>
          <w:lang w:val="en-US" w:eastAsia="zh-CN"/>
        </w:rPr>
        <w:t>等，需提供无人机与载荷的</w:t>
      </w:r>
      <w:r>
        <w:rPr>
          <w:rFonts w:ascii="Times New Roman" w:eastAsia="仿宋" w:hAnsi="Times New Roman" w:cs="Times New Roman" w:hint="default"/>
          <w:sz w:val="28"/>
          <w:szCs w:val="20"/>
          <w:highlight w:val="yellow"/>
        </w:rPr>
        <w:t>联调测试报告</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eastAsia"/>
          <w:sz w:val="28"/>
          <w:szCs w:val="20"/>
          <w:highlight w:val="yellow"/>
          <w:lang w:val="en-US" w:eastAsia="zh-CN"/>
        </w:rPr>
        <w:t>飞行测试报告</w:t>
      </w:r>
      <w:r>
        <w:rPr>
          <w:rFonts w:ascii="Times New Roman" w:eastAsia="仿宋" w:hAnsi="Times New Roman" w:cs="Times New Roman" w:hint="default"/>
          <w:sz w:val="28"/>
          <w:szCs w:val="20"/>
          <w:highlight w:val="yellow"/>
        </w:rPr>
        <w:t>等</w:t>
      </w:r>
      <w:r>
        <w:rPr>
          <w:rFonts w:ascii="Times New Roman" w:eastAsia="仿宋" w:hAnsi="Times New Roman" w:cs="Times New Roman" w:hint="eastAsia"/>
          <w:sz w:val="28"/>
          <w:szCs w:val="20"/>
          <w:highlight w:val="yellow"/>
          <w:lang w:eastAsia="zh-CN"/>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#设备飞行性能要求：</w:t>
      </w:r>
      <w:r>
        <w:rPr>
          <w:rFonts w:ascii="Times New Roman" w:eastAsia="仿宋" w:hAnsi="Times New Roman" w:cs="Times New Roman" w:hint="default"/>
          <w:sz w:val="28"/>
          <w:szCs w:val="20"/>
          <w:highlight w:val="yellow"/>
        </w:rPr>
        <w:t>设备</w:t>
      </w:r>
      <w:r>
        <w:rPr>
          <w:rFonts w:ascii="Times New Roman" w:eastAsia="仿宋" w:hAnsi="Times New Roman" w:cs="Times New Roman" w:hint="eastAsia"/>
          <w:sz w:val="28"/>
          <w:szCs w:val="20"/>
          <w:highlight w:val="yellow"/>
          <w:lang w:val="en-US" w:eastAsia="zh-CN"/>
        </w:rPr>
        <w:t>需</w:t>
      </w:r>
      <w:r>
        <w:rPr>
          <w:rFonts w:ascii="Times New Roman" w:eastAsia="仿宋" w:hAnsi="Times New Roman" w:cs="Times New Roman" w:hint="default"/>
          <w:sz w:val="28"/>
          <w:szCs w:val="20"/>
          <w:highlight w:val="yellow"/>
        </w:rPr>
        <w:t>经过</w:t>
      </w:r>
      <w:r>
        <w:rPr>
          <w:rFonts w:ascii="Times New Roman" w:eastAsia="仿宋" w:hAnsi="Times New Roman" w:cs="Times New Roman" w:hint="eastAsia"/>
          <w:sz w:val="28"/>
          <w:szCs w:val="20"/>
          <w:highlight w:val="yellow"/>
          <w:lang w:val="en-US" w:eastAsia="zh-CN"/>
        </w:rPr>
        <w:t>至少3次的飞行试验</w:t>
      </w:r>
      <w:r>
        <w:rPr>
          <w:rFonts w:ascii="Times New Roman" w:eastAsia="仿宋" w:hAnsi="Times New Roman" w:cs="Times New Roman" w:hint="default"/>
          <w:sz w:val="28"/>
          <w:szCs w:val="20"/>
          <w:highlight w:val="yellow"/>
        </w:rPr>
        <w:t>，</w:t>
      </w:r>
      <w:r>
        <w:rPr>
          <w:rFonts w:ascii="Times New Roman" w:eastAsia="仿宋" w:hAnsi="Times New Roman" w:cs="Times New Roman" w:hint="default"/>
          <w:sz w:val="28"/>
          <w:szCs w:val="28"/>
          <w:highlight w:val="yellow"/>
          <w:lang w:val="en-US" w:eastAsia="zh-CN"/>
        </w:rPr>
        <w:t>每次</w:t>
      </w:r>
      <w:r>
        <w:rPr>
          <w:rFonts w:ascii="Times New Roman" w:eastAsia="仿宋" w:hAnsi="Times New Roman" w:cs="Times New Roman" w:hint="eastAsia"/>
          <w:sz w:val="28"/>
          <w:szCs w:val="28"/>
          <w:highlight w:val="yellow"/>
          <w:lang w:val="en-US" w:eastAsia="zh-CN"/>
        </w:rPr>
        <w:t>飞行时间</w:t>
      </w:r>
      <w:r>
        <w:rPr>
          <w:rFonts w:ascii="Times New Roman" w:eastAsia="仿宋" w:hAnsi="Times New Roman" w:cs="Times New Roman" w:hint="default"/>
          <w:sz w:val="28"/>
          <w:szCs w:val="28"/>
          <w:highlight w:val="yellow"/>
        </w:rPr>
        <w:t>不少于30分钟，</w:t>
      </w:r>
      <w:r>
        <w:rPr>
          <w:rFonts w:ascii="Times New Roman" w:eastAsia="仿宋" w:hAnsi="Times New Roman" w:cs="Times New Roman" w:hint="default"/>
          <w:sz w:val="28"/>
          <w:szCs w:val="28"/>
          <w:highlight w:val="yellow"/>
          <w:lang w:val="en-US" w:eastAsia="zh-CN"/>
        </w:rPr>
        <w:t>指标</w:t>
      </w:r>
      <w:r>
        <w:rPr>
          <w:rFonts w:ascii="Times New Roman" w:eastAsia="仿宋" w:hAnsi="Times New Roman" w:cs="Times New Roman" w:hint="default"/>
          <w:sz w:val="28"/>
          <w:szCs w:val="20"/>
          <w:highlight w:val="yellow"/>
        </w:rPr>
        <w:t>达到</w:t>
      </w:r>
      <w:r>
        <w:rPr>
          <w:rFonts w:ascii="Times New Roman" w:eastAsia="仿宋" w:hAnsi="Times New Roman" w:cs="Times New Roman" w:hint="eastAsia"/>
          <w:sz w:val="28"/>
          <w:szCs w:val="20"/>
          <w:highlight w:val="yellow"/>
          <w:lang w:val="en-US" w:eastAsia="zh-CN"/>
        </w:rPr>
        <w:t>3.1中无人机及机库的技术性能指标</w:t>
      </w:r>
      <w:r>
        <w:rPr>
          <w:rFonts w:ascii="Times New Roman" w:eastAsia="仿宋" w:hAnsi="Times New Roman" w:cs="Times New Roman" w:hint="default"/>
          <w:sz w:val="28"/>
          <w:szCs w:val="20"/>
          <w:highlight w:val="yellow"/>
        </w:rPr>
        <w:t>要求，</w:t>
      </w:r>
      <w:r>
        <w:rPr>
          <w:rFonts w:ascii="Times New Roman" w:eastAsia="仿宋" w:hAnsi="Times New Roman" w:cs="Times New Roman" w:hint="eastAsia"/>
          <w:sz w:val="28"/>
          <w:szCs w:val="20"/>
          <w:highlight w:val="yellow"/>
          <w:lang w:val="en-US" w:eastAsia="zh-CN"/>
        </w:rPr>
        <w:t>需提交飞行测试报告</w:t>
      </w:r>
      <w:r>
        <w:rPr>
          <w:rFonts w:ascii="Times New Roman" w:eastAsia="仿宋" w:hAnsi="Times New Roman" w:cs="Times New Roman" w:hint="default"/>
          <w:sz w:val="28"/>
          <w:szCs w:val="20"/>
          <w:highlight w:val="yellow"/>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#飞行要求：</w:t>
      </w:r>
      <w:r>
        <w:rPr>
          <w:rFonts w:ascii="Times New Roman" w:eastAsia="仿宋" w:hAnsi="Times New Roman" w:cs="Times New Roman" w:hint="default"/>
          <w:sz w:val="28"/>
          <w:szCs w:val="20"/>
          <w:highlight w:val="yellow"/>
          <w:lang w:val="en-US" w:eastAsia="zh-CN"/>
        </w:rPr>
        <w:t>智能无人机系统应支持1次/每天，每次不少于30分钟的飞行频率，具体飞行任务和航线规划应由供应商与采购人协商确定。</w:t>
      </w:r>
    </w:p>
    <w:p>
      <w:pPr>
        <w:spacing w:line="560" w:lineRule="exact"/>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#适航证要求：</w:t>
      </w:r>
      <w:r>
        <w:rPr>
          <w:rFonts w:ascii="Times New Roman" w:eastAsia="仿宋" w:hAnsi="Times New Roman" w:cs="Times New Roman" w:hint="default"/>
          <w:sz w:val="28"/>
          <w:szCs w:val="20"/>
          <w:highlight w:val="yellow"/>
          <w:lang w:val="en-US" w:eastAsia="zh-CN"/>
        </w:rPr>
        <w:t>依据《民用无人驾驶航空器运行安全管理规则》</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小型无人驾驶航空器（空机重量不超过15千克且最大起飞重量不超过25千克）</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无需适航证，对于满足该标准规定的无人机</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供应商无需适航证即可，对于超过该标准的无人机供应商，由供应商自行负责解决适航证</w:t>
      </w:r>
      <w:r>
        <w:rPr>
          <w:rFonts w:ascii="Times New Roman" w:eastAsia="仿宋" w:hAnsi="Times New Roman" w:cs="Times New Roman" w:hint="eastAsia"/>
          <w:sz w:val="28"/>
          <w:szCs w:val="20"/>
          <w:highlight w:val="yellow"/>
          <w:lang w:val="en-US" w:eastAsia="zh-CN"/>
        </w:rPr>
        <w:t>。</w:t>
      </w:r>
    </w:p>
    <w:p>
      <w:pPr>
        <w:spacing w:line="560" w:lineRule="exact"/>
        <w:ind w:firstLine="560" w:firstLineChars="200"/>
        <w:rPr>
          <w:rFonts w:ascii="Times New Roman" w:eastAsia="仿宋" w:hAnsi="Times New Roman" w:cs="Times New Roman" w:hint="default"/>
          <w:sz w:val="28"/>
          <w:szCs w:val="20"/>
          <w:highlight w:val="none"/>
        </w:rPr>
      </w:pPr>
      <w:r>
        <w:rPr>
          <w:rFonts w:ascii="Times New Roman" w:eastAsia="仿宋" w:hAnsi="Times New Roman" w:cs="Times New Roman" w:hint="eastAsia"/>
          <w:sz w:val="28"/>
          <w:szCs w:val="20"/>
          <w:highlight w:val="none"/>
          <w:lang w:val="en-US" w:eastAsia="zh-CN"/>
        </w:rPr>
        <w:t>载荷校准要求：</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eastAsia"/>
          <w:sz w:val="28"/>
          <w:szCs w:val="20"/>
          <w:highlight w:val="none"/>
          <w:lang w:val="en-US" w:eastAsia="zh-CN"/>
        </w:rPr>
        <w:t>由供应商每年至少进行2次校准。</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3.2</w:t>
      </w:r>
      <w:r>
        <w:rPr>
          <w:rFonts w:ascii="Times New Roman" w:eastAsia="仿宋" w:hAnsi="Times New Roman" w:cs="Times New Roman" w:hint="default"/>
          <w:sz w:val="28"/>
          <w:szCs w:val="28"/>
        </w:rPr>
        <w:t>数据要求</w:t>
      </w:r>
    </w:p>
    <w:p>
      <w:pPr>
        <w:spacing w:line="560" w:lineRule="exact"/>
        <w:ind w:firstLine="560" w:firstLineChars="200"/>
        <w:rPr>
          <w:rFonts w:ascii="Times New Roman" w:eastAsia="仿宋" w:hAnsi="Times New Roman" w:cs="Times New Roman" w:hint="default"/>
          <w:sz w:val="28"/>
          <w:szCs w:val="28"/>
          <w:highlight w:val="yellow"/>
        </w:rPr>
      </w:pP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rPr>
        <w:t>供应商</w:t>
      </w:r>
      <w:r>
        <w:rPr>
          <w:rFonts w:ascii="Times New Roman" w:eastAsia="仿宋" w:hAnsi="Times New Roman" w:cs="Times New Roman" w:hint="default"/>
          <w:sz w:val="28"/>
          <w:szCs w:val="28"/>
          <w:highlight w:val="yellow"/>
        </w:rPr>
        <w:t>提供的智能无人机应能够实时回传可见光</w:t>
      </w:r>
      <w:r>
        <w:rPr>
          <w:rFonts w:ascii="Times New Roman" w:eastAsia="仿宋" w:hAnsi="Times New Roman" w:cs="Times New Roman" w:hint="default"/>
          <w:sz w:val="28"/>
          <w:szCs w:val="28"/>
          <w:highlight w:val="yellow"/>
          <w:lang w:val="en-US" w:eastAsia="zh-CN"/>
        </w:rPr>
        <w:t>相机</w:t>
      </w:r>
      <w:r>
        <w:rPr>
          <w:rFonts w:ascii="Times New Roman" w:eastAsia="仿宋" w:hAnsi="Times New Roman" w:cs="Times New Roman" w:hint="default"/>
          <w:sz w:val="28"/>
          <w:szCs w:val="28"/>
          <w:highlight w:val="yellow"/>
        </w:rPr>
        <w:t>和</w:t>
      </w:r>
      <w:r>
        <w:rPr>
          <w:rFonts w:ascii="Times New Roman" w:eastAsia="仿宋" w:hAnsi="Times New Roman" w:cs="Times New Roman" w:hint="eastAsia"/>
          <w:sz w:val="28"/>
          <w:szCs w:val="28"/>
          <w:highlight w:val="yellow"/>
          <w:lang w:val="en-US" w:eastAsia="zh-CN"/>
        </w:rPr>
        <w:t>机载</w:t>
      </w:r>
      <w:r>
        <w:rPr>
          <w:rFonts w:ascii="Times New Roman" w:eastAsia="仿宋" w:hAnsi="Times New Roman" w:cs="Times New Roman" w:hint="default"/>
          <w:sz w:val="28"/>
          <w:szCs w:val="28"/>
          <w:highlight w:val="yellow"/>
        </w:rPr>
        <w:t>双</w:t>
      </w:r>
      <w:r>
        <w:rPr>
          <w:rFonts w:ascii="Times New Roman" w:eastAsia="仿宋" w:hAnsi="Times New Roman" w:cs="Times New Roman" w:hint="eastAsia"/>
          <w:sz w:val="28"/>
          <w:szCs w:val="28"/>
          <w:highlight w:val="yellow"/>
          <w:lang w:val="en-US" w:eastAsia="zh-CN"/>
        </w:rPr>
        <w:t>通道</w:t>
      </w:r>
      <w:r>
        <w:rPr>
          <w:rFonts w:ascii="Times New Roman" w:eastAsia="仿宋" w:hAnsi="Times New Roman" w:cs="Times New Roman" w:hint="default"/>
          <w:sz w:val="28"/>
          <w:szCs w:val="28"/>
          <w:highlight w:val="yellow"/>
        </w:rPr>
        <w:t>热红外</w:t>
      </w:r>
      <w:r>
        <w:rPr>
          <w:rFonts w:ascii="Times New Roman" w:eastAsia="仿宋" w:hAnsi="Times New Roman" w:cs="Times New Roman" w:hint="default"/>
          <w:sz w:val="28"/>
          <w:szCs w:val="28"/>
          <w:highlight w:val="yellow"/>
          <w:lang w:val="en-US" w:eastAsia="zh-CN"/>
        </w:rPr>
        <w:t>成像仪的</w:t>
      </w:r>
      <w:r>
        <w:rPr>
          <w:rFonts w:ascii="Times New Roman" w:eastAsia="仿宋" w:hAnsi="Times New Roman" w:cs="Times New Roman" w:hint="default"/>
          <w:sz w:val="28"/>
          <w:szCs w:val="28"/>
          <w:highlight w:val="yellow"/>
        </w:rPr>
        <w:t>视频流数据，智能机库</w:t>
      </w:r>
      <w:r>
        <w:rPr>
          <w:rFonts w:ascii="Times New Roman" w:eastAsia="仿宋" w:hAnsi="Times New Roman" w:cs="Times New Roman" w:hint="default"/>
          <w:sz w:val="28"/>
          <w:szCs w:val="28"/>
          <w:highlight w:val="yellow"/>
          <w:lang w:val="en-US" w:eastAsia="zh-CN"/>
        </w:rPr>
        <w:t>应</w:t>
      </w:r>
      <w:r>
        <w:rPr>
          <w:rFonts w:ascii="Times New Roman" w:eastAsia="仿宋" w:hAnsi="Times New Roman" w:cs="Times New Roman" w:hint="default"/>
          <w:sz w:val="28"/>
          <w:szCs w:val="28"/>
          <w:highlight w:val="yellow"/>
        </w:rPr>
        <w:t>能够接收</w:t>
      </w:r>
      <w:r>
        <w:rPr>
          <w:rFonts w:ascii="Times New Roman" w:eastAsia="仿宋" w:hAnsi="Times New Roman" w:cs="Times New Roman" w:hint="default"/>
          <w:sz w:val="28"/>
          <w:szCs w:val="28"/>
          <w:highlight w:val="yellow"/>
          <w:lang w:val="en-US" w:eastAsia="zh-CN"/>
        </w:rPr>
        <w:t>并</w:t>
      </w:r>
      <w:r>
        <w:rPr>
          <w:rFonts w:ascii="Times New Roman" w:eastAsia="仿宋" w:hAnsi="Times New Roman" w:cs="Times New Roman" w:hint="default"/>
          <w:sz w:val="28"/>
          <w:szCs w:val="28"/>
          <w:highlight w:val="yellow"/>
        </w:rPr>
        <w:t>存储</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default"/>
          <w:sz w:val="28"/>
          <w:szCs w:val="28"/>
          <w:highlight w:val="yellow"/>
          <w:lang w:val="en-US" w:eastAsia="zh-CN"/>
        </w:rPr>
        <w:t>的功能规格</w:t>
      </w:r>
      <w:r>
        <w:rPr>
          <w:rFonts w:ascii="Times New Roman" w:eastAsia="仿宋" w:hAnsi="Times New Roman" w:cs="Times New Roman" w:hint="default"/>
          <w:sz w:val="28"/>
          <w:szCs w:val="28"/>
          <w:highlight w:val="yellow"/>
        </w:rPr>
        <w:t>需求书中</w:t>
      </w:r>
      <w:r>
        <w:rPr>
          <w:rFonts w:ascii="Times New Roman" w:eastAsia="仿宋" w:hAnsi="Times New Roman" w:cs="Times New Roman" w:hint="default"/>
          <w:sz w:val="28"/>
          <w:szCs w:val="28"/>
          <w:highlight w:val="yellow"/>
          <w:lang w:val="en-US" w:eastAsia="zh-CN"/>
        </w:rPr>
        <w:t>要求</w:t>
      </w:r>
      <w:r>
        <w:rPr>
          <w:rFonts w:ascii="Times New Roman" w:eastAsia="仿宋" w:hAnsi="Times New Roman" w:cs="Times New Roman" w:hint="default"/>
          <w:sz w:val="28"/>
          <w:szCs w:val="28"/>
          <w:highlight w:val="yellow"/>
        </w:rPr>
        <w:t>存储的</w:t>
      </w:r>
      <w:r>
        <w:rPr>
          <w:rFonts w:ascii="Times New Roman" w:eastAsia="仿宋" w:hAnsi="Times New Roman" w:cs="Times New Roman" w:hint="default"/>
          <w:sz w:val="28"/>
          <w:szCs w:val="28"/>
          <w:highlight w:val="yellow"/>
          <w:lang w:val="en-US" w:eastAsia="zh-CN"/>
        </w:rPr>
        <w:t>所有</w:t>
      </w:r>
      <w:r>
        <w:rPr>
          <w:rFonts w:ascii="Times New Roman" w:eastAsia="仿宋" w:hAnsi="Times New Roman" w:cs="Times New Roman" w:hint="default"/>
          <w:sz w:val="28"/>
          <w:szCs w:val="28"/>
          <w:highlight w:val="yellow"/>
        </w:rPr>
        <w:t>数据，同时支持有线</w:t>
      </w:r>
      <w:r>
        <w:rPr>
          <w:rFonts w:ascii="Times New Roman" w:eastAsia="仿宋" w:hAnsi="Times New Roman" w:cs="Times New Roman" w:hint="eastAsia"/>
          <w:sz w:val="28"/>
          <w:szCs w:val="28"/>
          <w:highlight w:val="yellow"/>
          <w:lang w:val="en-US" w:eastAsia="zh-CN"/>
        </w:rPr>
        <w:t>或无线</w:t>
      </w:r>
      <w:r>
        <w:rPr>
          <w:rFonts w:ascii="Times New Roman" w:eastAsia="仿宋" w:hAnsi="Times New Roman" w:cs="Times New Roman" w:hint="default"/>
          <w:sz w:val="28"/>
          <w:szCs w:val="28"/>
          <w:highlight w:val="yellow"/>
        </w:rPr>
        <w:t>网络</w:t>
      </w:r>
      <w:r>
        <w:rPr>
          <w:rFonts w:ascii="Times New Roman" w:eastAsia="仿宋" w:hAnsi="Times New Roman" w:cs="Times New Roman" w:hint="default"/>
          <w:sz w:val="28"/>
          <w:szCs w:val="28"/>
          <w:highlight w:val="yellow"/>
          <w:lang w:val="en-US" w:eastAsia="zh-CN"/>
        </w:rPr>
        <w:t>传输</w:t>
      </w:r>
      <w:r>
        <w:rPr>
          <w:rFonts w:ascii="Times New Roman" w:eastAsia="仿宋" w:hAnsi="Times New Roman" w:cs="Times New Roman" w:hint="default"/>
          <w:sz w:val="28"/>
          <w:szCs w:val="28"/>
          <w:highlight w:val="yellow"/>
        </w:rPr>
        <w:t>的方式将所有存储的数据</w:t>
      </w:r>
      <w:r>
        <w:rPr>
          <w:rFonts w:ascii="Times New Roman" w:eastAsia="仿宋" w:hAnsi="Times New Roman" w:cs="Times New Roman" w:hint="eastAsia"/>
          <w:sz w:val="28"/>
          <w:szCs w:val="28"/>
          <w:highlight w:val="yellow"/>
          <w:lang w:val="en-US" w:eastAsia="zh-CN"/>
        </w:rPr>
        <w:t>传输到智能机库，支持有线网络</w:t>
      </w:r>
      <w:r>
        <w:rPr>
          <w:rFonts w:ascii="Times New Roman" w:eastAsia="仿宋" w:hAnsi="Times New Roman" w:cs="Times New Roman" w:hint="default"/>
          <w:sz w:val="28"/>
          <w:szCs w:val="28"/>
          <w:highlight w:val="yellow"/>
        </w:rPr>
        <w:t>导出到本地台站</w:t>
      </w:r>
      <w:r>
        <w:rPr>
          <w:rFonts w:ascii="Times New Roman" w:eastAsia="仿宋" w:hAnsi="Times New Roman" w:cs="Times New Roman" w:hint="eastAsia"/>
          <w:sz w:val="28"/>
          <w:szCs w:val="28"/>
          <w:highlight w:val="yellow"/>
          <w:lang w:eastAsia="zh-CN"/>
        </w:rPr>
        <w:t>，</w:t>
      </w:r>
      <w:r>
        <w:rPr>
          <w:rFonts w:ascii="Times New Roman" w:eastAsia="仿宋" w:hAnsi="Times New Roman" w:cs="Times New Roman" w:hint="eastAsia"/>
          <w:sz w:val="28"/>
          <w:szCs w:val="28"/>
          <w:highlight w:val="yellow"/>
          <w:lang w:val="en-US" w:eastAsia="zh-CN"/>
        </w:rPr>
        <w:t>智能机库需支持5TB及以上存储空间。</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四、质保服务</w:t>
      </w:r>
      <w:r>
        <w:rPr>
          <w:rFonts w:ascii="Times New Roman" w:eastAsia="仿宋" w:hAnsi="Times New Roman" w:cs="Times New Roman" w:hint="eastAsia"/>
          <w:sz w:val="28"/>
          <w:szCs w:val="28"/>
          <w:lang w:val="en-US" w:eastAsia="zh-CN"/>
        </w:rPr>
        <w:t>等</w:t>
      </w:r>
      <w:r>
        <w:rPr>
          <w:rFonts w:ascii="Times New Roman" w:eastAsia="仿宋" w:hAnsi="Times New Roman" w:cs="Times New Roman" w:hint="default"/>
          <w:sz w:val="28"/>
          <w:szCs w:val="28"/>
        </w:rPr>
        <w:t>要求</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8"/>
        </w:rPr>
        <w:t>无人机设备使用期间的安全属于生产安全管理范畴，由采购方负责，因无人机质量问题导致的安全风险由供应商负责。无人机设备使用期间的空域</w:t>
      </w:r>
      <w:r>
        <w:rPr>
          <w:rFonts w:ascii="Times New Roman" w:eastAsia="仿宋" w:hAnsi="Times New Roman" w:cs="Times New Roman" w:hint="default"/>
          <w:sz w:val="28"/>
          <w:szCs w:val="28"/>
          <w:lang w:val="en-US" w:eastAsia="zh-CN"/>
        </w:rPr>
        <w:t>应</w:t>
      </w:r>
      <w:r>
        <w:rPr>
          <w:rFonts w:ascii="Times New Roman" w:eastAsia="仿宋" w:hAnsi="Times New Roman" w:cs="Times New Roman" w:hint="default"/>
          <w:sz w:val="28"/>
          <w:szCs w:val="28"/>
        </w:rPr>
        <w:t>由采购方负责申请。</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供应商按照业务运行规范要求执行，确保设备可稳定运行，主要包括巡检、巡查工作，以及关键器件及系统故障的维修等。故障维修和巡检巡查等需按照《</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十四五</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期间综合观测类工程项目新上设备建设及质保指导意见》中</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智能无人机观测系统</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rPr>
        <w:t>采购要求中相关要求执行，并提供相关承诺函。</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（1）供应商</w:t>
      </w:r>
      <w:r>
        <w:rPr>
          <w:rFonts w:ascii="Times New Roman" w:eastAsia="仿宋" w:hAnsi="Times New Roman" w:cs="Times New Roman" w:hint="default"/>
          <w:sz w:val="28"/>
          <w:szCs w:val="28"/>
        </w:rPr>
        <w:t>将所有设备运送到招标人指定地点（运输相关费用由供应商负责），并负责安装调试。</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（2）</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8"/>
          <w:highlight w:val="yellow"/>
        </w:rPr>
        <w:t>质保期：8年</w:t>
      </w:r>
      <w:r>
        <w:rPr>
          <w:rFonts w:ascii="Times New Roman" w:eastAsia="仿宋" w:hAnsi="Times New Roman" w:cs="Times New Roman" w:hint="default"/>
          <w:sz w:val="28"/>
          <w:szCs w:val="28"/>
          <w:highlight w:val="none"/>
        </w:rPr>
        <w:t>，</w:t>
      </w:r>
      <w:r>
        <w:rPr>
          <w:rFonts w:ascii="Times New Roman" w:eastAsia="仿宋" w:hAnsi="Times New Roman" w:cs="Times New Roman" w:hint="default"/>
          <w:sz w:val="28"/>
          <w:szCs w:val="20"/>
        </w:rPr>
        <w:t>供应商</w:t>
      </w:r>
      <w:r>
        <w:rPr>
          <w:rFonts w:ascii="Times New Roman" w:eastAsia="仿宋" w:hAnsi="Times New Roman" w:cs="Times New Roman" w:hint="default"/>
          <w:sz w:val="28"/>
          <w:szCs w:val="28"/>
        </w:rPr>
        <w:t>需对质保期（保内、保外）政策进行阐述或承诺，列明有偿服务和无偿服务内容。</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（3）在质保期内， 设备供应商服务时间应为7</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（4）质保期过后，供应商仍有义务提供技术服务（包括提供设备维护、备件等）。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（5）自合同生效之日起，供应商应在设备质保期内（8年）为提供的</w:t>
      </w:r>
      <w:r>
        <w:rPr>
          <w:rFonts w:ascii="Times New Roman" w:eastAsia="仿宋" w:hAnsi="Times New Roman" w:cs="Times New Roman" w:hint="eastAsia"/>
          <w:sz w:val="28"/>
          <w:szCs w:val="20"/>
          <w:lang w:val="en-US" w:eastAsia="zh-CN"/>
        </w:rPr>
        <w:t>智能</w:t>
      </w:r>
      <w:r>
        <w:rPr>
          <w:rFonts w:ascii="Times New Roman" w:eastAsia="仿宋" w:hAnsi="Times New Roman" w:cs="Times New Roman" w:hint="default"/>
          <w:sz w:val="28"/>
          <w:szCs w:val="20"/>
        </w:rPr>
        <w:t>无人机设备、</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default"/>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五、技术培训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（1）供应商应免费向甲方提供培训，培训次数不少于</w:t>
      </w:r>
      <w:r>
        <w:rPr>
          <w:rFonts w:ascii="Times New Roman" w:eastAsia="仿宋" w:hAnsi="Times New Roman" w:cs="Times New Roman" w:hint="eastAsia"/>
          <w:sz w:val="28"/>
          <w:szCs w:val="20"/>
          <w:lang w:val="en-US" w:eastAsia="zh-CN"/>
        </w:rPr>
        <w:t>5</w:t>
      </w:r>
      <w:r>
        <w:rPr>
          <w:rFonts w:ascii="Times New Roman" w:eastAsia="仿宋" w:hAnsi="Times New Roman" w:cs="Times New Roman" w:hint="default"/>
          <w:sz w:val="28"/>
          <w:szCs w:val="20"/>
        </w:rPr>
        <w:t xml:space="preserve">次，培训人次不少于 </w:t>
      </w:r>
      <w:r>
        <w:rPr>
          <w:rFonts w:ascii="Times New Roman" w:eastAsia="仿宋" w:hAnsi="Times New Roman" w:cs="Times New Roman" w:hint="eastAsia"/>
          <w:sz w:val="28"/>
          <w:szCs w:val="20"/>
          <w:lang w:val="en-US" w:eastAsia="zh-CN"/>
        </w:rPr>
        <w:t>20</w:t>
      </w:r>
      <w:r>
        <w:rPr>
          <w:rFonts w:ascii="Times New Roman" w:eastAsia="仿宋" w:hAnsi="Times New Roman" w:cs="Times New Roman" w:hint="default"/>
          <w:sz w:val="28"/>
          <w:szCs w:val="20"/>
        </w:rPr>
        <w:t>人次，免费向用户提供设备安装、调试以及软件技术培训。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（3）技术培训内容包括：设备工作原理、使用方法、日常维护</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仪器校准</w:t>
      </w:r>
      <w:r>
        <w:rPr>
          <w:rFonts w:ascii="Times New Roman" w:eastAsia="仿宋" w:hAnsi="Times New Roman" w:cs="Times New Roman" w:hint="default"/>
          <w:sz w:val="28"/>
          <w:szCs w:val="20"/>
        </w:rPr>
        <w:t>及一般常见故障的诊断及排除等。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（4）培训时免费提供完整的培训资料，其中包括使用说明、工作原理、技术图纸、注意事项、安装调试方法和维修指南等。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、验收要求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eastAsia"/>
          <w:sz w:val="28"/>
          <w:szCs w:val="20"/>
          <w:highlight w:val="yellow"/>
          <w:lang w:val="en-US" w:eastAsia="zh-CN"/>
        </w:rPr>
        <w:t>的载荷均需具备装备许可，否则验收为不合格，追究中标方的责任。</w:t>
      </w:r>
    </w:p>
    <w:p>
      <w:pPr>
        <w:numPr>
          <w:ilvl w:val="0"/>
          <w:numId w:val="5"/>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设备出厂前，采购人</w:t>
      </w:r>
      <w:r>
        <w:rPr>
          <w:rFonts w:ascii="Times New Roman" w:eastAsia="仿宋" w:hAnsi="Times New Roman" w:cs="Times New Roman" w:hint="eastAsia"/>
          <w:sz w:val="28"/>
          <w:szCs w:val="20"/>
          <w:lang w:val="en-US" w:eastAsia="zh-CN"/>
        </w:rPr>
        <w:t>需</w:t>
      </w:r>
      <w:r>
        <w:rPr>
          <w:rFonts w:ascii="Times New Roman" w:eastAsia="仿宋" w:hAnsi="Times New Roman" w:cs="Times New Roman" w:hint="default"/>
          <w:sz w:val="28"/>
          <w:szCs w:val="20"/>
        </w:rPr>
        <w:t>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（2）设备安装、调试达到功能规格需求书规定的指标后，可进行初步验收。验收规范</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包括项目、指标、方式和测试仪器等</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应由供应商在前一个月提交给采购人。采购人可根据合同</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功能规格需求书以及采购人的有关规定进行修改和补充，经双方确认后形成验收文件作为验收依据。验收测试合格后，双方签署初验合格协议，设备进入试运行期。</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（3）设备经过1个月试运行期，试运行期间进行</w:t>
      </w:r>
      <w:r>
        <w:rPr>
          <w:rFonts w:ascii="Times New Roman" w:eastAsia="仿宋" w:hAnsi="Times New Roman" w:cs="Times New Roman" w:hint="default"/>
          <w:sz w:val="28"/>
          <w:szCs w:val="28"/>
        </w:rPr>
        <w:t>1次/每天，</w:t>
      </w:r>
      <w:r>
        <w:rPr>
          <w:rFonts w:ascii="Times New Roman" w:eastAsia="仿宋" w:hAnsi="Times New Roman" w:cs="Times New Roman" w:hint="default"/>
          <w:sz w:val="28"/>
          <w:szCs w:val="28"/>
          <w:lang w:val="en-US" w:eastAsia="zh-CN"/>
        </w:rPr>
        <w:t>每次</w:t>
      </w:r>
      <w:r>
        <w:rPr>
          <w:rFonts w:ascii="Times New Roman" w:eastAsia="仿宋" w:hAnsi="Times New Roman" w:cs="Times New Roman" w:hint="default"/>
          <w:sz w:val="28"/>
          <w:szCs w:val="28"/>
        </w:rPr>
        <w:t>不少于30分钟的飞行试验，</w:t>
      </w:r>
      <w:r>
        <w:rPr>
          <w:rFonts w:ascii="Times New Roman" w:eastAsia="仿宋" w:hAnsi="Times New Roman" w:cs="Times New Roman" w:hint="default"/>
          <w:sz w:val="28"/>
          <w:szCs w:val="28"/>
          <w:lang w:val="en-US" w:eastAsia="zh-CN"/>
        </w:rPr>
        <w:t>指标</w:t>
      </w:r>
      <w:r>
        <w:rPr>
          <w:rFonts w:ascii="Times New Roman" w:eastAsia="仿宋" w:hAnsi="Times New Roman" w:cs="Times New Roman" w:hint="default"/>
          <w:sz w:val="28"/>
          <w:szCs w:val="20"/>
        </w:rPr>
        <w:t>达到</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基于无人机的农业与生态观测系统-机载三维激光扫描雷达</w:t>
      </w:r>
      <w:r>
        <w:rPr>
          <w:rFonts w:ascii="Times New Roman" w:eastAsia="仿宋" w:hAnsi="Times New Roman" w:cs="Times New Roman" w:hint="default"/>
          <w:sz w:val="28"/>
          <w:szCs w:val="20"/>
        </w:rPr>
        <w:t>功能规格需求书</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highlight w:val="none"/>
        </w:rPr>
        <w:t>机载多波段光谱成像仪功能规格需求书</w:t>
      </w:r>
      <w:r>
        <w:rPr>
          <w:rFonts w:ascii="Times New Roman" w:eastAsia="仿宋" w:hAnsi="Times New Roman" w:cs="Times New Roman" w:hint="eastAsia"/>
          <w:sz w:val="28"/>
          <w:szCs w:val="20"/>
          <w:highlight w:val="none"/>
          <w:lang w:eastAsia="zh-CN"/>
        </w:rPr>
        <w:t>》、《</w:t>
      </w:r>
      <w:r>
        <w:rPr>
          <w:rFonts w:ascii="Times New Roman" w:eastAsia="仿宋" w:hAnsi="Times New Roman" w:cs="Times New Roman" w:hint="eastAsia"/>
          <w:sz w:val="28"/>
          <w:szCs w:val="20"/>
          <w:highlight w:val="none"/>
          <w:lang w:val="en-US" w:eastAsia="zh-CN"/>
        </w:rPr>
        <w:t>基于无人机的农业与生态观测系统-</w:t>
      </w:r>
      <w:r>
        <w:rPr>
          <w:rFonts w:ascii="Times New Roman" w:eastAsia="仿宋" w:hAnsi="Times New Roman" w:cs="Times New Roman" w:hint="default"/>
          <w:sz w:val="28"/>
          <w:szCs w:val="20"/>
          <w:highlight w:val="none"/>
        </w:rPr>
        <w:t>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热红外成像仪功能规格需求书</w:t>
      </w:r>
      <w:r>
        <w:rPr>
          <w:rFonts w:ascii="Times New Roman" w:eastAsia="仿宋" w:hAnsi="Times New Roman" w:cs="Times New Roman" w:hint="eastAsia"/>
          <w:sz w:val="28"/>
          <w:szCs w:val="20"/>
          <w:highlight w:val="none"/>
          <w:lang w:val="en-US" w:eastAsia="zh-CN"/>
        </w:rPr>
        <w:t>》</w:t>
      </w:r>
      <w:r>
        <w:rPr>
          <w:rFonts w:ascii="Times New Roman" w:eastAsia="仿宋" w:hAnsi="Times New Roman" w:cs="Times New Roman" w:hint="default"/>
          <w:sz w:val="28"/>
          <w:szCs w:val="20"/>
          <w:highlight w:val="none"/>
        </w:rPr>
        <w:t>的要求，可进行</w:t>
      </w:r>
      <w:r>
        <w:rPr>
          <w:rFonts w:ascii="Times New Roman" w:eastAsia="仿宋" w:hAnsi="Times New Roman" w:cs="Times New Roman" w:hint="default"/>
          <w:sz w:val="28"/>
          <w:szCs w:val="20"/>
        </w:rPr>
        <w:t>最终验收。在试运行期间，由于设备质量等造成某些指标达不到要求，允许供应商更换或进行修复。</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（4）设备安装调试和试运行结束后，采购人组织最终验收。当满足以下条件时，采购人确认验收合格签署验收合格证：</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供应商已提供合同中签署的全部货物及完整技术资料；</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货物符合技术规格，性能满足要求；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安装工程符合技术要求，系统性能满足要求，设备正常运行。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、其他要求</w:t>
      </w:r>
    </w:p>
    <w:p>
      <w:pPr>
        <w:spacing w:line="560" w:lineRule="exact"/>
        <w:ind w:left="420" w:leftChars="200"/>
        <w:rPr>
          <w:rFonts w:ascii="Times New Roman" w:eastAsia="仿宋" w:hAnsi="Times New Roman" w:cs="Times New Roman" w:hint="default"/>
          <w:color w:val="FF0000"/>
          <w:sz w:val="28"/>
          <w:szCs w:val="28"/>
        </w:rPr>
      </w:pPr>
      <w:r>
        <w:rPr>
          <w:rFonts w:eastAsia="仿宋"/>
          <w:sz w:val="28"/>
          <w:szCs w:val="20"/>
        </w:rPr>
        <w:t>详见采购需求-其他技术及商务需求。</w:t>
      </w:r>
    </w:p>
    <w:p>
      <w:r>
        <w:rPr>
          <w:rFonts w:ascii="Times New Roman" w:eastAsia="仿宋" w:hAnsi="Times New Roman" w:cs="Times New Roman" w:hint="default"/>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3,980,000.00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3,980,000.00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1746"/>
        <w:gridCol w:w="1275"/>
        <w:gridCol w:w="490"/>
        <w:gridCol w:w="1118"/>
        <w:gridCol w:w="932"/>
        <w:gridCol w:w="804"/>
        <w:gridCol w:w="16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办公室(001037017001)</w:t>
            </w:r>
          </w:p>
        </w:tc>
        <w:tc>
          <w:tcPr/>
          <w:p>
            <w:r>
              <w:t>智能无人机系统</w:t>
            </w:r>
          </w:p>
        </w:tc>
        <w:tc>
          <w:tcPr/>
          <w:p>
            <w:r>
              <w:t>2</w:t>
            </w:r>
          </w:p>
        </w:tc>
        <w:tc>
          <w:tcPr/>
          <w:p>
            <w:r>
              <w:t>3980000.00</w:t>
            </w:r>
          </w:p>
        </w:tc>
        <w:tc>
          <w:tcPr/>
          <w:p>
            <w:r>
              <w:t xml:space="preserve">3980000.00  </w:t>
            </w:r>
          </w:p>
        </w:tc>
        <w:tc>
          <w:tcPr/>
          <w:p>
            <w:r>
              <w:t>吉林</w:t>
            </w:r>
          </w:p>
        </w:tc>
        <w:tc>
          <w:tcPr/>
          <w:p>
            <w:r>
              <w:t>王旭（13039133480）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该项目将在农安、龙井建设智能无人机观念测系统2套，配合物候自动观测仪、土壤水分观测仪（宇宙射线法）、涡动梯度观测系统、蒸散量观测系统（红外闪烁法）等生态观测设备开展重点生态区水、土、气、碳、物候和无人机的综合监测，弥补吉林省在水体与大气间物质及能量交换监测的空白。为气象业务工作及生态文明保障提供数据支持、技术支撑，提升吉林省气象在生态气象监测评估服务、气象防灾减灾气象保障服务能力及应对气候变化业务服务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32</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5</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w:t>
      </w:r>
      <w:r>
        <w:rPr>
          <w:rFonts w:ascii="仿宋" w:eastAsia="仿宋" w:hAnsi="仿宋" w:cs="仿宋" w:hint="eastAsia"/>
          <w:sz w:val="28"/>
          <w:szCs w:val="20"/>
        </w:rPr>
        <w:t>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吉林省</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设备需具备较强兼容性，数据传输模式、数据格式、数据通讯协议满足中国气象局要求。</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5"/>
  </w:num>
  <w:num w:numId="6">
    <w:abstractNumId w:val="13"/>
  </w:num>
  <w:num w:numId="7">
    <w:abstractNumId w:val="14"/>
  </w:num>
  <w:num w:numId="8">
    <w:abstractNumId w:val="1"/>
  </w:num>
  <w:num w:numId="9">
    <w:abstractNumId w:val="6"/>
  </w:num>
  <w:num w:numId="10">
    <w:abstractNumId w:val="3"/>
  </w:num>
  <w:num w:numId="11">
    <w:abstractNumId w:val="2"/>
  </w:num>
  <w:num w:numId="12">
    <w:abstractNumId w:val="12"/>
  </w:num>
  <w:num w:numId="13">
    <w:abstractNumId w:val="0"/>
  </w:num>
  <w:num w:numId="14">
    <w:abstractNumId w:val="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