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中国气象局气象超算中心（和林格尔）机房场地环境系统运维服务项目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ZQCD-25252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中国气象局气象超算中心（和林格尔）机房场地环境系统运维服务项目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ZQCD-25252</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合同签订之日开始提供服务，服务周期1年，其中试用期3个月。</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内蒙古呼和浩特市和林格尔新区中国气象局气象超算中心（和林格尔）</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2025年08月29日 00:00:00</w:t>
      </w:r>
      <w:bookmarkEnd w:id="26"/>
      <w:r>
        <w:rPr>
          <w:rFonts w:ascii="宋体" w:hint="eastAsia"/>
          <w:szCs w:val="21"/>
          <w:highlight w:val="none"/>
        </w:rPr>
        <w:t>至</w:t>
      </w:r>
      <w:bookmarkStart w:id="27" w:name="项目公告_signUpLastTime"/>
      <w:r>
        <w:rPr>
          <w:rFonts w:ascii="宋体" w:hint="eastAsia"/>
          <w:szCs w:val="21"/>
          <w:highlight w:val="none"/>
        </w:rPr>
        <w:t>2025年09月05日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孔令军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010-68408624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1、承装（修、试）电力设施许可证三级及以上；2、在社会消防技术服务信息系统备案且备案内容至少包含消防设施维护保养检测。（以上1、2需提供加盖投标人公章的证明材料）</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11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10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软件和信息技术服务业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是，代理服务费：2.7万元。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是（时间：2025-09-05 14:30:00 地点：内蒙古呼和浩特市和林格尔新区中国气象局气象超算中心（和林格尔） 联系人：孔令军 联系方式：010-68408624）</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252.800000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252.800000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投标人具有环境管理体系认证证书、职业健康安全管理体系认证证书、ISO9001质量管理体系认证证书和安全生产许可证。每提供1个得1分，最高得4分。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投标人提供电力设施、消防设施运行维护服务项目业绩。</w:t>
              <w:cr/>
              <w:t>1、每提供1份电力设施运行维护服务项目的合同得1分，最多得5分。</w:t>
              <w:cr/>
              <w:t>2、每提供1份消防设施运行维护服务项目的合同得1分，最多得5分。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(4)</w:t>
            </w:r>
          </w:p>
        </w:tc>
        <w:tc>
          <w:tcPr/>
          <w:p>
            <w:r>
              <w:t>评审标准：</w:t>
            </w:r>
          </w:p>
          <w:p>
            <w:r>
              <w:t>投标人同时提供电力设施、消防设施运维服务项目用户满意度证明。</w:t>
              <w:cr/>
              <w:t>1、每提供1份电力设施维护服务项目的用户满意度证明得1分，最多得2分。</w:t>
              <w:cr/>
              <w:t>2、每提供1份消防设施运行维护服务项目的用户满意度证明得1分，最多得2分。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(26)</w:t>
            </w:r>
          </w:p>
        </w:tc>
        <w:tc>
          <w:tcPr/>
          <w:p>
            <w:r>
              <w:t>评审标准：</w:t>
            </w:r>
          </w:p>
          <w:p>
            <w:r>
              <w:t>投标人应组成本项目服务团队，服务团队包括管理团队、值守团队和运维团队三类。</w:t>
              <w:cr/>
              <w:t>管理团队包括项目经理和技术负责人各1人，值守团队人员数量应能够满足消防中控室、低压电气设施维护维修、暖通设施维护维修和保安24小时值守相关要求。</w:t>
              <w:cr/>
              <w:t>服务团队组织结构清晰，所有人员均为投标人自有员工，提供自有员工承诺函（格式自定）和相关证书，具体如下：</w:t>
              <w:cr/>
              <w:t>1、管理团队项目经理和技术负责人均具有电力设施或消防设施运维服务工作背景，得4分；拥有5年以上同类项目工作经验，得4分。</w:t>
              <w:cr/>
              <w:t>2、值守团队应包括消防设施操作员中级及以上，以及低压电工、暖通两类特种作业证人员，每具备一个专业得2分，最多得6分；</w:t>
              <w:cr/>
              <w:t>3、值守团队成员应有3年以上消防中控室值守、低压电气设施维护维修和暖通设施维护维修工作经历，保安应有1年一上保安值守工作经历，每有1项得 1分，最多得4分。</w:t>
              <w:cr/>
              <w:t>4、运维团队成员涵盖电气、暖通、弱电、消防专业技术人员，每具备一个专业得1分，最高得4分。</w:t>
              <w:cr/>
              <w:t>5、运维团队人员具有电气、暖通、弱电、消防专业运维经验，每具有一个专业运维经验得1分，最高得4分。</w:t>
              <w:cr/>
              <w:t>对于以上2-5项，同一人具有不同专业技术资质、工作经历/运维经验的，视为一个。</w:t>
            </w:r>
          </w:p>
          <w:p>
            <w:r>
              <w:t>评审标准说明：</w:t>
            </w:r>
          </w:p>
          <w:p>
            <w:r>
              <w:t>须提供团队人员名单及相关证明材料（证书复印件、技术能力证书、从业及相关专业运维经验证明材料等），同时提供投标截止日前6个月内任意1个月团队人员在投标人所在公司的社保缴纳证明（投标人为新成立公司，可提供劳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服务技术支持（主观分）</w:t>
            </w:r>
          </w:p>
        </w:tc>
        <w:tc>
          <w:tcPr/>
          <w:p>
            <w:r>
              <w:t>勾选打分</w:t>
            </w:r>
            <w:r>
              <w:t>(4)</w:t>
            </w:r>
          </w:p>
        </w:tc>
        <w:tc>
          <w:tcPr/>
          <w:p>
            <w:r>
              <w:t>评审标准：</w:t>
            </w:r>
          </w:p>
          <w:p>
            <w:r>
              <w:t>一档0分</w:t>
              <w:cr/>
              <w:t>二档2分</w:t>
              <w:cr/>
              <w:t>三档4分</w:t>
            </w:r>
          </w:p>
          <w:p>
            <w:r>
              <w:t>评审标准说明：</w:t>
            </w:r>
          </w:p>
          <w:p>
            <w:r>
              <w:t>投标人应建立合理的服务团队，包括管理团队、值守团队和运维团队。</w:t>
              <w:cr/>
              <w:t>一档：未成立专门的技术支持团队。</w:t>
              <w:cr/>
              <w:t>二档：能建立技术支持团队，但技术支持团队不够合理，技术支持内容不明确。</w:t>
              <w:cr/>
              <w:t>三档：建立合理的服务团队，明确服务支持的内容，提供完善及时的支持服务。</w:t>
            </w:r>
          </w:p>
          <w:p/>
        </w:tc>
      </w:tr>
      <w:tr>
        <w:tblPrEx>
          <w:tblW w:w="5000" w:type="pct"/>
          <w:tblCellMar>
            <w:left w:w="108" w:type="dxa"/>
            <w:right w:w="108" w:type="dxa"/>
          </w:tblCellMar>
        </w:tblPrEx>
        <w:tc>
          <w:tcPr/>
          <w:p>
            <w:r>
              <w:t>7</w:t>
            </w:r>
          </w:p>
        </w:tc>
        <w:tc>
          <w:tcPr>
            <w:vMerge/>
          </w:tcPr>
          <w:p>
            <w:r>
              <w:t>服务部分</w:t>
            </w:r>
          </w:p>
        </w:tc>
        <w:tc>
          <w:tcPr/>
          <w:p>
            <w:r>
              <w:t>售后服务方案（主观分）</w:t>
            </w:r>
          </w:p>
        </w:tc>
        <w:tc>
          <w:tcPr/>
          <w:p>
            <w:r>
              <w:t>勾选打分</w:t>
            </w:r>
            <w:r>
              <w:t>(2)</w:t>
            </w:r>
          </w:p>
        </w:tc>
        <w:tc>
          <w:tcPr/>
          <w:p>
            <w:r>
              <w:t>评审标准：</w:t>
            </w:r>
          </w:p>
          <w:p>
            <w:r>
              <w:t>一档0分</w:t>
              <w:cr/>
              <w:t>二档1分</w:t>
              <w:cr/>
              <w:t>三档2分</w:t>
            </w:r>
          </w:p>
          <w:p>
            <w:r>
              <w:t>评审标准说明：</w:t>
            </w:r>
          </w:p>
          <w:p>
            <w:r>
              <w:t>根据投标人提供的售后服务方案进行评分。具体评分标准如下：</w:t>
              <w:cr/>
              <w:t>一档：售后服务方案较简单或未提供。</w:t>
              <w:cr/>
              <w:t>二档：售后服务方案能按照招标文件的要求进行响应，有一定针对性，且基本满足招标文件的要求。</w:t>
              <w:cr/>
              <w:t>三档：售后服务方案能按照招标文件的要求进行响应，详细具体，针对性强，与项目实际情况相契合，且完全满足招标文件的要求。</w:t>
            </w:r>
          </w:p>
          <w:p/>
        </w:tc>
      </w:tr>
      <w:tr>
        <w:tblPrEx>
          <w:tblW w:w="5000" w:type="pct"/>
          <w:tblCellMar>
            <w:left w:w="108" w:type="dxa"/>
            <w:right w:w="108" w:type="dxa"/>
          </w:tblCellMar>
        </w:tblPrEx>
        <w:tc>
          <w:tcPr/>
          <w:p>
            <w:r>
              <w:t>8</w:t>
            </w:r>
          </w:p>
        </w:tc>
        <w:tc>
          <w:tcPr>
            <w:vMerge/>
          </w:tcPr>
          <w:p>
            <w:r>
              <w:t>服务部分</w:t>
            </w:r>
          </w:p>
        </w:tc>
        <w:tc>
          <w:tcPr/>
          <w:p>
            <w:r>
              <w:t>质量保障与实施方案（主观分）</w:t>
            </w:r>
          </w:p>
        </w:tc>
        <w:tc>
          <w:tcPr/>
          <w:p>
            <w:r>
              <w:t>勾选打分</w:t>
            </w:r>
            <w:r>
              <w:t>(4)</w:t>
            </w:r>
          </w:p>
        </w:tc>
        <w:tc>
          <w:tcPr/>
          <w:p>
            <w:r>
              <w:t>评审标准：</w:t>
            </w:r>
          </w:p>
          <w:p>
            <w:r>
              <w:t>一档0分</w:t>
              <w:cr/>
              <w:t>二档2分</w:t>
              <w:cr/>
              <w:t>三档4分</w:t>
            </w:r>
          </w:p>
          <w:p>
            <w:r>
              <w:t>评审标准说明：</w:t>
            </w:r>
          </w:p>
          <w:p>
            <w:r>
              <w:t>提供质量保障与实施方案，提出合理的项目全过程质量保证措施，过程检查有明确依据，质量保证工作量化。</w:t>
              <w:cr/>
              <w:t>一档：未提供方案，或方案不合理无针对性可行性。</w:t>
              <w:cr/>
              <w:t>二档：计划和方案内容不全，详细程度一般，进度控制保证措施针对性、合理性、可行性一般。</w:t>
              <w:cr/>
              <w:t>三档：项目组织机构清晰，计划与方案内容完整、详细，进度控制保证措施针对性强，切实可行。</w:t>
            </w:r>
          </w:p>
          <w:p/>
        </w:tc>
      </w:tr>
      <w:tr>
        <w:tblPrEx>
          <w:tblW w:w="5000" w:type="pct"/>
          <w:tblCellMar>
            <w:left w:w="108" w:type="dxa"/>
            <w:right w:w="108" w:type="dxa"/>
          </w:tblCellMar>
        </w:tblPrEx>
        <w:tc>
          <w:tcPr/>
          <w:p>
            <w:r>
              <w:t>9</w:t>
            </w:r>
          </w:p>
        </w:tc>
        <w:tc>
          <w:tcPr>
            <w:vMerge/>
          </w:tcPr>
          <w:p>
            <w:r>
              <w:t>服务部分</w:t>
            </w:r>
          </w:p>
        </w:tc>
        <w:tc>
          <w:tcPr/>
          <w:p>
            <w:r>
              <w:t>项目需求分析（主观分）</w:t>
            </w:r>
          </w:p>
        </w:tc>
        <w:tc>
          <w:tcPr/>
          <w:p>
            <w:r>
              <w:t>勾选打分</w:t>
            </w:r>
            <w:r>
              <w:t>(4)</w:t>
            </w:r>
          </w:p>
        </w:tc>
        <w:tc>
          <w:tcPr/>
          <w:p>
            <w:r>
              <w:t>评审标准：</w:t>
            </w:r>
          </w:p>
          <w:p>
            <w:r>
              <w:t>一档0分</w:t>
              <w:cr/>
              <w:t>二档2分</w:t>
              <w:cr/>
              <w:t>三档4分</w:t>
            </w:r>
          </w:p>
          <w:p>
            <w:r>
              <w:t>评审标准说明：</w:t>
            </w:r>
          </w:p>
          <w:p>
            <w:r>
              <w:t>根据投标人提供项目需求分析材料进行评分。具体评分标准如下：</w:t>
              <w:cr/>
              <w:t>一档：对项目范围和内容理解偏差较大，对用户总体需求分析不正确，描述逻辑混乱，或不提供分析材料。</w:t>
              <w:cr/>
              <w:t>二档：对项目范围和内容及用户总体需求分析存在偏差，描述不够清楚。</w:t>
              <w:cr/>
              <w:t>三档：对项目范围和内容理解清晰，对用户总体需求分析正确，描述清楚。</w:t>
            </w:r>
          </w:p>
          <w:p/>
        </w:tc>
      </w:tr>
      <w:tr>
        <w:tblPrEx>
          <w:tblW w:w="5000" w:type="pct"/>
          <w:tblCellMar>
            <w:left w:w="108" w:type="dxa"/>
            <w:right w:w="108" w:type="dxa"/>
          </w:tblCellMar>
        </w:tblPrEx>
        <w:tc>
          <w:tcPr/>
          <w:p>
            <w:r>
              <w:t>10</w:t>
            </w:r>
          </w:p>
        </w:tc>
        <w:tc>
          <w:tcPr>
            <w:vMerge/>
          </w:tcPr>
          <w:p>
            <w:r>
              <w:t>服务部分</w:t>
            </w:r>
          </w:p>
        </w:tc>
        <w:tc>
          <w:tcPr/>
          <w:p>
            <w:r>
              <w:t>总体服务方案（主观分）</w:t>
            </w:r>
          </w:p>
        </w:tc>
        <w:tc>
          <w:tcPr/>
          <w:p>
            <w:r>
              <w:t>勾选打分</w:t>
            </w:r>
            <w:r>
              <w:t>(2)</w:t>
            </w:r>
          </w:p>
        </w:tc>
        <w:tc>
          <w:tcPr/>
          <w:p>
            <w:r>
              <w:t>评审标准：</w:t>
            </w:r>
          </w:p>
          <w:p>
            <w:r>
              <w:t>一档0分</w:t>
              <w:cr/>
              <w:t>二档1分</w:t>
              <w:cr/>
              <w:t>三档2分</w:t>
            </w:r>
          </w:p>
          <w:p>
            <w:r>
              <w:t>评审标准说明：</w:t>
            </w:r>
          </w:p>
          <w:p>
            <w:r>
              <w:t>根据投标人提供总体服务方案进行评分。具体评分标准如下：</w:t>
              <w:cr/>
              <w:t>一档：未提供方案，或者方案不合理，无针对性。</w:t>
              <w:cr/>
              <w:t>二档：方案完整但比较简单，依据招标人提供的服务标准约束条件，提出的服务方法和服务措施合理性、可行性、针对性一般，基本满足招标文件需求。</w:t>
              <w:cr/>
              <w:t>三档：方案完整详细，依据招标人提供的服务标准约束条件，提出合理切实可行的服务方法和服务措施，完全满足招标文件需求。</w:t>
            </w:r>
          </w:p>
          <w:p/>
        </w:tc>
      </w:tr>
      <w:tr>
        <w:tblPrEx>
          <w:tblW w:w="5000" w:type="pct"/>
          <w:tblCellMar>
            <w:left w:w="108" w:type="dxa"/>
            <w:right w:w="108" w:type="dxa"/>
          </w:tblCellMar>
        </w:tblPrEx>
        <w:tc>
          <w:tcPr/>
          <w:p>
            <w:r>
              <w:t>11</w:t>
            </w:r>
          </w:p>
        </w:tc>
        <w:tc>
          <w:tcPr>
            <w:vMerge/>
          </w:tcPr>
          <w:p>
            <w:r>
              <w:t>服务部分</w:t>
            </w:r>
          </w:p>
        </w:tc>
        <w:tc>
          <w:tcPr/>
          <w:p>
            <w:r>
              <w:t>具体服务方案（主观分）</w:t>
            </w:r>
          </w:p>
        </w:tc>
        <w:tc>
          <w:tcPr/>
          <w:p>
            <w:r>
              <w:t>区间打分</w:t>
            </w:r>
            <w:r>
              <w:t>(12)</w:t>
            </w:r>
          </w:p>
        </w:tc>
        <w:tc>
          <w:tcPr/>
          <w:p>
            <w:r>
              <w:t>评审标准：</w:t>
            </w:r>
          </w:p>
          <w:p>
            <w:r>
              <w:t>针对以下每项服务内容提交具体服务方案：</w:t>
              <w:cr/>
              <w:t>1、24小时现场值守人员排班计划；</w:t>
              <w:cr/>
              <w:t>2、24小时现场值守巡检服务（至少包括巡检内容、巡检频次、巡检记录表等）；</w:t>
              <w:cr/>
              <w:t>3、重大故障处置（至少包括包括响应方式、响应时间及技术支持队伍等）；</w:t>
              <w:cr/>
              <w:t>4、重大气象服务期间应急服务保障；</w:t>
              <w:cr/>
              <w:t>5、备品备件清单及提供方式（现场、集中备品备件库等）；</w:t>
              <w:cr/>
              <w:t>6、周、月服务报告、故障报告等模板</w:t>
              <w:cr/>
              <w:cr/>
              <w:t>以上每项服务内容：</w:t>
              <w:cr/>
              <w:t>一档0分</w:t>
              <w:cr/>
              <w:t>二档1分</w:t>
              <w:cr/>
              <w:t>三档2分</w:t>
              <w:cr/>
              <w:t>以上共计6项服务内容，满分12分。</w:t>
            </w:r>
          </w:p>
          <w:p>
            <w:r>
              <w:t>评审标准说明：</w:t>
            </w:r>
          </w:p>
          <w:p>
            <w:r>
              <w:t>根据投标人提供具体服务方案进行评分。具体评分标准如下：</w:t>
              <w:cr/>
              <w:t>一档：未提供方案，或者方案不合理、无针对性。</w:t>
              <w:cr/>
              <w:t>二档：服务方案简单，基本合理，针对性一般，基本满足招标文件要求。</w:t>
              <w:cr/>
              <w:t>三档：服务方案详细具体合理，针对性强，完全满足招标文件要求。</w:t>
            </w:r>
          </w:p>
          <w:p/>
        </w:tc>
      </w:tr>
      <w:tr>
        <w:tblPrEx>
          <w:tblW w:w="5000" w:type="pct"/>
          <w:tblCellMar>
            <w:left w:w="108" w:type="dxa"/>
            <w:right w:w="108" w:type="dxa"/>
          </w:tblCellMar>
        </w:tblPrEx>
        <w:tc>
          <w:tcPr/>
          <w:p>
            <w:r>
              <w:t>12</w:t>
            </w:r>
          </w:p>
        </w:tc>
        <w:tc>
          <w:tcPr>
            <w:vMerge/>
          </w:tcPr>
          <w:p>
            <w:r>
              <w:t>服务部分</w:t>
            </w:r>
          </w:p>
        </w:tc>
        <w:tc>
          <w:tcPr/>
          <w:p>
            <w:r>
              <w:t>项目需求理解（主观分）</w:t>
            </w:r>
          </w:p>
        </w:tc>
        <w:tc>
          <w:tcPr/>
          <w:p>
            <w:r>
              <w:t>勾选打分</w:t>
            </w:r>
            <w:r>
              <w:t>(3)</w:t>
            </w:r>
          </w:p>
        </w:tc>
        <w:tc>
          <w:tcPr/>
          <w:p>
            <w:r>
              <w:t>评审标准：</w:t>
            </w:r>
          </w:p>
          <w:p>
            <w:r>
              <w:t>一档0分</w:t>
              <w:cr/>
              <w:t>二档1分</w:t>
              <w:cr/>
              <w:t>三档3分</w:t>
            </w:r>
          </w:p>
          <w:p>
            <w:r>
              <w:t>评审标准说明：</w:t>
            </w:r>
          </w:p>
          <w:p>
            <w:r>
              <w:t>提供业务需求与用户需求分析方案。结合项目需求、背景、现状情况等对项目进行需求分析理解。</w:t>
              <w:cr/>
              <w:t>一档：对项目范围和内容理解偏差较大，未抓住重点、难点，描述逻辑混乱，或不提供分析材料。</w:t>
              <w:cr/>
              <w:t>二档：对项目范围和内容及用户总体需求分析存在偏差，重点、难点不突出，描述不够清楚。</w:t>
              <w:cr/>
              <w:t>三档：对项目范围和内容理解清晰，对用户总体需求分析正确，重点、难点分析到位，问题描述清楚；能准确识别软件系统关键技术问题，并提出详细合理的解决方案。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13</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每提供一条合理化建议得1分，最高得2分。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14</w:t>
            </w:r>
          </w:p>
        </w:tc>
        <w:tc>
          <w:tcPr>
            <w:vMerge/>
          </w:tcPr>
          <w:p>
            <w:r>
              <w:t>服务部分</w:t>
            </w:r>
          </w:p>
        </w:tc>
        <w:tc>
          <w:tcPr/>
          <w:p>
            <w:r>
              <w:t>风险管理方案（主观分）</w:t>
            </w:r>
          </w:p>
        </w:tc>
        <w:tc>
          <w:tcPr/>
          <w:p>
            <w:r>
              <w:t>勾选打分</w:t>
            </w:r>
            <w:r>
              <w:t>(3)</w:t>
            </w:r>
          </w:p>
        </w:tc>
        <w:tc>
          <w:tcPr/>
          <w:p>
            <w:r>
              <w:t>评审标准：</w:t>
            </w:r>
          </w:p>
          <w:p>
            <w:r>
              <w:t>一档0分</w:t>
              <w:cr/>
              <w:t>二档1分</w:t>
              <w:cr/>
              <w:t>三档3分</w:t>
            </w:r>
          </w:p>
          <w:p>
            <w:r>
              <w:t>评审标准说明：</w:t>
            </w:r>
          </w:p>
          <w:p>
            <w:r>
              <w:t>对项目重点难点问题及可能存在的风险进行针对性分析，并针对性提出解决方案。</w:t>
              <w:cr/>
              <w:t>一档：未提供方案，或方案简单不合理，无针对性。</w:t>
              <w:cr/>
              <w:t>二档：重点难点问题及风险分析比较全面，解决方案内容不全，详细程度一般，措施针对性可行性一般。</w:t>
              <w:cr/>
              <w:t>三档：重点难点问题及风险分析全面，解决方案详细合理、措施针对性强，切实可行。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0"/>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一、项目概况</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项目名称：</w:t>
      </w:r>
      <w:r>
        <w:rPr>
          <w:rFonts w:ascii="宋体" w:eastAsia="宋体" w:hAnsi="宋体" w:cs="宋体" w:hint="eastAsia"/>
          <w:sz w:val="24"/>
          <w:szCs w:val="24"/>
        </w:rPr>
        <w:t>中国气象局气象超算中心（和林格尔）机房场地环境系统运维服务</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项目地点：</w:t>
      </w:r>
      <w:r>
        <w:rPr>
          <w:rFonts w:ascii="宋体" w:eastAsia="宋体" w:hAnsi="宋体" w:cs="宋体" w:hint="eastAsia"/>
          <w:sz w:val="24"/>
          <w:szCs w:val="24"/>
        </w:rPr>
        <w:t>内蒙古呼和浩特市和林格尔新区中国气象局气象数据中心（和林格尔）</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主要服务内容：</w:t>
      </w:r>
      <w:r>
        <w:rPr>
          <w:rFonts w:ascii="宋体" w:eastAsia="宋体" w:hAnsi="宋体" w:cs="宋体" w:hint="eastAsia"/>
          <w:sz w:val="24"/>
          <w:szCs w:val="24"/>
        </w:rPr>
        <w:t>中国气象局气象超算中心（和林格尔）所属相关大楼、园区环境、办公区空调、办公区电气、物业服务、消防、门禁、视频安防监控、动力环境监控等设施，以及机房场地、机房电气（不含超算配套列头柜、PDU及相关电缆等电气设施）、机房暖通空调（不含超算配套暖通设施）等机房设施的24小时现场值守、日常巡检、日常维护、应急处置、故障维修、性能试验等。</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服务方式：</w:t>
      </w:r>
      <w:r>
        <w:rPr>
          <w:rFonts w:ascii="宋体" w:eastAsia="宋体" w:hAnsi="宋体" w:cs="宋体" w:hint="eastAsia"/>
          <w:sz w:val="24"/>
          <w:szCs w:val="24"/>
        </w:rPr>
        <w:t>现场服务。</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服务周期：</w:t>
      </w:r>
      <w:r>
        <w:rPr>
          <w:rFonts w:ascii="宋体" w:eastAsia="宋体" w:hAnsi="宋体" w:cs="宋体" w:hint="eastAsia"/>
          <w:sz w:val="24"/>
          <w:szCs w:val="24"/>
        </w:rPr>
        <w:t>自合同签订之日起1年。其中，合同签订后3个月为试用期，试用期满后招标人对投标人进行考核，如考核合格合同正式生效，如考核不合格合同自动解除。</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二、服务标准</w:t>
      </w:r>
    </w:p>
    <w:p>
      <w:pPr>
        <w:snapToGrid w:val="0"/>
        <w:spacing w:line="360" w:lineRule="auto"/>
        <w:ind w:firstLine="480" w:firstLineChars="200"/>
        <w:jc w:val="left"/>
        <w:rPr>
          <w:rFonts w:ascii="楷体_GB2312" w:eastAsia="楷体_GB2312" w:hAnsi="楷体_GB2312" w:cs="楷体_GB2312"/>
        </w:rPr>
      </w:pPr>
      <w:r>
        <w:rPr>
          <w:rFonts w:ascii="楷体_GB2312" w:eastAsia="楷体_GB2312" w:hAnsi="楷体_GB2312" w:cs="楷体_GB2312" w:hint="eastAsia"/>
          <w:sz w:val="24"/>
          <w:szCs w:val="24"/>
        </w:rPr>
        <w:t>（一）遵循标准</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本项目运维服务应符合以下标准：</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数据中心设计规范                      GB 50174-2017</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数据中心基础设施运维标准              GB/T 51314-2018</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建筑消防设施的维护管理                GB 25201-2010</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社会消防技术服务管理规定              应急管理部令第7号</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承装（修、试）电力设施许可证管理办法  国家发改委令第30号</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数据中心运维管理人才标准              CIET-2019-0504</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建筑消防设施维护保养技术规范          DB11/T 3035—2023</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以上标准，如有版本更新应以最新版本为准。</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其它与履行本项目服务相关的电气、暖通、消防、弱电、智能化、物业等相关规范。</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三、服务范围</w:t>
      </w:r>
    </w:p>
    <w:p>
      <w:pPr>
        <w:snapToGrid w:val="0"/>
        <w:spacing w:line="360" w:lineRule="auto"/>
        <w:ind w:firstLine="480" w:firstLineChars="200"/>
        <w:rPr>
          <w:rFonts w:ascii="宋体" w:eastAsia="宋体" w:hAnsi="宋体" w:cs="宋体"/>
        </w:rPr>
      </w:pPr>
      <w:r>
        <w:rPr>
          <w:rFonts w:ascii="宋体" w:eastAsia="宋体" w:hAnsi="宋体" w:cs="宋体" w:hint="eastAsia"/>
          <w:sz w:val="24"/>
          <w:szCs w:val="24"/>
        </w:rPr>
        <w:t>本项目提供服务的范围为中国气象局气象超算中心（和林格尔）所属相关大楼及园区环境、机房场地设施、电气设施（包括机房及办公区，不含超算配套列头柜、PDU及相关电缆等电气设施）、暖通设施（包括机房及办公区空调、新风、VRV空调等，不含超算配套暖通设施）、</w:t>
      </w:r>
      <w:r>
        <w:rPr>
          <w:rFonts w:ascii="宋体" w:eastAsia="宋体" w:hAnsi="宋体" w:cs="宋体" w:hint="eastAsia"/>
          <w:sz w:val="24"/>
          <w:szCs w:val="24"/>
        </w:rPr>
        <w:t>消防、门禁、视频安防监控、动力环境监控等设施，以及园区物业服务，具体如下：</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（一）大楼及园区环境</w:t>
      </w:r>
    </w:p>
    <w:p>
      <w:pPr>
        <w:snapToGrid w:val="0"/>
        <w:spacing w:line="360" w:lineRule="auto"/>
        <w:ind w:firstLine="480" w:firstLineChars="200"/>
        <w:rPr>
          <w:rFonts w:ascii="宋体" w:eastAsia="宋体" w:hAnsi="宋体" w:cs="宋体"/>
        </w:rPr>
      </w:pPr>
      <w:r>
        <w:rPr>
          <w:rFonts w:ascii="宋体" w:eastAsia="宋体" w:hAnsi="宋体" w:cs="宋体" w:hint="eastAsia"/>
          <w:sz w:val="24"/>
          <w:szCs w:val="24"/>
        </w:rPr>
        <w:t>本项目中的大楼及园区环境是指园区绿化、大门、道路、停车设施、大楼结构及公共区域内外装修等。</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（二）机房场地设施</w:t>
      </w:r>
    </w:p>
    <w:p>
      <w:pPr>
        <w:snapToGrid w:val="0"/>
        <w:spacing w:line="360" w:lineRule="auto"/>
        <w:ind w:firstLine="480" w:firstLineChars="200"/>
        <w:rPr>
          <w:rFonts w:ascii="宋体" w:eastAsia="宋体" w:hAnsi="宋体" w:cs="宋体"/>
        </w:rPr>
      </w:pPr>
      <w:r>
        <w:rPr>
          <w:rFonts w:ascii="宋体" w:eastAsia="宋体" w:hAnsi="宋体" w:cs="宋体" w:hint="eastAsia"/>
          <w:sz w:val="24"/>
          <w:szCs w:val="24"/>
        </w:rPr>
        <w:t>本项目中的机房场地是指中国气象局气象超算中心（和林格尔）所属机房区、辅助机房区内的地面、墙壁、吊顶、门、照明、插座、应急照明、防雷接地、线槽等设施，具体明细如下：</w:t>
      </w:r>
    </w:p>
    <w:p>
      <w:pPr>
        <w:snapToGrid w:val="0"/>
        <w:spacing w:line="360" w:lineRule="auto"/>
        <w:jc w:val="center"/>
        <w:rPr>
          <w:rFonts w:ascii="宋体" w:eastAsia="宋体" w:hAnsi="宋体" w:cs="宋体"/>
          <w:szCs w:val="21"/>
        </w:rPr>
      </w:pPr>
      <w:r>
        <w:rPr>
          <w:rFonts w:ascii="宋体" w:eastAsia="宋体" w:hAnsi="宋体" w:cs="宋体" w:hint="eastAsia"/>
          <w:szCs w:val="21"/>
        </w:rPr>
        <w:t xml:space="preserve">表3-1 </w:t>
      </w:r>
      <w:r>
        <w:rPr>
          <w:rFonts w:ascii="宋体" w:eastAsia="宋体" w:hAnsi="宋体" w:cs="宋体" w:hint="eastAsia"/>
          <w:sz w:val="24"/>
          <w:szCs w:val="24"/>
        </w:rPr>
        <w:t>中国气象局气象超算中心（和林格尔）机房</w:t>
      </w:r>
      <w:r>
        <w:rPr>
          <w:rFonts w:ascii="宋体" w:eastAsia="宋体" w:hAnsi="宋体" w:cs="宋体" w:hint="eastAsia"/>
          <w:szCs w:val="21"/>
        </w:rPr>
        <w:t>场地设施明细表</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57"/>
        <w:gridCol w:w="1770"/>
        <w:gridCol w:w="810"/>
        <w:gridCol w:w="930"/>
        <w:gridCol w:w="415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编号</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机房地点</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单位</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数量</w:t>
            </w:r>
          </w:p>
        </w:tc>
        <w:tc>
          <w:tcPr>
            <w:tcW w:w="4155"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设施明细</w:t>
            </w:r>
          </w:p>
        </w:tc>
      </w:tr>
      <w:tr>
        <w:tblPrEx>
          <w:tblW w:w="0" w:type="auto"/>
          <w:jc w:val="center"/>
          <w:tblCellMar>
            <w:top w:w="0" w:type="dxa"/>
            <w:left w:w="108" w:type="dxa"/>
            <w:bottom w:w="0" w:type="dxa"/>
            <w:right w:w="108" w:type="dxa"/>
          </w:tblCellMar>
        </w:tblPrEx>
        <w:trPr>
          <w:trHeight w:val="908"/>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1</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中国气象局气象超算中心（和林格尔）</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m</w:t>
            </w:r>
            <w:r>
              <w:rPr>
                <w:rFonts w:ascii="宋体" w:eastAsia="宋体" w:hAnsi="宋体" w:cs="宋体" w:hint="eastAsia"/>
                <w:szCs w:val="21"/>
                <w:vertAlign w:val="superscript"/>
              </w:rPr>
              <w:t>2</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5955</w:t>
            </w:r>
          </w:p>
        </w:tc>
        <w:tc>
          <w:tcPr>
            <w:tcW w:w="4155" w:type="dxa"/>
            <w:vAlign w:val="center"/>
          </w:tcPr>
          <w:p>
            <w:pPr>
              <w:adjustRightInd w:val="0"/>
              <w:snapToGrid w:val="0"/>
              <w:jc w:val="left"/>
              <w:rPr>
                <w:rFonts w:ascii="宋体" w:eastAsia="宋体" w:hAnsi="宋体" w:cs="宋体"/>
                <w:szCs w:val="21"/>
              </w:rPr>
            </w:pPr>
            <w:r>
              <w:rPr>
                <w:rFonts w:ascii="宋体" w:eastAsia="宋体" w:hAnsi="宋体" w:cs="宋体" w:hint="eastAsia"/>
                <w:szCs w:val="21"/>
              </w:rPr>
              <w:t>地面、墙壁、吊顶、门、照明、插座、应急照明、防雷接地、线槽、等</w:t>
            </w:r>
          </w:p>
        </w:tc>
      </w:tr>
    </w:tbl>
    <w:p>
      <w:pPr>
        <w:snapToGrid w:val="0"/>
        <w:spacing w:line="360" w:lineRule="auto"/>
        <w:jc w:val="left"/>
        <w:rPr>
          <w:rFonts w:ascii="宋体" w:eastAsia="宋体" w:hAnsi="宋体" w:cs="宋体"/>
        </w:rPr>
      </w:pP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（二）电气设施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本项目中的电气设施包括但不限于中国气象局气象超算中心（和林格尔）所属高压配电系统、低压配电系统、UPS、蓄电池、电线电缆，以及各楼层办公用电气设施，具体包括：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整体业务、办公电气设施。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本项目服务范围不包括超算配套电气设施，分界点为超算配套列头柜。</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（三）暖通设施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本项目中的暖通设施是中国气象局气象超算中心（和林格尔）机房空调、VRV空调、新风、办公区空调等设施，具体包括：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一楼大厅VRV空调；</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二层办公室及三层值班室空调；</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新风系统；</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二层超算机房西北侧机柜模块空调。</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w:t>
      </w:r>
      <w:r>
        <w:rPr>
          <w:rFonts w:ascii="楷体_GB2312" w:eastAsia="楷体_GB2312" w:hAnsi="楷体_GB2312" w:cs="楷体_GB2312" w:hint="eastAsia"/>
          <w:sz w:val="24"/>
          <w:szCs w:val="24"/>
          <w:lang w:eastAsia="zh-CN"/>
        </w:rPr>
        <w:t>四</w:t>
      </w:r>
      <w:r>
        <w:rPr>
          <w:rFonts w:ascii="楷体_GB2312" w:eastAsia="楷体_GB2312" w:hAnsi="楷体_GB2312" w:cs="楷体_GB2312" w:hint="eastAsia"/>
          <w:sz w:val="24"/>
          <w:szCs w:val="24"/>
        </w:rPr>
        <w:t>）消防设施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本项目中的消防设施是指中国气象局气象超算中心（和林格尔）楼内所属的消防自动报警、气体灭火、消防水系统、消防电系统等设施，具体包括：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中国气象局气象超算中心（和林格尔）楼整体消防设施。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w:t>
      </w:r>
      <w:r>
        <w:rPr>
          <w:rFonts w:ascii="楷体_GB2312" w:eastAsia="楷体_GB2312" w:hAnsi="楷体_GB2312" w:cs="楷体_GB2312" w:hint="eastAsia"/>
          <w:sz w:val="24"/>
          <w:szCs w:val="24"/>
          <w:lang w:eastAsia="zh-CN"/>
        </w:rPr>
        <w:t>五</w:t>
      </w:r>
      <w:r>
        <w:rPr>
          <w:rFonts w:ascii="楷体_GB2312" w:eastAsia="楷体_GB2312" w:hAnsi="楷体_GB2312" w:cs="楷体_GB2312" w:hint="eastAsia"/>
          <w:sz w:val="24"/>
          <w:szCs w:val="24"/>
        </w:rPr>
        <w:t>）门禁设施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本项目中的门禁设施是指中国气象局气象数据中心（和林格尔）大楼及园区内所属的门禁系统主机、控制器、读卡器，人脸识别系统主机、终端，以及配套线缆、交换机等设施。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（六）视频安防监控设施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本项目中的视频安防监控设施是指中国气象局气象数据中心（和林格尔）大楼及园区内所属的视频监控主机、视频监控终端、网络硬盘录像机、视频摄像机及配套网络设施。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（七）动力环境监控设施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本项目中的动力环境监控设施是指中国气象局气象数据中心（和林格尔）大楼及园区内所属的动环监控主机、动环监控终端、串口服务器、嵌入式服务器、前端采集装置及配套网络设施等。</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四、组织要求</w:t>
      </w:r>
    </w:p>
    <w:p>
      <w:pPr>
        <w:adjustRightInd w:val="0"/>
        <w:snapToGrid w:val="0"/>
        <w:spacing w:line="360" w:lineRule="auto"/>
        <w:ind w:firstLine="480" w:firstLineChars="200"/>
        <w:jc w:val="left"/>
        <w:outlineLvl w:val="2"/>
        <w:rPr>
          <w:rFonts w:ascii="楷体_GB2312" w:eastAsia="楷体_GB2312" w:hAnsi="楷体_GB2312" w:cs="楷体_GB2312"/>
        </w:rPr>
      </w:pPr>
      <w:r>
        <w:rPr>
          <w:rFonts w:ascii="楷体_GB2312" w:eastAsia="楷体_GB2312" w:hAnsi="楷体_GB2312" w:cs="楷体_GB2312" w:hint="eastAsia"/>
          <w:sz w:val="24"/>
          <w:szCs w:val="24"/>
        </w:rPr>
        <w:t>（一）总体要求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1.投标人应为具备独立法人的机构</w:t>
      </w:r>
      <w:r>
        <w:rPr>
          <w:rFonts w:ascii="宋体" w:hAnsi="宋体" w:cs="宋体" w:hint="eastAsia"/>
          <w:sz w:val="24"/>
          <w:szCs w:val="24"/>
          <w:lang w:eastAsia="zh-CN"/>
        </w:rPr>
        <w:t>，投标人或组成投标人的联合体应具备从事电力设施、消防设施及物业服务的能力</w:t>
      </w:r>
      <w:r>
        <w:rPr>
          <w:rFonts w:ascii="宋体" w:eastAsia="宋体" w:hAnsi="宋体" w:cs="宋体" w:hint="eastAsia"/>
          <w:sz w:val="24"/>
          <w:szCs w:val="24"/>
        </w:rPr>
        <w:t>。</w:t>
      </w:r>
    </w:p>
    <w:p>
      <w:p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2.投标人应按照招标人要求组建本项目服务团队，负责服务范围内中国气象局气象超算中心（和林格尔）所属相关大楼、园区环境、办公区空调、消防、门禁、视频安防监控等园区设施，机房场地、机房电气（不含超算配套列头柜、PDU及相关电缆等电气设施）、机房暖通空调（不含超算配套暖通设施）、动力环境监控等机房场地环境设施，以及园区物业服务的24小时现场值守、日常巡检、应急处置、日常维护、故障维修、性能试验等运维服务，按照工作职责分别划分为管理团队、值守团队和运维团队，分别标定人员资质要求和岗位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（二）管理团队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管理团队包括本项目专职的项目经理以及具有丰富机房场地环境设施运维服务能力和经验的技术负责人，具体人员资质和岗位要求如下：</w:t>
      </w:r>
    </w:p>
    <w:p>
      <w:pPr>
        <w:numPr>
          <w:ilvl w:val="12"/>
          <w:numId w:val="0"/>
        </w:numPr>
        <w:snapToGrid w:val="0"/>
        <w:spacing w:line="360" w:lineRule="auto"/>
        <w:ind w:firstLine="480" w:firstLineChars="200"/>
        <w:jc w:val="left"/>
        <w:outlineLvl w:val="3"/>
        <w:rPr>
          <w:rFonts w:ascii="宋体" w:eastAsia="宋体" w:hAnsi="宋体" w:cs="宋体"/>
        </w:rPr>
      </w:pPr>
      <w:r>
        <w:rPr>
          <w:rFonts w:ascii="宋体" w:eastAsia="宋体" w:hAnsi="宋体" w:cs="宋体" w:hint="eastAsia"/>
          <w:sz w:val="24"/>
          <w:szCs w:val="24"/>
        </w:rPr>
        <w:t>1.项目经理</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（1）负责值守团队和运维团队的日常组织管理、与采购人的沟通协调、运行维护服务统计总结及服务报告编制等工作。</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sz w:val="24"/>
          <w:szCs w:val="24"/>
          <w:lang w:val="en-US" w:eastAsia="zh-CN"/>
        </w:rPr>
        <w:t>2</w:t>
      </w:r>
      <w:r>
        <w:rPr>
          <w:rFonts w:ascii="宋体" w:eastAsia="宋体" w:hAnsi="宋体" w:cs="宋体" w:hint="eastAsia"/>
          <w:sz w:val="24"/>
          <w:szCs w:val="24"/>
        </w:rPr>
        <w:t>）工作时间内常驻现场，非工作时间根据现场实际需要到岗。</w:t>
      </w:r>
    </w:p>
    <w:p>
      <w:pPr>
        <w:snapToGrid w:val="0"/>
        <w:spacing w:line="360" w:lineRule="auto"/>
        <w:ind w:firstLine="480" w:firstLineChars="200"/>
        <w:jc w:val="left"/>
        <w:outlineLvl w:val="3"/>
        <w:rPr>
          <w:rFonts w:ascii="宋体" w:eastAsia="宋体" w:hAnsi="宋体" w:cs="宋体"/>
        </w:rPr>
      </w:pPr>
      <w:r>
        <w:rPr>
          <w:rFonts w:ascii="宋体" w:eastAsia="宋体" w:hAnsi="宋体" w:cs="宋体" w:hint="eastAsia"/>
          <w:sz w:val="24"/>
          <w:szCs w:val="24"/>
        </w:rPr>
        <w:t>2.技术负责人</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（1）负责巡检制度、运维规程、操作手册、应急预案等文档的编制和修订，负责突发情况的应急处置指挥调度，负责重大故障的分析排查。</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sz w:val="24"/>
          <w:szCs w:val="24"/>
          <w:lang w:val="en-US" w:eastAsia="zh-CN"/>
        </w:rPr>
        <w:t>2</w:t>
      </w:r>
      <w:r>
        <w:rPr>
          <w:rFonts w:ascii="宋体" w:eastAsia="宋体" w:hAnsi="宋体" w:cs="宋体" w:hint="eastAsia"/>
          <w:sz w:val="24"/>
          <w:szCs w:val="24"/>
        </w:rPr>
        <w:t>）根据现场实际需要到岗。</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（二）值守团队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本项目服务要求组建专职的值守团队。值守团队主要负责园区设施、机房场地环境设施、物业服务的24小时现场值守及突发状况的应急处置工作。值守团队人员应具有电气、暖通、消防等设施的值守操作等</w:t>
      </w:r>
      <w:r>
        <w:rPr>
          <w:rFonts w:ascii="宋体" w:eastAsia="宋体" w:hAnsi="宋体" w:cs="宋体" w:hint="eastAsia"/>
          <w:sz w:val="24"/>
          <w:szCs w:val="24"/>
          <w:lang w:eastAsia="zh-CN"/>
        </w:rPr>
        <w:t>资格</w:t>
      </w:r>
      <w:r>
        <w:rPr>
          <w:rFonts w:ascii="宋体" w:eastAsia="宋体" w:hAnsi="宋体" w:cs="宋体" w:hint="eastAsia"/>
          <w:sz w:val="24"/>
          <w:szCs w:val="24"/>
        </w:rPr>
        <w:t>，具体要求如下：</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1.资质要求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（1）消防值守：具有消防设施操作员证书（中级及以上）（消防证）。</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（2）电气值守：具有低压电工作业特种作业操作证（低压证）。</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（3）暖通值守：具有制冷与空调作业特种作业操作证（暖通证）。</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2.岗位要求</w:t>
      </w:r>
    </w:p>
    <w:p>
      <w:p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投标人应按照运维服务内容安排符合资质要求的人员现场值守，其中：</w:t>
      </w:r>
    </w:p>
    <w:p>
      <w:pPr>
        <w:numPr>
          <w:ilvl w:val="0"/>
          <w:numId w:val="6"/>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同时在岗值守人员中，具有消防证人员不少于2人，具有低压证人员不少于2人，具有暖通证人员不少于1人。</w:t>
      </w:r>
    </w:p>
    <w:p>
      <w:pPr>
        <w:numPr>
          <w:ilvl w:val="0"/>
          <w:numId w:val="6"/>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如一人同时具有消防、电气、暖通等多个资质证书，值守时可以按照多个岗位重复计算，但同时在岗值守人员不应少于4人，且满足消防证2人、低压证2人、暖通证1人的在岗值守人员岗位要求。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（三）运维团队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本项目服务要求组建专业的运维团队。运维团队主要负责机房场地环境系统的日常维护、故障维修、性能试验等工作，根据招标人采购需求及国家相关标准规范要求，定期到现场开展大楼、办公区空调、消防、门禁、视频安防监控等园区设施，机房场地、机房电气（不含超算配套列头柜、PDU及相关电缆等电气设施）、机房暖通空调（不含超算配套暖通设施）、动力环境监控等机房场地环境设施，以及园区、大楼、室内环境等定期/不定期保洁、维护保养、故障排查修复及性能试验服务。运维团队人员应具有电气、暖通、消防、弱电等设施的维护、操作、检测等相关资质，具体要求如下：</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1.资质要求</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消防运维：具有开展消防设施维护服务检测</w:t>
      </w:r>
      <w:r>
        <w:rPr>
          <w:rFonts w:ascii="宋体" w:eastAsia="宋体" w:hAnsi="宋体" w:cs="宋体" w:hint="eastAsia"/>
          <w:sz w:val="24"/>
          <w:szCs w:val="24"/>
          <w:lang w:eastAsia="zh-CN"/>
        </w:rPr>
        <w:t>的</w:t>
      </w:r>
      <w:r>
        <w:rPr>
          <w:rFonts w:ascii="宋体" w:eastAsia="宋体" w:hAnsi="宋体" w:cs="宋体" w:hint="eastAsia"/>
          <w:sz w:val="24"/>
          <w:szCs w:val="24"/>
        </w:rPr>
        <w:t>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电气运维：具有开展高压配电系统、低压配电系统、UPS、蓄电池等电气设施维护服务检测的</w:t>
      </w:r>
      <w:r>
        <w:rPr>
          <w:rFonts w:ascii="宋体" w:eastAsia="宋体" w:hAnsi="宋体" w:cs="宋体" w:hint="eastAsia"/>
          <w:sz w:val="24"/>
          <w:szCs w:val="24"/>
          <w:lang w:eastAsia="zh-CN"/>
        </w:rPr>
        <w:t>的资质和</w:t>
      </w:r>
      <w:r>
        <w:rPr>
          <w:rFonts w:ascii="宋体" w:eastAsia="宋体" w:hAnsi="宋体" w:cs="宋体" w:hint="eastAsia"/>
          <w:sz w:val="24"/>
          <w:szCs w:val="24"/>
        </w:rPr>
        <w:t>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暖通运维：具有开展机房机房空调、新风机组、VRV空调等暖通设施维护服务检测</w:t>
      </w:r>
      <w:r>
        <w:rPr>
          <w:rFonts w:ascii="宋体" w:eastAsia="宋体" w:hAnsi="宋体" w:cs="宋体" w:hint="eastAsia"/>
          <w:sz w:val="24"/>
          <w:szCs w:val="24"/>
          <w:lang w:eastAsia="zh-CN"/>
        </w:rPr>
        <w:t>的</w:t>
      </w:r>
      <w:r>
        <w:rPr>
          <w:rFonts w:ascii="宋体" w:eastAsia="宋体" w:hAnsi="宋体" w:cs="宋体" w:hint="eastAsia"/>
          <w:sz w:val="24"/>
          <w:szCs w:val="24"/>
        </w:rPr>
        <w:t>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物业服务：具有承担园区、大楼、室内环境绿化保洁的能力。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门禁、视频安防监控、动力环境监控等设施运维：具有开展弱电设施维护服务检测</w:t>
      </w:r>
      <w:r>
        <w:rPr>
          <w:rFonts w:ascii="宋体" w:eastAsia="宋体" w:hAnsi="宋体" w:cs="宋体" w:hint="eastAsia"/>
          <w:sz w:val="24"/>
          <w:szCs w:val="24"/>
          <w:lang w:eastAsia="zh-CN"/>
        </w:rPr>
        <w:t>的</w:t>
      </w:r>
      <w:r>
        <w:rPr>
          <w:rFonts w:ascii="宋体" w:eastAsia="宋体" w:hAnsi="宋体" w:cs="宋体" w:hint="eastAsia"/>
          <w:sz w:val="24"/>
          <w:szCs w:val="24"/>
        </w:rPr>
        <w:t>能力。</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2.岗位要求</w:t>
      </w:r>
    </w:p>
    <w:p>
      <w:pPr>
        <w:numPr>
          <w:ilvl w:val="0"/>
          <w:numId w:val="8"/>
        </w:numPr>
        <w:adjustRightInd w:val="0"/>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投标人应按照运维服务内容安排符合资质要求的人员组成运维团队，定期或根据实际需求到现场对相关园区设施、机房场地环境设施进行维护保养、故障排查修复及性能试验工作，具体工作内容间服务要求部分。</w:t>
      </w:r>
    </w:p>
    <w:p>
      <w:pPr>
        <w:numPr>
          <w:ilvl w:val="0"/>
          <w:numId w:val="8"/>
        </w:numPr>
        <w:adjustRightInd w:val="0"/>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运维团队人员具有电气、暖通、弱电、消防等设施以及保洁、园区绿化的维护、维修、检测等操作资质、技术能力和运维经验。</w:t>
      </w:r>
    </w:p>
    <w:p>
      <w:pPr>
        <w:adjustRightInd w:val="0"/>
        <w:snapToGrid w:val="0"/>
        <w:spacing w:line="360" w:lineRule="auto"/>
        <w:ind w:firstLine="480" w:firstLineChars="200"/>
        <w:jc w:val="left"/>
        <w:outlineLvl w:val="2"/>
        <w:rPr>
          <w:rFonts w:ascii="楷体_GB2312" w:eastAsia="楷体_GB2312" w:hAnsi="楷体_GB2312" w:cs="楷体_GB2312"/>
        </w:rPr>
      </w:pPr>
      <w:r>
        <w:rPr>
          <w:rFonts w:ascii="楷体_GB2312" w:eastAsia="楷体_GB2312" w:hAnsi="楷体_GB2312" w:cs="楷体_GB2312" w:hint="eastAsia"/>
          <w:sz w:val="24"/>
          <w:szCs w:val="24"/>
        </w:rPr>
        <w:t>（四）其它要求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1.投标人应根据招标人机房场地环境设施实际情况合理制定运行值班、日常巡检、应急处置、故障维修、性能试验等方案计划并严格执行，招标人同步监督、管理投标人执行情况并定期考核。</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2.投标人严格按《保障农民工工资支付条例》（中华人民共和国国务院令第724号）执行，投标人不得拖欠维护人员的工资及劳动报酬。投标人违反此约定的，自行承担全部责任。</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3.投标人与维护人员发生工资及劳动报酬争议或纠纷时，投标人应负责约束其维护人员，不得向招标人索取，也不得做出干扰招标人工作秩序的其他行为；招标人不直接对投标人的人员承担工资及劳动报酬方面的责任或义务。</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五、服务要求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（一）24小时值守</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每班次至少配置2名消防值班岗人员，并按照国家和地方相关规定履行相应的工作职责。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2个电气值班岗位人员，负责通过动力环境监控系统实时监视电气设施运行情况，每天四次巡视电气设施，重点检查低压配电、UPS、蓄电池、机房配电、电缆、PDU等运行情况，按照要求填写巡视记录本，发现异常立即上报并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1个暖通值班岗位人员，负责通过动力环境监控系统实时监视暖通空调设施运行情况，每天四次巡视暖通设施运行情况，重点检查机房空调、新风、辅助机房区VRV空调等运行情况以及各机房区温湿度，按照要求填写巡视记录本，如发现异常立即上报并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1个保安岗位人员，负责园区大楼大门的安全管理，每天四次巡视园区及大楼环境情况，重点检查室外、楼顶等区域与大楼公共区域运行情况，按照要求填写巡视记录本，如发现异常立即上报并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各岗位值班人员均应熟悉所负责相关系统（消防、电气、暖通、弱电、园区物业等）的设施现状、操作规程、应急预案等要求。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现场值班人员同时负责门禁、视频安防监控等设施值守。</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值守期间，如发生机房场地环境设施报警信息，值守人员应按照国家、地方相关法律法规及招标人相关管理规定进行处置，包括但不限于第一时间到达现场查看情况、按照相关流程上报、按照相关应急预案第一时间采取应急处置措施、配合招标人及运维团队进行故障排查维修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如招标人与重大事件需要加强现场值守，投标人应按照招标人要求在增加运维团队人员在现场24小时值守，具体情况招标人根据实际需求提前通知投标人。</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（二）日常维护</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1.园区设施</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Times New Roman" w:hint="eastAsia"/>
          <w:sz w:val="24"/>
          <w:szCs w:val="24"/>
        </w:rPr>
        <w:t>投标人应定期安排技术人员对所属园区及大楼环境（另：外立面清洁）进行一次全面维护，维护内容包括园区设施运行情况检查、绿化存活率情况、公共设施完整性等，对发现的问题及时尽心维护维修。</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Times New Roman" w:hint="eastAsia"/>
          <w:sz w:val="24"/>
          <w:szCs w:val="24"/>
        </w:rPr>
        <w:t>投标人应每年对大楼外立面进行2次整体清洁。</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2.机房场地设施</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Times New Roman" w:hint="eastAsia"/>
          <w:sz w:val="24"/>
          <w:szCs w:val="24"/>
        </w:rPr>
        <w:t>投标人应每年安排技术人员对所属机房场地设施进行一次全面维护，维护内容包括地板平整度检查及调整、门及把手牢固度等。</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3.电气设施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投标人应安排技术人员定期对电气设施进行专项维护，维护内容包括：</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（1）低压配电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每月对低压配电系统进行红外检测，重点检测开关接线端子、母排、电缆接头等；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每年对低压配电系统仪表进行校核；</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每年对低压配电柜进行在线清洁；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每年对低压配电系统绝缘情况进行检测。</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（2）UPS</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每月对UPS进行外观检查；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每月对UPS进风口进行在线清洁；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每年对UPS主机进行电脑检查，确认各部件运行状况良好；</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每年对UPS主机进行停机深度检查，重点检查风扇、电容等。</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（3）蓄电池</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每月清扫蓄电池组表面灰尘；</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每季度对蓄电池进行内阻专项检测；</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每季度对所有蓄电池组进行在线放电测试；</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每年对蓄电池进行深度放电测试。</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（4）列头柜</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每月对列头柜进行红外检测，重点检测开关接线端子、母排、电缆接头等；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每年对列头柜仪表进行校核；</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宋体" w:hint="eastAsia"/>
          <w:sz w:val="24"/>
          <w:szCs w:val="24"/>
        </w:rPr>
        <w:t>每年对列头柜进行在线清洁。</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（5）PDU</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每月对PDU进行红外检测。</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（6）电线电缆</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每年对电缆进行红外温度检测，每根电缆检测位置至少包括两端及中间位置。</w:t>
      </w:r>
    </w:p>
    <w:p>
      <w:pPr>
        <w:adjustRightInd w:val="0"/>
        <w:snapToGrid w:val="0"/>
        <w:spacing w:line="360" w:lineRule="auto"/>
        <w:ind w:left="420" w:leftChars="200"/>
        <w:rPr>
          <w:rFonts w:ascii="宋体" w:eastAsia="宋体" w:hAnsi="宋体" w:cs="宋体"/>
        </w:rPr>
      </w:pPr>
      <w:r>
        <w:rPr>
          <w:rFonts w:ascii="宋体" w:eastAsia="宋体" w:hAnsi="宋体" w:cs="宋体" w:hint="eastAsia"/>
          <w:sz w:val="24"/>
          <w:szCs w:val="24"/>
        </w:rPr>
        <w:t>（7）办公配电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每季度检查办公配电设施运行情况；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每年清扫相关办公配电设施；</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每年对办公配电设施进行红外检测。</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3.暖通设施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投标人应安排技术人员定期对相关暖通设施进行专项维护，维护内容包括：</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（1）机房空调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每季度更换所有空调过滤器；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每季度更换空调室内风机皮带；</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每半年对所有空调进行全方位检查并出具检查报告；</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每半年对空调冷凝器进行一次停机深度清洁；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每半年检查一次空调冷凝水管道，确保畅通；</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每半年更换一次空调加湿罐；</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（2）VRV空调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每月清洁空调送风口；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每年对空调进行全方位检查；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根据实际需求不定期冲洗空调冷凝器。</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（3）新风</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每月更换新风过滤器；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每年对新风系统进行全方位检查；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根据实际需求不定期冲洗新风冷凝器。</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（4）办公区空调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每月清洁空调送风口；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每年对空调进行全方位检查；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根据实际需求不定期冲洗空调冷凝器。</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4.消防设施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投标人应安排技术人员定期对消防设施进行专项维护，维护内容包括：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按照国家及省、市有关消防维保法规、规范性文件要求制定维护方案，按照方案进行消防设备设施周、月、季、年度维护工作；</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5.门禁设施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投标人应安排技术人员定期对门禁设施进行专项维护，维护内容包括：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负责门禁系统日常授权并做好授权记录；</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每月检查一次门禁读卡器运行状态；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每季度对门禁授权数据进行备份；</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每半年对门禁授权情况进行梳理统计并报招标人核实确认；</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每年对门禁系统进行一次全方位检查并出具检查报告；</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不定期对门禁控制系统进行软件升级及漏洞修复，满足招标人的各项安全要求。</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6.视频安防监控设施</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投标人应安排技术人员定期对视频安防监控设施进行专项维护，维护内容包括：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每月检查一次视频安防监控设施运行情况；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每季度对室外视频安防监控设施运行情况进行专项检查，重点检查管路密闭、线路老化、设施防水等；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不定期对视频安防监控系统进行软件升级和漏洞修复，满足招标人的各项安全要求。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每年对视频安防监控系统进行一次全方位检查并出具检查报告。</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7.动力环境监控设施</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投标人应安排技术人员定期对动力环境监控设施进行专项维护，维护内容包括：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每月检查一次动力环境监控设施运行情况；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每月对动力环境监控系统报警功能进行抽检；</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每月对能耗、能效等指标进行梳理统计；</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每半年对动力环境监控设施进行精度校核；</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不定期对动力环境监控系统进行软件升级和漏洞修复，满足招标人的各项安全要求。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每年对动力环境监控系统进行一次全方位检查并出具检查报告。</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（三）应急处置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投标人负责服务范围内所有设施突发紧急情况时的应急处置工作，包括但不限于应急操作、故障排查、故障分析、故障修复等工作，故障处置流程应符合国地方及招标人相关规定。</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24小时值班人员具备突发紧急情况的处置资质和能力，可以直接按照相关规定和流程开展各类突发情况的应急处置工作；如24小时值守人员无法满足突发紧急情况的处置要求或能力，投标人应第一时间安排技术力量到现场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突发紧急情况采取分级管理模式，分为一级、二级、三级。三级为1天内不会影响招标人实时业务系统正常运行的突发紧急情况，投标人应及时向招标人报备，并合理安排人员和物资尽快处置；二级为30分钟内不会影响招标人实时业务系统正常运行的突发紧急情况，投标人应第一时间通知招标人并在招标人确认后开展处置工作；一级为30分钟内或已经影响实时业务系统正常运行的突发紧急情况，投标人应第一时间通知招标人并立即开展处置工作。</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如突发紧急情况短时间内即会影响招标人实时业务系统正常运行，投标人应在第一时间组织人员和物资进行突发紧急情况处置。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投标人应确保服务范围内所有机房场地环境设施的100%可用性，以不应影响招标人实时业务系统正常运行作为评判标准。</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（四）故障维修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投标人负责服务范围内所有设施故障维修工作，包括各类易耗品（包括但不限于</w:t>
      </w:r>
      <w:r>
        <w:rPr>
          <w:rFonts w:ascii="宋体" w:eastAsia="宋体" w:hAnsi="宋体" w:cs="宋体"/>
          <w:sz w:val="24"/>
          <w:szCs w:val="24"/>
        </w:rPr>
        <w:t>物业相关消耗品、</w:t>
      </w:r>
      <w:r>
        <w:rPr>
          <w:rFonts w:ascii="宋体" w:eastAsia="宋体" w:hAnsi="宋体" w:cs="宋体" w:hint="eastAsia"/>
          <w:sz w:val="24"/>
          <w:szCs w:val="24"/>
        </w:rPr>
        <w:t>空调过滤器、U</w:t>
      </w:r>
      <w:r>
        <w:rPr>
          <w:rFonts w:ascii="宋体" w:eastAsia="宋体" w:hAnsi="宋体" w:cs="宋体"/>
          <w:sz w:val="24"/>
          <w:szCs w:val="24"/>
        </w:rPr>
        <w:t>PS滤网、</w:t>
      </w:r>
      <w:r>
        <w:rPr>
          <w:rFonts w:ascii="宋体" w:eastAsia="宋体" w:hAnsi="宋体" w:cs="宋体" w:hint="eastAsia"/>
          <w:sz w:val="24"/>
          <w:szCs w:val="24"/>
        </w:rPr>
        <w:t>空调加湿罐、维护保养消耗品等）、备品备件、技术服务、更换设备/部件更换等全部费用。投标人承担的高压配电、低压配电、UPS、蓄电池、机房空调、新风机组、VRV空调等故障部件硬件费用不超过设备价格（以招标人采购价格为准）的20%，超过部分招标人承担相关费用。其它设施投标人承担全部软硬件费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服务范围内设施发生故障后，投标人应在30分钟完成故障应急处置，24小时内完成维修。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投标人应根据服务范围内设施情况在现场提前配置各类易耗品和备品备件，易耗品及备品备件明细在投标文件中提供清单。</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（五）其它要求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运行维护服务过程中，如有其它未尽事宜，投标人应按照招标人要求实施并承担相关费用。如因此产生额外费用，费用总额未超过投标报价总额的10%投标人承担相关费用；如费用总额超过投标报价总额的10%，超出部分由招标人承担相关费用。</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59"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Calibri" w:hAnsi="Calibri" w:cs="微软雅黑" w:hint="eastAsia"/>
                <w:kern w:val="0"/>
                <w:szCs w:val="21"/>
                <w:highlight w:val="none"/>
              </w:rPr>
            </w:pPr>
            <w:r>
              <w:rPr>
                <w:rFonts w:ascii="Calibri" w:eastAsia="宋体" w:hAnsi="Calibri" w:cs="微软雅黑" w:hint="eastAsia"/>
                <w:kern w:val="0"/>
                <w:szCs w:val="21"/>
                <w:highlight w:val="none"/>
              </w:rPr>
              <w:t>投标人应具有以下有效期超过投标截止日的资质：</w:t>
            </w:r>
          </w:p>
          <w:p>
            <w:pPr>
              <w:tabs>
                <w:tab w:val="left" w:pos="709"/>
              </w:tabs>
              <w:spacing w:line="360" w:lineRule="auto"/>
              <w:jc w:val="left"/>
              <w:rPr>
                <w:rFonts w:ascii="宋体" w:hAnsi="宋体"/>
                <w:sz w:val="18"/>
                <w:szCs w:val="18"/>
                <w:highlight w:val="none"/>
              </w:rPr>
            </w:pPr>
            <w:r>
              <w:rPr>
                <w:rFonts w:ascii="宋体" w:hAnsi="宋体" w:cs="微软雅黑" w:hint="eastAsia"/>
                <w:kern w:val="0"/>
                <w:szCs w:val="21"/>
                <w:highlight w:val="none"/>
              </w:rPr>
              <w:t>1、承装（修、试）电力设施许可证三级及以上；2、在社会消防技术服务信息系统备案且备案内容至少包含消防设施维护保养检测。（以上1、2需提供加盖投标人公章的证明材料）</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10"/>
        </w:numPr>
        <w:spacing w:line="360" w:lineRule="auto"/>
        <w:ind w:firstLine="3066" w:firstLineChars="1460"/>
        <w:jc w:val="left"/>
        <w:rPr>
          <w:rFonts w:ascii="Times New Roman" w:eastAsia="宋体" w:hAnsi="Times New Roman" w:cs="Times New Roman" w:hint="eastAsia"/>
          <w:b/>
          <w:bCs/>
          <w:szCs w:val="21"/>
          <w:highlight w:val="none"/>
        </w:rPr>
      </w:pPr>
      <w:bookmarkStart w:id="60"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11"/>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11"/>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11"/>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2、合同生效后付款：双方签署合同后7个工作日内，甲方向乙方支付合同总金额的</w:t>
      </w:r>
      <w:r>
        <w:rPr>
          <w:rFonts w:ascii="宋体" w:eastAsia="宋体" w:hAnsi="宋体" w:cs="微软雅黑" w:hint="eastAsia"/>
          <w:b/>
          <w:color w:val="0000FF"/>
          <w:kern w:val="0"/>
          <w:szCs w:val="21"/>
          <w:highlight w:val="none"/>
          <w:lang w:val="en-US" w:eastAsia="zh-CN"/>
        </w:rPr>
        <w:t>60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w:t>
      </w:r>
      <w:r>
        <w:rPr>
          <w:rFonts w:ascii="宋体" w:eastAsia="宋体" w:hAnsi="宋体" w:cs="Times New Roman" w:hint="eastAsia"/>
          <w:szCs w:val="21"/>
          <w:highlight w:val="none"/>
          <w:lang w:eastAsia="zh-CN"/>
        </w:rPr>
        <w:t>试用期满后</w:t>
      </w:r>
      <w:r>
        <w:rPr>
          <w:rFonts w:ascii="宋体" w:eastAsia="宋体" w:hAnsi="宋体" w:cs="Times New Roman" w:hint="eastAsia"/>
          <w:szCs w:val="21"/>
          <w:highlight w:val="none"/>
        </w:rPr>
        <w:t>付款：</w:t>
      </w:r>
      <w:r>
        <w:rPr>
          <w:rFonts w:ascii="宋体" w:eastAsia="宋体" w:hAnsi="宋体" w:cs="Times New Roman" w:hint="eastAsia"/>
          <w:szCs w:val="21"/>
          <w:highlight w:val="none"/>
          <w:lang w:eastAsia="zh-CN"/>
        </w:rPr>
        <w:t>试用期结束且乙方通过甲方试用期考核</w:t>
      </w:r>
      <w:r>
        <w:rPr>
          <w:rFonts w:ascii="宋体" w:eastAsia="宋体" w:hAnsi="宋体" w:cs="Times New Roman" w:hint="eastAsia"/>
          <w:szCs w:val="21"/>
          <w:highlight w:val="none"/>
        </w:rPr>
        <w:t>后7个工作日内，甲方向乙方支付合同总金额的</w:t>
      </w:r>
      <w:r>
        <w:rPr>
          <w:rFonts w:ascii="宋体" w:eastAsia="宋体" w:hAnsi="宋体" w:cs="Times New Roman" w:hint="eastAsia"/>
          <w:color w:val="0000FF"/>
          <w:szCs w:val="21"/>
          <w:highlight w:val="none"/>
          <w:lang w:val="en-US" w:eastAsia="zh-CN"/>
        </w:rPr>
        <w:t>30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元（小写）； </w:t>
      </w:r>
    </w:p>
    <w:p>
      <w:pPr>
        <w:tabs>
          <w:tab w:val="left" w:pos="1573"/>
        </w:tabs>
        <w:adjustRightInd w:val="0"/>
        <w:snapToGrid w:val="0"/>
        <w:spacing w:line="360" w:lineRule="auto"/>
        <w:ind w:firstLine="420" w:firstLineChars="200"/>
        <w:jc w:val="left"/>
        <w:rPr>
          <w:rFonts w:ascii="Times New Roman" w:eastAsia="宋体" w:hAnsi="宋体" w:cs="Times New Roman"/>
          <w:kern w:val="0"/>
          <w:szCs w:val="20"/>
          <w:highlight w:val="none"/>
        </w:rPr>
      </w:pPr>
      <w:r>
        <w:rPr>
          <w:rFonts w:ascii="宋体" w:eastAsia="宋体" w:hAnsi="宋体" w:cs="Times New Roman" w:hint="eastAsia"/>
          <w:szCs w:val="21"/>
          <w:highlight w:val="none"/>
        </w:rPr>
        <w:t>4、</w:t>
      </w:r>
      <w:r>
        <w:rPr>
          <w:rFonts w:ascii="宋体" w:eastAsia="宋体" w:hAnsi="宋体" w:cs="Times New Roman" w:hint="eastAsia"/>
          <w:szCs w:val="21"/>
          <w:highlight w:val="none"/>
          <w:lang w:eastAsia="zh-CN"/>
        </w:rPr>
        <w:t>合同期满结束后</w:t>
      </w:r>
      <w:r>
        <w:rPr>
          <w:rFonts w:ascii="宋体" w:eastAsia="宋体" w:hAnsi="宋体" w:cs="Times New Roman" w:hint="eastAsia"/>
          <w:szCs w:val="21"/>
          <w:highlight w:val="none"/>
        </w:rPr>
        <w:t>付款：</w:t>
      </w:r>
      <w:r>
        <w:rPr>
          <w:rFonts w:ascii="宋体" w:eastAsia="宋体" w:hAnsi="宋体" w:cs="Times New Roman" w:hint="eastAsia"/>
          <w:szCs w:val="21"/>
          <w:highlight w:val="none"/>
          <w:lang w:eastAsia="zh-CN"/>
        </w:rPr>
        <w:t>合同</w:t>
      </w:r>
      <w:r>
        <w:rPr>
          <w:rFonts w:ascii="宋体" w:eastAsia="宋体" w:hAnsi="宋体" w:cs="Times New Roman" w:hint="eastAsia"/>
          <w:szCs w:val="21"/>
          <w:highlight w:val="none"/>
        </w:rPr>
        <w:t>期满</w:t>
      </w:r>
      <w:r>
        <w:rPr>
          <w:rFonts w:ascii="宋体" w:eastAsia="宋体" w:hAnsi="宋体" w:cs="Times New Roman" w:hint="eastAsia"/>
          <w:szCs w:val="21"/>
          <w:highlight w:val="none"/>
          <w:lang w:eastAsia="zh-CN"/>
        </w:rPr>
        <w:t>结</w:t>
      </w:r>
      <w:r>
        <w:rPr>
          <w:rFonts w:ascii="宋体" w:eastAsia="宋体" w:hAnsi="宋体" w:cs="Times New Roman" w:hint="eastAsia"/>
          <w:szCs w:val="21"/>
          <w:highlight w:val="none"/>
          <w:lang w:eastAsia="zh-CN"/>
        </w:rPr>
        <w:t>束</w:t>
      </w:r>
      <w:r>
        <w:rPr>
          <w:rFonts w:ascii="宋体" w:eastAsia="宋体" w:hAnsi="宋体" w:cs="Times New Roman" w:hint="eastAsia"/>
          <w:szCs w:val="21"/>
          <w:highlight w:val="none"/>
        </w:rPr>
        <w:t>后7个工作日内，甲方向乙方支付合同总金额的</w:t>
      </w:r>
      <w:r>
        <w:rPr>
          <w:rFonts w:ascii="宋体" w:eastAsia="宋体" w:hAnsi="宋体" w:cs="Times New Roman" w:hint="eastAsia"/>
          <w:color w:val="0000FF"/>
          <w:szCs w:val="21"/>
          <w:highlight w:val="none"/>
          <w:lang w:val="en-US" w:eastAsia="zh-CN"/>
        </w:rPr>
        <w:t>10</w:t>
      </w:r>
      <w:r>
        <w:rPr>
          <w:rFonts w:ascii="宋体" w:eastAsia="宋体" w:hAnsi="宋体" w:cs="微软雅黑" w:hint="eastAsia"/>
          <w:b/>
          <w:color w:val="0000FF"/>
          <w:kern w:val="0"/>
          <w:szCs w:val="21"/>
          <w:highlight w:val="none"/>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spacing w:line="360" w:lineRule="auto"/>
        <w:ind w:firstLine="3066" w:firstLineChars="1460"/>
        <w:jc w:val="left"/>
        <w:rPr>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方正书宋_GBK"/>
    <w:panose1 w:val="02010600030101010101"/>
    <w:charset w:val="86"/>
    <w:family w:val="auto"/>
    <w:pitch w:val="default"/>
    <w:sig w:usb0="00000203" w:usb1="288F0000" w:usb2="00000006" w:usb3="00000000" w:csb0="00040001" w:csb1="00000000"/>
  </w:font>
  <w:font w:name="Arial">
    <w:altName w:val="DejaVu Sans"/>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altName w:val="黑体"/>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altName w:val="DejaVu Sans"/>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DejaVu Sans"/>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altName w:val="方正楷体_GBK"/>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Noto Sans Syriac Eastern">
    <w:panose1 w:val="02040503050306020203"/>
    <w:charset w:val="86"/>
    <w:family w:val="auto"/>
    <w:pitch w:val="default"/>
    <w:sig w:usb0="00000000" w:usb1="00000000" w:usb2="00000080" w:usb3="00000000" w:csb0="203E0161" w:csb1="D7FF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DDEEE959"/>
    <w:multiLevelType w:val="singleLevel"/>
    <w:tmpl w:val="DDEEE959"/>
    <w:lvl w:ilvl="0">
      <w:start w:val="1"/>
      <w:numFmt w:val="decimal"/>
      <w:suff w:val="nothing"/>
      <w:lvlText w:val="（%1）"/>
      <w:lvlJc w:val="left"/>
    </w:lvl>
  </w:abstractNum>
  <w:abstractNum w:abstractNumId="3">
    <w:nsid w:val="F677FC82"/>
    <w:multiLevelType w:val="singleLevel"/>
    <w:tmpl w:val="F677FC82"/>
    <w:lvl w:ilvl="0">
      <w:start w:val="1"/>
      <w:numFmt w:val="bullet"/>
      <w:lvlText w:val=""/>
      <w:lvlJc w:val="left"/>
      <w:pPr>
        <w:ind w:left="420" w:hanging="420"/>
      </w:pPr>
      <w:rPr>
        <w:rFonts w:ascii="Wingdings" w:hAnsi="Wingdings" w:hint="default"/>
      </w:rPr>
    </w:lvl>
  </w:abstractNum>
  <w:abstractNum w:abstractNumId="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6">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5FF24B22"/>
    <w:multiLevelType w:val="singleLevel"/>
    <w:tmpl w:val="5FF24B22"/>
    <w:lvl w:ilvl="0">
      <w:start w:val="1"/>
      <w:numFmt w:val="decimal"/>
      <w:suff w:val="nothing"/>
      <w:lvlText w:val="（%1）"/>
      <w:lvlJc w:val="left"/>
    </w:lvl>
  </w:abstractNum>
  <w:abstractNum w:abstractNumId="10">
    <w:nsid w:val="7A8FF37D"/>
    <w:multiLevelType w:val="singleLevel"/>
    <w:tmpl w:val="7A8FF37D"/>
    <w:lvl w:ilvl="0">
      <w:start w:val="1"/>
      <w:numFmt w:val="decimal"/>
      <w:lvlText w:val="(%1)"/>
      <w:lvlJc w:val="left"/>
      <w:pPr>
        <w:ind w:left="425" w:hanging="425"/>
      </w:pPr>
      <w:rPr>
        <w:rFonts w:hint="default"/>
      </w:rPr>
    </w:lvl>
  </w:abstractNum>
  <w:abstractNum w:abstractNumId="11">
    <w:nsid w:val="7EB88DB4"/>
    <w:multiLevelType w:val="singleLevel"/>
    <w:tmpl w:val="7EB88DB4"/>
    <w:lvl w:ilvl="0">
      <w:start w:val="1"/>
      <w:numFmt w:val="bullet"/>
      <w:lvlText w:val=""/>
      <w:lvlJc w:val="left"/>
      <w:pPr>
        <w:ind w:left="420" w:hanging="420"/>
      </w:pPr>
      <w:rPr>
        <w:rFonts w:ascii="Wingdings" w:hAnsi="Wingdings" w:hint="default"/>
      </w:rPr>
    </w:lvl>
  </w:abstractNum>
  <w:abstractNum w:abstractNumId="12">
    <w:nsid w:val="7F7F48C5"/>
    <w:multiLevelType w:val="singleLevel"/>
    <w:tmpl w:val="7F7F48C5"/>
    <w:lvl w:ilvl="0">
      <w:start w:val="1"/>
      <w:numFmt w:val="decimal"/>
      <w:suff w:val="nothing"/>
      <w:lvlText w:val="（%1）"/>
      <w:lvlJc w:val="left"/>
    </w:lvl>
  </w:abstractNum>
  <w:num w:numId="1">
    <w:abstractNumId w:val="5"/>
  </w:num>
  <w:num w:numId="2">
    <w:abstractNumId w:val="4"/>
  </w:num>
  <w:num w:numId="3">
    <w:abstractNumId w:val="6"/>
  </w:num>
  <w:num w:numId="4">
    <w:abstractNumId w:val="10"/>
  </w:num>
  <w:num w:numId="5">
    <w:abstractNumId w:val="11"/>
  </w:num>
  <w:num w:numId="6">
    <w:abstractNumId w:val="12"/>
  </w:num>
  <w:num w:numId="7">
    <w:abstractNumId w:val="9"/>
  </w:num>
  <w:num w:numId="8">
    <w:abstractNumId w:val="2"/>
  </w:num>
  <w:num w:numId="9">
    <w:abstractNumId w:val="3"/>
  </w:num>
  <w:num w:numId="10">
    <w:abstractNumId w:val="1"/>
  </w:num>
  <w:num w:numId="11">
    <w:abstractNumId w:val="0"/>
  </w:num>
  <w:num w:numId="12">
    <w:abstractNumId w:val="7"/>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157263360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2025-08-12T01:56:21Z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