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海南省人工影响天气水资源保障工程项目火箭发射装置升级更新项目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ZQCD-26037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海南省人工影响天气水资源保障工程项目火箭发射装置升级更新项目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ZQCD-26037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海南省内用户指定地点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2026年04月17日 00:00:00</w:t>
      </w:r>
      <w:bookmarkEnd w:id="26"/>
      <w:r>
        <w:rPr>
          <w:rFonts w:ascii="宋体" w:hint="eastAsia"/>
          <w:szCs w:val="21"/>
          <w:highlight w:val="none"/>
        </w:rPr>
        <w:t>至</w:t>
      </w:r>
      <w:bookmarkStart w:id="27" w:name="项目公告_signUpLastTime"/>
      <w:r>
        <w:rPr>
          <w:rFonts w:ascii="宋体" w:hint="eastAsia"/>
          <w:szCs w:val="21"/>
          <w:highlight w:val="none"/>
        </w:rPr>
        <w:t>2026年04月24日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2026年05月12日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王泓宇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0898-68606962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海南省海口市秀英区南海大道286号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海南省海口市气象局；海南省三亚市气象局；海南省儋州市气象局；海南省文昌市气象局；海南省琼海市气象局；海南省万宁市气象局；海南省五指山市气象局；海南省东方市气象局；海南省临高县气象局；海南省澄迈县气象局；海南省定安县气象局；海南省屯昌县气象局；海南省昌江黎族自治县气象局；海南省白沙黎族自治县气象局；海南省琼中黎族苗族自治县气象局；海南省陵水黎族自治县气象局；海南省保亭黎族苗族自治县气象局；海南省乐东黎族自治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r>
              <w:rPr>
                <w:rFonts w:asciiTheme="minorEastAsia" w:eastAsiaTheme="minorEastAsia" w:hAnsiTheme="minorEastAsia" w:cstheme="minorEastAsia" w:hint="eastAsia"/>
                <w:kern w:val="0"/>
                <w:szCs w:val="21"/>
                <w:highlight w:val="none"/>
              </w:rPr>
              <w:t>不允许（仅针对以下产品：所有产品不允许代理商投标）</w:t>
            </w:r>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0" w:name="进口产品_agentMaterials"/>
            <w:r>
              <w:rPr>
                <w:rFonts w:ascii="宋体" w:hAnsi="宋体" w:cs="微软雅黑" w:hint="eastAsia"/>
                <w:kern w:val="0"/>
                <w:szCs w:val="21"/>
                <w:highlight w:val="none"/>
              </w:rPr>
              <w:t>无</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1" w:name="是否设有核心产品_coreFlagText"/>
            <w:r>
              <w:rPr>
                <w:rFonts w:asciiTheme="minorEastAsia" w:eastAsiaTheme="minorEastAsia" w:hAnsiTheme="minorEastAsia" w:cstheme="minorEastAsia" w:hint="eastAsia"/>
                <w:kern w:val="0"/>
                <w:szCs w:val="21"/>
                <w:highlight w:val="none"/>
              </w:rPr>
              <w:t>设有，核心产品为人工影响天气火箭发射装置</w:t>
            </w:r>
            <w:bookmarkEnd w:id="41"/>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2" w:name="联合体投标_jointFlagText"/>
            <w:r>
              <w:rPr>
                <w:rFonts w:ascii="宋体" w:hAnsi="宋体" w:cs="微软雅黑" w:hint="eastAsia"/>
                <w:kern w:val="0"/>
                <w:szCs w:val="21"/>
                <w:highlight w:val="none"/>
              </w:rPr>
              <w:t>不允许</w:t>
            </w:r>
            <w:bookmarkEnd w:id="42"/>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3" w:name="许可证_exclusiveLicenseFlagText"/>
            <w:r>
              <w:rPr>
                <w:rFonts w:asciiTheme="minorEastAsia" w:eastAsiaTheme="minorEastAsia" w:hAnsiTheme="minorEastAsia" w:cstheme="minorEastAsia" w:hint="eastAsia"/>
                <w:kern w:val="0"/>
                <w:szCs w:val="21"/>
                <w:highlight w:val="none"/>
              </w:rPr>
              <w:t>不必须</w:t>
            </w:r>
            <w:bookmarkEnd w:id="43"/>
            <w:bookmarkStart w:id="44" w:name="_GoBack"/>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自动化火箭发射系统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kern w:val="0"/>
                <w:szCs w:val="21"/>
                <w:highlight w:val="none"/>
              </w:rPr>
            </w:pPr>
            <w:r>
              <w:rPr>
                <w:rFonts w:hint="eastAsia"/>
                <w:kern w:val="0"/>
                <w:szCs w:val="21"/>
                <w:highlight w:val="none"/>
                <w:lang w:val="en-US" w:eastAsia="zh-CN"/>
              </w:rPr>
              <w:t>否</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r>
              <w:rPr>
                <w:rFonts w:asciiTheme="minorEastAsia" w:hAnsiTheme="minorEastAsia" w:cstheme="minorEastAsia" w:hint="eastAsia"/>
                <w:kern w:val="0"/>
                <w:szCs w:val="21"/>
                <w:highlight w:val="none"/>
                <w:lang w:val="en-US" w:eastAsia="zh-CN"/>
              </w:rPr>
              <w:t>否</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49" w:name="预算金额_budgetAmount"/>
            <w:r>
              <w:rPr>
                <w:rFonts w:ascii="宋体" w:hAnsi="宋体" w:cs="微软雅黑" w:hint="eastAsia"/>
                <w:kern w:val="0"/>
                <w:szCs w:val="21"/>
                <w:highlight w:val="none"/>
              </w:rPr>
              <w:t>449.600000</w:t>
            </w:r>
            <w:bookmarkEnd w:id="49"/>
            <w:r>
              <w:rPr>
                <w:rFonts w:ascii="宋体" w:hAnsi="宋体" w:cs="微软雅黑" w:hint="eastAsia"/>
                <w:kern w:val="0"/>
                <w:szCs w:val="21"/>
                <w:highlight w:val="none"/>
              </w:rPr>
              <w:t>万元</w:t>
            </w:r>
            <w:bookmarkStart w:id="50" w:name="预算明细_packMoneyDetail"/>
            <w:r>
              <w:rPr>
                <w:rFonts w:hint="eastAsia"/>
                <w:szCs w:val="21"/>
                <w:highlight w:val="none"/>
              </w:rPr>
              <w:t>,包 1 采购预算(或最高限价)为人民币 449.600000 万元</w:t>
            </w:r>
            <w:bookmarkEnd w:id="50"/>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highlight w:val="none"/>
              </w:rPr>
              <w:t>不允许</w:t>
            </w:r>
            <w:bookmarkEnd w:id="51"/>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2" w:name="投标有效期_bidExpirationDate"/>
            <w:r>
              <w:rPr>
                <w:rFonts w:ascii="宋体" w:hAnsi="宋体" w:cs="微软雅黑" w:hint="eastAsia"/>
                <w:kern w:val="0"/>
                <w:szCs w:val="21"/>
                <w:highlight w:val="none"/>
              </w:rPr>
              <w:t>120日历天</w:t>
            </w:r>
            <w:bookmarkEnd w:id="52"/>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3" w:name="进行述标_describeStandardFlagText"/>
            <w:r>
              <w:rPr>
                <w:rFonts w:ascii="宋体" w:hAnsi="宋体" w:cs="微软雅黑" w:hint="eastAsia"/>
                <w:kern w:val="0"/>
                <w:szCs w:val="21"/>
                <w:highlight w:val="none"/>
              </w:rPr>
              <w:t>否</w:t>
            </w:r>
            <w:bookmarkEnd w:id="53"/>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4" w:name="其他事项_ottherReemarks"/>
            <w:r>
              <w:rPr>
                <w:rFonts w:ascii="宋体" w:hAnsi="宋体" w:hint="eastAsia"/>
                <w:szCs w:val="21"/>
                <w:highlight w:val="none"/>
              </w:rPr>
              <w:t>无</w:t>
            </w:r>
            <w:bookmarkEnd w:id="54"/>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5"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1"/>
        <w:gridCol w:w="296"/>
        <w:gridCol w:w="1222"/>
        <w:gridCol w:w="296"/>
        <w:gridCol w:w="70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投标人、投标产品非强制资质要求（客观分）</w:t>
            </w:r>
          </w:p>
        </w:tc>
        <w:tc>
          <w:tcPr/>
          <w:p>
            <w:r>
              <w:t>勾选打分</w:t>
            </w:r>
            <w:r>
              <w:t>(6)</w:t>
            </w:r>
          </w:p>
        </w:tc>
        <w:tc>
          <w:tcPr/>
          <w:p>
            <w:r>
              <w:t>评审标准：</w:t>
            </w:r>
          </w:p>
          <w:p>
            <w:r>
              <w:t xml:space="preserve">1、投标人同时具有信息安全管理体系认证证书和信息技术服务管理体系认证证书得2分，否则不得分。 </w:t>
              <w:cr/>
              <w:t xml:space="preserve">2、投标产品生产商具有有效期内的民用爆炸物品安全生产许可证，得2分，否则不得分。 </w:t>
              <w:cr/>
              <w:t>3、投标人具有有效期内的道路危险货物运输许可证得2分，否则不得分。</w:t>
            </w:r>
          </w:p>
          <w:p>
            <w:r>
              <w:t>评审标准说明：</w:t>
            </w:r>
          </w:p>
          <w:p>
            <w:r>
              <w:t>以上需提供有效期内的认证证书复印件并加盖投标人公章。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销售合同必须包括火箭发射装置，每提供1份合同得1分，最多得5分。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w:t>
            </w:r>
          </w:p>
        </w:tc>
        <w:tc>
          <w:tcPr/>
          <w:p>
            <w:r>
              <w:t>勾选打分</w:t>
            </w:r>
            <w:r>
              <w:t>(6)</w:t>
            </w:r>
          </w:p>
        </w:tc>
        <w:tc>
          <w:tcPr/>
          <w:p>
            <w:r>
              <w:t>评审标准：</w:t>
            </w:r>
          </w:p>
          <w:p>
            <w:r>
              <w:t>针对火箭发射装置，每提供 1 份用户证明材料得3分，最多得6分。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根据投标人提供的售后服务方案评分。方案至少包括具体的售后服务内容、售后服务机构设置、故障响应时效方式、详细的产品维护方案等方面。具体评分标准如下：</w:t>
              <w:cr/>
              <w:t>一档：未提供；</w:t>
              <w:cr/>
              <w:t>二档：方案所包含的要点有缺漏或内容存在错误；</w:t>
              <w:cr/>
              <w:t>三档：方案所包含的要点齐全、内容与要点相符，但仅有纲要内容简略，未展开阐述，针对性差；</w:t>
              <w:cr/>
              <w:t>四档：方案包含的要点齐全无缺漏项、内容与要点相符、内容完善，针对性强，完全满足招标文件要求。</w:t>
            </w:r>
          </w:p>
          <w:p/>
        </w:tc>
      </w:tr>
      <w:tr>
        <w:tblPrEx>
          <w:tblW w:w="5000" w:type="pct"/>
          <w:tblCellMar>
            <w:left w:w="108" w:type="dxa"/>
            <w:right w:w="108" w:type="dxa"/>
          </w:tblCellMar>
        </w:tblPrEx>
        <w:tc>
          <w:tcPr/>
          <w:p>
            <w:r>
              <w:t>6</w:t>
            </w:r>
          </w:p>
        </w:tc>
        <w:tc>
          <w:tcPr>
            <w:vMerge/>
          </w:tcPr>
          <w:p>
            <w:r>
              <w:t>服务部分</w:t>
            </w:r>
          </w:p>
        </w:tc>
        <w:tc>
          <w:tcPr/>
          <w:p>
            <w:r>
              <w:t>装备年检方案（客观分）</w:t>
            </w:r>
          </w:p>
        </w:tc>
        <w:tc>
          <w:tcPr/>
          <w:p>
            <w:r>
              <w:t>勾选打分</w:t>
            </w:r>
            <w:r>
              <w:t>(4)</w:t>
            </w:r>
          </w:p>
        </w:tc>
        <w:tc>
          <w:tcPr/>
          <w:p>
            <w:r>
              <w:t>评审标准：</w:t>
            </w:r>
          </w:p>
          <w:p>
            <w:r>
              <w:t>提供装备年检方案应包含：年检计划、年检路线、年检内容、年检相关费用说明等内容，每提供1项得1分，满分4分。</w:t>
            </w:r>
          </w:p>
          <w:p>
            <w:r>
              <w:t>评审标准说明：</w:t>
            </w:r>
          </w:p>
          <w:p>
            <w:r>
              <w:t>根据投标人提供装备年检方案进行评分。方案内容完善且能够适用于本项目，并加盖投标人公章。</w:t>
            </w:r>
          </w:p>
          <w:p/>
        </w:tc>
      </w:tr>
      <w:tr>
        <w:tblPrEx>
          <w:tblW w:w="5000" w:type="pct"/>
          <w:tblCellMar>
            <w:left w:w="108" w:type="dxa"/>
            <w:right w:w="108" w:type="dxa"/>
          </w:tblCellMar>
        </w:tblPrEx>
        <w:tc>
          <w:tcPr/>
          <w:p>
            <w:r>
              <w:t>7</w:t>
            </w:r>
          </w:p>
        </w:tc>
        <w:tc>
          <w:tcPr>
            <w:vMerge/>
          </w:tcPr>
          <w:p>
            <w:r>
              <w:t>服务部分</w:t>
            </w:r>
          </w:p>
        </w:tc>
        <w:tc>
          <w:tcPr/>
          <w:p>
            <w:r>
              <w:t>质保及不合格货物处理方案（主观分）</w:t>
            </w:r>
          </w:p>
        </w:tc>
        <w:tc>
          <w:tcPr/>
          <w:p>
            <w:r>
              <w:t>勾选打分</w:t>
            </w:r>
            <w:r>
              <w:t>(4)</w:t>
            </w:r>
          </w:p>
        </w:tc>
        <w:tc>
          <w:tcPr/>
          <w:p>
            <w:r>
              <w:t>评审标准：</w:t>
            </w:r>
          </w:p>
          <w:p>
            <w:r>
              <w:t>一档：0分</w:t>
              <w:cr/>
              <w:t>二档：1分</w:t>
              <w:cr/>
              <w:t>三档：2分</w:t>
              <w:cr/>
              <w:t>四档：4分</w:t>
            </w:r>
          </w:p>
          <w:p>
            <w:r>
              <w:t>评审标准说明：</w:t>
            </w:r>
          </w:p>
          <w:p>
            <w:r>
              <w:t>根据投标人提供的质保及不合格货物处理方案评分。方案至少包括货物质量保证、货物检验标准、货物来源渠道、针对交货后不合格的货物及质保期内出现问题的货物所采取的措施等方面。具体评分标准如下：</w:t>
              <w:cr/>
              <w:t>一档：未提供；</w:t>
              <w:cr/>
              <w:t>二档：方案不完整，要点有缺漏，结构不清晰，缺乏系统性；</w:t>
              <w:cr/>
              <w:t>三档：方案能基本按照招标文件的要求进行响应，所包含的要点齐全、内容与要点相符，但仅有纲要内容简略，未展开阐述，措施一般，针对性差；</w:t>
              <w:cr/>
              <w:t>四档：方案能完全按照招标文件的要求进行响应，所包含的要点齐全、内容与要点相符、内容完善、详细具体，措施有力，针对性强，完全满足招标文件要求。</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根据投标人提供的培训方案评分。培训内容至少包括设备使用、设备保养、设备故障排查处理等方面。具体评分标准如下：</w:t>
              <w:cr/>
              <w:t>一档：未提供；</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进度计划及应急服务（客观分）</w:t>
            </w:r>
          </w:p>
        </w:tc>
        <w:tc>
          <w:tcPr/>
          <w:p>
            <w:r>
              <w:t>勾选打分</w:t>
            </w:r>
            <w:r>
              <w:t>(2)</w:t>
            </w:r>
          </w:p>
        </w:tc>
        <w:tc>
          <w:tcPr/>
          <w:p>
            <w:r>
              <w:t>评审标准：</w:t>
            </w:r>
          </w:p>
          <w:p>
            <w:r>
              <w:t>1、投标人提供本项目的进度计划方案得1分。</w:t>
              <w:cr/>
              <w:t>2、投标人需提供本项目突发事件应对方案（包含但不限于：对发生突发性事件后，明确投入的人力、时间、各种应对措施等方面）得1分。</w:t>
              <w:cr/>
            </w:r>
          </w:p>
          <w:p>
            <w:r>
              <w:t>评审标准说明：</w:t>
            </w:r>
          </w:p>
          <w:p>
            <w:r>
              <w:t>提供方案并加盖投标人公章。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(6)</w:t>
            </w:r>
          </w:p>
        </w:tc>
        <w:tc>
          <w:tcPr/>
          <w:p>
            <w:r>
              <w:t>评审标准：</w:t>
            </w:r>
          </w:p>
          <w:p>
            <w:r>
              <w:t>投标人为本项目拟派的服务团队中每有1人具有的机械、机电、火工等与本项目相关专业的高级职称的得2分，最多得6分，不提供不得分。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投标产品重要技术指标（客观分）</w:t>
            </w:r>
          </w:p>
        </w:tc>
        <w:tc>
          <w:tcPr/>
          <w:p>
            <w:r>
              <w:t>区间打分</w:t>
            </w:r>
            <w:r>
              <w:t>(21)</w:t>
            </w:r>
          </w:p>
        </w:tc>
        <w:tc>
          <w:tcPr/>
          <w:p>
            <w:r>
              <w:t>评审标准：</w:t>
            </w:r>
          </w:p>
          <w:p>
            <w:r>
              <w:t>招标文件第七章第三节中的性能指标共21项，每满足1项（如有多个下级指标，则每个下级指标均应满足）得1分，满分21分。</w:t>
            </w:r>
          </w:p>
          <w:p>
            <w:r>
              <w:t>评审标准说明：</w:t>
            </w:r>
          </w:p>
          <w:p>
            <w:r>
              <w:t>需提供第三方出具测试报告或者产品说明书或者官网截图等作为证明材料。</w:t>
            </w:r>
          </w:p>
          <w:p/>
        </w:tc>
      </w:tr>
      <w:tr>
        <w:tblPrEx>
          <w:tblW w:w="5000" w:type="pct"/>
          <w:tblCellMar>
            <w:left w:w="108" w:type="dxa"/>
            <w:right w:w="108" w:type="dxa"/>
          </w:tblCellMar>
        </w:tblPrEx>
        <w:tc>
          <w:tcPr/>
          <w:p>
            <w:r>
              <w:t>12</w:t>
            </w:r>
          </w:p>
        </w:tc>
        <w:tc>
          <w:tcPr>
            <w:vMerge/>
          </w:tcPr>
          <w:p>
            <w:r>
              <w:t>技术部分</w:t>
            </w:r>
          </w:p>
        </w:tc>
        <w:tc>
          <w:tcPr/>
          <w:p>
            <w:r>
              <w:t>满足项目需求的生产适配方案（主观分）</w:t>
            </w:r>
          </w:p>
        </w:tc>
        <w:tc>
          <w:tcPr/>
          <w:p>
            <w:r>
              <w:t>勾选打分</w:t>
            </w:r>
            <w:r>
              <w:t>(4)</w:t>
            </w:r>
          </w:p>
        </w:tc>
        <w:tc>
          <w:tcPr/>
          <w:p>
            <w:r>
              <w:t>评审标准：</w:t>
            </w:r>
          </w:p>
          <w:p>
            <w:r>
              <w:t>一档0分</w:t>
              <w:cr/>
              <w:t>二档1分</w:t>
              <w:cr/>
              <w:t>三档2分</w:t>
              <w:cr/>
              <w:t>四档4分</w:t>
            </w:r>
          </w:p>
          <w:p>
            <w:r>
              <w:t>评审标准说明：</w:t>
            </w:r>
          </w:p>
          <w:p>
            <w:r>
              <w:t>火箭发射装置应与56mm三码合一自毁型火箭弹适配，根据投标人提供的针对本项目的生产适配方案评分。具体评分标准如下：</w:t>
              <w:cr/>
              <w:t xml:space="preserve">一档：未提供； </w:t>
              <w:cr/>
              <w:t>二档：对项目背景和现状理解片面，未能抓住重点、难点、关键技术；</w:t>
              <w:cr/>
              <w:t xml:space="preserve">三挡：与56mm三码合一自毁型火箭弹适配方案不够详尽可行，针对性差； </w:t>
              <w:cr/>
              <w:t xml:space="preserve">四档：对项目背景和现状理解准确，能抓住重点、难点和关键技术，提供装备设计和生产与56mm三码合一自毁型火箭弹适配的可执行方案，方案详尽可行，针对性强，完全满足招标文件要求。 </w:t>
              <w:cr/>
              <w:t>注：须提供佐证方案可行性的分析材料。</w:t>
            </w:r>
          </w:p>
          <w:p/>
        </w:tc>
      </w:tr>
      <w:tr>
        <w:tblPrEx>
          <w:tblW w:w="5000" w:type="pct"/>
          <w:tblCellMar>
            <w:left w:w="108" w:type="dxa"/>
            <w:right w:w="108" w:type="dxa"/>
          </w:tblCellMar>
        </w:tblPrEx>
        <w:tc>
          <w:tcPr/>
          <w:p>
            <w:r>
              <w:t>13</w:t>
            </w:r>
          </w:p>
        </w:tc>
        <w:tc>
          <w:tcPr>
            <w:vMerge/>
          </w:tcPr>
          <w:p>
            <w:r>
              <w:t>技术部分</w:t>
            </w:r>
          </w:p>
        </w:tc>
        <w:tc>
          <w:tcPr/>
          <w:p>
            <w:r>
              <w:t>供货安装调试方案（主观分）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根据投标人提供的供货安装调试方案评分。方案至少包含货物的采购、包装、保险、运输、到货验收等方面。具体评分标准如下： </w:t>
              <w:cr/>
              <w:t>一档：未提供；</w:t>
              <w:cr/>
              <w:t>二挡：方案所包含的要点有缺漏或内容存在错误；</w:t>
              <w:cr/>
              <w:t>三档：方案包含的要点齐全，无缺漏项、但内容简略，未展开阐述，针对性差；</w:t>
              <w:cr/>
              <w:t>四档：方案包含的要点齐全无缺漏项、内容与要点相符、内容完善，针对性强，完全满足招标文件要求。</w:t>
            </w:r>
          </w:p>
          <w:p/>
        </w:tc>
      </w:tr>
      <w:tr>
        <w:tblPrEx>
          <w:tblW w:w="5000" w:type="pct"/>
          <w:tblCellMar>
            <w:left w:w="108" w:type="dxa"/>
            <w:right w:w="108" w:type="dxa"/>
          </w:tblCellMar>
        </w:tblPrEx>
        <w:tc>
          <w:tcPr/>
          <w:p>
            <w:r>
              <w:t>14</w:t>
            </w:r>
          </w:p>
        </w:tc>
        <w:tc>
          <w:tcPr>
            <w:vMerge/>
          </w:tcPr>
          <w:p>
            <w:r>
              <w:t>技术部分</w:t>
            </w:r>
          </w:p>
        </w:tc>
        <w:tc>
          <w:tcPr/>
          <w:p>
            <w:r>
              <w:t>对接方案（主观分）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对接方案评分。方案至少包含实现作业指令接收、装备状态上报、弹码信息上报、作业日志上报、实现与“人影指挥系统”平台对接、《国省一体化人影综合业务平台》远程推送软件更新模块可持续升级等方面。具体评分标准如下： </w:t>
              <w:cr/>
              <w:t xml:space="preserve">一档：未提供； </w:t>
              <w:cr/>
              <w:t xml:space="preserve">二档：方案所包含的要点有缺漏或内容存在错误； </w:t>
              <w:cr/>
              <w:t xml:space="preserve">三档：方案所包含的要点齐全、内容与要点相符，但仅有纲要内容简略，未展开阐述，针对性差； </w:t>
              <w:cr/>
              <w:t>四档：方案包含的要点齐全无缺漏项、内容与要点相符、内容完善，针对性强，完全满足招标文件要求。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5"/>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6" w:name="插入_采购需求书"/>
      <w:bookmarkStart w:id="57" w:name="插入_采购需求书_0"/>
      <w:bookmarkStart w:id="58" w:name="插入_采购需求书_1"/>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本项目拟通过购置32套新型火箭发射装置（含28个弹药临时储运箱），配备火箭作业安全监控终端，实现发射仰角、方位、发射数量及弹药属性等火箭作业信息自动采集，数据对接“天工”平台，加装火箭弹三码合一解码装置，配备基于三码（壳体码、UID码、发射码）绑定的火箭发射安全锁控系统，显著提升海南省火箭发射装置性能和信息化水平，提升火箭作业的保障服务水平。</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p>
      <w:pPr>
        <w:spacing w:line="360" w:lineRule="auto"/>
        <w:ind w:firstLine="420" w:firstLineChars="200"/>
        <w:rPr>
          <w:rFonts w:ascii="宋体" w:hAnsi="宋体" w:hint="eastAsia"/>
          <w:szCs w:val="21"/>
        </w:rPr>
      </w:pPr>
      <w:r>
        <w:rPr>
          <w:rFonts w:ascii="宋体" w:hAnsi="宋体" w:hint="eastAsia"/>
          <w:szCs w:val="21"/>
        </w:rPr>
        <w:t>（一）总体要求</w:t>
      </w:r>
    </w:p>
    <w:p>
      <w:pPr>
        <w:spacing w:line="360" w:lineRule="auto"/>
        <w:ind w:firstLine="420" w:firstLineChars="200"/>
        <w:rPr>
          <w:rFonts w:ascii="宋体" w:hAnsi="宋体" w:hint="eastAsia"/>
          <w:szCs w:val="21"/>
        </w:rPr>
      </w:pPr>
      <w:r>
        <w:rPr>
          <w:rFonts w:ascii="宋体" w:hAnsi="宋体" w:hint="eastAsia"/>
          <w:szCs w:val="21"/>
        </w:rPr>
        <w:t>1.投标人提供的各类设备与软件必须满足标书提出的功能和规格描述。</w:t>
      </w:r>
    </w:p>
    <w:p>
      <w:pPr>
        <w:spacing w:line="360" w:lineRule="auto"/>
        <w:ind w:firstLine="420" w:firstLineChars="200"/>
        <w:rPr>
          <w:rFonts w:ascii="宋体" w:hAnsi="宋体" w:hint="eastAsia"/>
          <w:szCs w:val="21"/>
        </w:rPr>
      </w:pPr>
      <w:r>
        <w:rPr>
          <w:rFonts w:ascii="宋体" w:hAnsi="宋体" w:hint="eastAsia"/>
          <w:szCs w:val="21"/>
        </w:rPr>
        <w:t>2.投标人提供的系统软、硬件的性能应达到或超过招标书所列技术指标。投标人在响应建议中必须就有关技术指标列出具体数值，否则将视为不符合技术性能需求。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hint="eastAsia"/>
          <w:szCs w:val="21"/>
        </w:rPr>
      </w:pPr>
      <w:r>
        <w:rPr>
          <w:rFonts w:ascii="宋体" w:hAnsi="宋体" w:hint="eastAsia"/>
          <w:szCs w:val="21"/>
        </w:rPr>
        <w:t>3.投标人的设备报价表应尽量具体详细，报价表中要明确设备厂家、型号和价格等。</w:t>
      </w:r>
    </w:p>
    <w:p>
      <w:pPr>
        <w:spacing w:line="360" w:lineRule="auto"/>
        <w:ind w:firstLine="420" w:firstLineChars="200"/>
        <w:rPr>
          <w:rFonts w:ascii="宋体" w:hAnsi="宋体" w:hint="eastAsia"/>
          <w:szCs w:val="21"/>
        </w:rPr>
      </w:pPr>
      <w:r>
        <w:rPr>
          <w:rFonts w:ascii="宋体" w:hAnsi="宋体" w:hint="eastAsia"/>
          <w:szCs w:val="21"/>
        </w:rPr>
        <w:t>4.所列性能指标要求只是最低标准，还需要考察性能高低和方案（包括技术和售后服务）优劣以及设备价格，选择性价比最优者选用。</w:t>
      </w:r>
    </w:p>
    <w:p>
      <w:pPr>
        <w:spacing w:line="360" w:lineRule="auto"/>
        <w:ind w:firstLine="420" w:firstLineChars="200"/>
        <w:rPr>
          <w:rFonts w:ascii="宋体" w:hAnsi="宋体" w:hint="eastAsia"/>
          <w:szCs w:val="21"/>
        </w:rPr>
      </w:pPr>
      <w:r>
        <w:rPr>
          <w:rFonts w:ascii="宋体" w:hAnsi="宋体" w:hint="eastAsia"/>
          <w:szCs w:val="21"/>
        </w:rPr>
        <w:t>5.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hint="eastAsia"/>
          <w:szCs w:val="21"/>
        </w:rPr>
      </w:pPr>
      <w:r>
        <w:rPr>
          <w:rFonts w:ascii="宋体" w:hAnsi="宋体" w:hint="eastAsia"/>
          <w:szCs w:val="21"/>
        </w:rPr>
        <w:t xml:space="preserve">6.设备及相应的配套设施，应具有良好的防潮、防锈和防腐蚀能力，适应强降水工作环境。 </w:t>
      </w:r>
    </w:p>
    <w:p>
      <w:pPr>
        <w:spacing w:line="360" w:lineRule="auto"/>
        <w:ind w:firstLine="420" w:firstLineChars="200"/>
        <w:rPr>
          <w:rFonts w:ascii="宋体" w:hAnsi="宋体" w:hint="eastAsia"/>
          <w:szCs w:val="21"/>
        </w:rPr>
      </w:pPr>
      <w:r>
        <w:rPr>
          <w:rFonts w:ascii="宋体" w:hAnsi="宋体" w:hint="eastAsia"/>
          <w:szCs w:val="21"/>
        </w:rPr>
        <w:t>7.投标产品为国产设备。</w:t>
      </w:r>
    </w:p>
    <w:p>
      <w:pPr>
        <w:spacing w:line="360" w:lineRule="auto"/>
        <w:ind w:firstLine="420" w:firstLineChars="200"/>
        <w:rPr>
          <w:rFonts w:ascii="宋体" w:hAnsi="宋体" w:hint="eastAsia"/>
          <w:szCs w:val="21"/>
        </w:rPr>
      </w:pPr>
      <w:r>
        <w:rPr>
          <w:rFonts w:ascii="宋体" w:hAnsi="宋体" w:hint="eastAsia"/>
          <w:szCs w:val="21"/>
        </w:rPr>
        <w:t>（二）总体性能指标</w:t>
      </w:r>
    </w:p>
    <w:p>
      <w:pPr>
        <w:spacing w:line="360" w:lineRule="auto"/>
        <w:ind w:firstLine="420" w:firstLineChars="200"/>
        <w:rPr>
          <w:rFonts w:ascii="宋体" w:hAnsi="宋体" w:hint="eastAsia"/>
          <w:szCs w:val="21"/>
        </w:rPr>
      </w:pPr>
      <w:r>
        <w:rPr>
          <w:rFonts w:ascii="宋体" w:hAnsi="宋体" w:hint="eastAsia"/>
          <w:szCs w:val="21"/>
        </w:rPr>
        <w:t>本项目涉及的所有设备、装置原则上应满足中国气象局人工影响天气中心编制的《火箭发射系统技术要求》《火箭发射系统技术测试大纲》《基于三码绑定的人影火箭发射安全锁控系统技术要求》《基于三码绑定的人影火箭发射安全锁控系统测试大纲》中的相关要求。主要技术性能指标见下表。</w:t>
      </w:r>
    </w:p>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p>
    <w:p>
      <w:pPr>
        <w:spacing w:line="360" w:lineRule="auto"/>
        <w:jc w:val="center"/>
        <w:rPr>
          <w:rFonts w:ascii="宋体" w:hAnsi="宋体" w:hint="eastAsia"/>
          <w:szCs w:val="21"/>
        </w:rPr>
      </w:pPr>
      <w:r>
        <w:rPr>
          <w:rFonts w:ascii="宋体" w:hAnsi="宋体" w:hint="eastAsia"/>
          <w:szCs w:val="21"/>
        </w:rPr>
        <w:t>表 1 火箭发射装置性能指标清单</w:t>
      </w:r>
    </w:p>
    <w:tbl>
      <w:tblPr>
        <w:tblStyle w:val="TableNormal"/>
        <w:tblW w:w="4999" w:type="pct"/>
        <w:tblInd w:w="0" w:type="dxa"/>
        <w:tblCellMar>
          <w:top w:w="0" w:type="dxa"/>
          <w:left w:w="108" w:type="dxa"/>
          <w:bottom w:w="0" w:type="dxa"/>
          <w:right w:w="108" w:type="dxa"/>
        </w:tblCellMar>
      </w:tblPr>
      <w:tblGrid>
        <w:gridCol w:w="841"/>
        <w:gridCol w:w="1945"/>
        <w:gridCol w:w="5734"/>
      </w:tblGrid>
      <w:tr>
        <w:tblPrEx>
          <w:tblW w:w="4999" w:type="pct"/>
          <w:tblInd w:w="0" w:type="dxa"/>
          <w:tblCellMar>
            <w:top w:w="0" w:type="dxa"/>
            <w:left w:w="108" w:type="dxa"/>
            <w:bottom w:w="0" w:type="dxa"/>
            <w:right w:w="108" w:type="dxa"/>
          </w:tblCellMar>
        </w:tblPrEx>
        <w:trPr>
          <w:trHeight w:val="539"/>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序号</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项目内容</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性能参数</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1</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发射轨道长</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1500mm（φ44mm&amp;φ56mm），1700mm（φ66mm&amp;φ82mm）</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2</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轨道数量</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4轨、6轨、8轨，支持多口径，可更换不同定向器</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3</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内包圆直径</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φ44.76+0.40mm，φ56.76+0.40mm，</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φ66.5+1.50mm，φ82.5+1.10mm。</w:t>
            </w:r>
          </w:p>
        </w:tc>
      </w:tr>
      <w:tr>
        <w:tblPrEx>
          <w:tblW w:w="4999" w:type="pct"/>
          <w:tblInd w:w="0" w:type="dxa"/>
          <w:tblCellMar>
            <w:top w:w="0" w:type="dxa"/>
            <w:left w:w="108" w:type="dxa"/>
            <w:bottom w:w="0" w:type="dxa"/>
            <w:right w:w="108" w:type="dxa"/>
          </w:tblCellMar>
        </w:tblPrEx>
        <w:trPr>
          <w:trHeight w:val="988"/>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4</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质量（不含牵引底盘、车载底座、固定底座）</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≯300kg</w:t>
            </w:r>
          </w:p>
        </w:tc>
      </w:tr>
      <w:tr>
        <w:tblPrEx>
          <w:tblW w:w="4999" w:type="pct"/>
          <w:tblInd w:w="0" w:type="dxa"/>
          <w:tblCellMar>
            <w:top w:w="0" w:type="dxa"/>
            <w:left w:w="108" w:type="dxa"/>
            <w:bottom w:w="0" w:type="dxa"/>
            <w:right w:w="108" w:type="dxa"/>
          </w:tblCellMar>
        </w:tblPrEx>
        <w:trPr>
          <w:trHeight w:val="1248"/>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5</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发射架承载力</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满载发射自重大于等于12kg的火箭弹时，能承受离架速度，不小于55m/s且加速度不小于60m/s</w:t>
            </w:r>
            <w:r>
              <w:rPr>
                <w:rFonts w:ascii="宋体" w:hAnsi="宋体" w:hint="eastAsia"/>
                <w:szCs w:val="21"/>
                <w:vertAlign w:val="superscript"/>
              </w:rPr>
              <w:t>2</w:t>
            </w:r>
            <w:r>
              <w:rPr>
                <w:rFonts w:ascii="宋体" w:hAnsi="宋体"/>
                <w:szCs w:val="21"/>
              </w:rPr>
              <w:t>时的火箭弹动态载荷，并能连续正常工作。</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6</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重心要求</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在仰角85°发射火箭弹时，重心不应偏移出安全范围</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7</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仰角传动指标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可调范围：45°～85°</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平均速度：≥3°/s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准确度：±0.5°</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8</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方位角传动指标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可调范围：0～360°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平均速度：≥5°/s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转动准确度：±0.5°</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9</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测量指标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方位角测量精度：3°，分辨率：1°</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俯仰角测量精度：1°，分辨率：1°</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10</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电性能指标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 xml:space="preserve">（12±5%）V～（48±5%）V 的可充电电池，电池容量应≥720V·A·h </w:t>
            </w:r>
          </w:p>
        </w:tc>
      </w:tr>
      <w:tr>
        <w:tblPrEx>
          <w:tblW w:w="4999" w:type="pct"/>
          <w:tblInd w:w="0" w:type="dxa"/>
          <w:tblCellMar>
            <w:top w:w="0" w:type="dxa"/>
            <w:left w:w="108" w:type="dxa"/>
            <w:bottom w:w="0" w:type="dxa"/>
            <w:right w:w="108" w:type="dxa"/>
          </w:tblCellMar>
        </w:tblPrEx>
        <w:trPr>
          <w:trHeight w:val="451"/>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点火冲能：≥200A</w:t>
            </w:r>
            <w:r>
              <w:rPr>
                <w:rFonts w:ascii="宋体" w:hAnsi="宋体" w:hint="eastAsia"/>
                <w:szCs w:val="21"/>
                <w:vertAlign w:val="superscript"/>
              </w:rPr>
              <w:t>2</w:t>
            </w:r>
            <w:r>
              <w:rPr>
                <w:rFonts w:ascii="宋体" w:hAnsi="宋体"/>
                <w:szCs w:val="21"/>
              </w:rPr>
              <w:t>·ms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充电时间（数码火箭弹）：3s/发</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检测电流：≤3mA</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电阻检测精度：±0.1Ω（23℃±5℃环境温度下）</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11</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工作温度范围</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-20℃～+50℃</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12</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工作湿度</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10%RH～100%RH</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13</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≥IPX5</w:t>
            </w:r>
          </w:p>
        </w:tc>
      </w:tr>
      <w:tr>
        <w:tblPrEx>
          <w:tblW w:w="4999" w:type="pct"/>
          <w:tblInd w:w="0" w:type="dxa"/>
          <w:tblCellMar>
            <w:top w:w="0" w:type="dxa"/>
            <w:left w:w="108" w:type="dxa"/>
            <w:bottom w:w="0" w:type="dxa"/>
            <w:right w:w="108" w:type="dxa"/>
          </w:tblCellMar>
        </w:tblPrEx>
        <w:trPr>
          <w:trHeight w:val="743"/>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14</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平均故障修复时间（MTTR）</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≯2h</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15</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使用寿命</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≥8年</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16</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航空插座指标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工作温度：-60℃～+150℃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绝缘电阻：常温条件500MΩ</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耐电压：1500V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额定工作电压：500V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接触电阻：≤5mΩ</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17</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火箭作业安全监控终端</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无线通讯方式：4G全网通</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作业信息通讯方式：RS485</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工作温度：-30～70°C</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工作电压：9～32V</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18</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基于三码绑定的人影火箭发射安全锁控系统</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输入电压范围：12V~48V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最大解锁保持时间：300秒（总线断电）</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插入阻抗：</w:t>
            </w:r>
            <w:r>
              <w:rPr>
                <w:rFonts w:ascii="宋体" w:hAnsi="宋体" w:hint="eastAsia"/>
                <w:szCs w:val="21"/>
              </w:rPr>
              <w:t>＜0.5Ω</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灌入电流：&lt;3mA（灌入电压&lt;80时）</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解锁保持时间设定范围：0~300秒</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通信模式：MBUS（双向无极性）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通信速率：1024bps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校验和算法：CRC8</w:t>
            </w:r>
          </w:p>
        </w:tc>
      </w:tr>
      <w:tr>
        <w:tblPrEx>
          <w:tblW w:w="4999" w:type="pct"/>
          <w:tblInd w:w="0" w:type="dxa"/>
          <w:tblCellMar>
            <w:top w:w="0" w:type="dxa"/>
            <w:left w:w="108" w:type="dxa"/>
            <w:bottom w:w="0" w:type="dxa"/>
            <w:right w:w="108" w:type="dxa"/>
          </w:tblCellMar>
        </w:tblPrEx>
        <w:trPr>
          <w:trHeight w:val="624"/>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19</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有线安全锁定器指标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电阻检测准确度：±0.1Ω（23℃±5℃环境温度下）；</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点火电压：80V±5V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检测电流：≤3mA</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内部电源：12V5800mAh锂电池</w:t>
            </w:r>
          </w:p>
        </w:tc>
      </w:tr>
      <w:tr>
        <w:tblPrEx>
          <w:tblW w:w="4999" w:type="pct"/>
          <w:tblInd w:w="0" w:type="dxa"/>
          <w:tblCellMar>
            <w:top w:w="0" w:type="dxa"/>
            <w:left w:w="108" w:type="dxa"/>
            <w:bottom w:w="0" w:type="dxa"/>
            <w:right w:w="108" w:type="dxa"/>
          </w:tblCellMar>
        </w:tblPrEx>
        <w:trPr>
          <w:trHeight w:val="936"/>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密码存储容量：锁定器可存储不少于20组以上的密码（操作员不少于17组，管理员不少于3组）</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火箭控制接口数量：8个</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指纹识别存储容量：≥20人（每人10枚，共200枚指纹）</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连续工作时间：≥8h</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定位系统：GPS+北斗双模块</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卫星定位时间：≤60s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防水等级：≥IP65</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工作环境温度：温度-20℃～50℃，相对湿度10%～100%</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20</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无线安全锁定器主要指标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通讯距离：≥50m</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 xml:space="preserve">内部电源：3.7V </w:t>
            </w:r>
            <w:r>
              <w:rPr>
                <w:szCs w:val="21"/>
              </w:rPr>
              <w:t>≥</w:t>
            </w:r>
            <w:r>
              <w:rPr>
                <w:rFonts w:ascii="宋体" w:hAnsi="宋体"/>
                <w:szCs w:val="21"/>
              </w:rPr>
              <w:t>5200mAh锂电池</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密码元素组成：锁定器的输入键盘由0～9阿拉伯数字和*、#组成，实现密码输入</w:t>
            </w:r>
          </w:p>
        </w:tc>
      </w:tr>
      <w:tr>
        <w:tblPrEx>
          <w:tblW w:w="4999" w:type="pct"/>
          <w:tblInd w:w="0" w:type="dxa"/>
          <w:tblCellMar>
            <w:top w:w="0" w:type="dxa"/>
            <w:left w:w="108" w:type="dxa"/>
            <w:bottom w:w="0" w:type="dxa"/>
            <w:right w:w="108" w:type="dxa"/>
          </w:tblCellMar>
        </w:tblPrEx>
        <w:trPr>
          <w:trHeight w:val="15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密码组成：锁定器可存储不少于20组以上的密码（操作员不少于17组，管理员不少于3组），密码由0～9阿拉伯数字和*、#组成，6位的纯数字型密码（操作员使用）；6位的数字加字符混合密码（管理员使用）</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火箭控制接口数量：</w:t>
            </w:r>
            <w:r>
              <w:rPr>
                <w:szCs w:val="21"/>
              </w:rPr>
              <w:t>≥</w:t>
            </w:r>
            <w:r>
              <w:rPr>
                <w:rFonts w:ascii="宋体" w:hAnsi="宋体"/>
                <w:szCs w:val="21"/>
              </w:rPr>
              <w:t>8个</w:t>
            </w:r>
          </w:p>
        </w:tc>
      </w:tr>
      <w:tr>
        <w:tblPrEx>
          <w:tblW w:w="4999" w:type="pct"/>
          <w:tblInd w:w="0" w:type="dxa"/>
          <w:tblCellMar>
            <w:top w:w="0" w:type="dxa"/>
            <w:left w:w="108" w:type="dxa"/>
            <w:bottom w:w="0" w:type="dxa"/>
            <w:right w:w="108" w:type="dxa"/>
          </w:tblCellMar>
        </w:tblPrEx>
        <w:trPr>
          <w:trHeight w:val="2808"/>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开机密码设置：2人及以上操作员采用双密码/多密码（由管理员选择设置“双密/多密码”）在1分钟内完成成组输入后，验证其有效性。若成组输入密码超时，需重新成组输入双密码/多密码。成组输入密码连续输入错误6次，数字型密码身份识别器自动关闭密码输入功能，并提示只有在管理员输入管理密码后，才能再次开启密码输入功能</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指纹识别存储容量：≥20人（每人10枚，共200枚指纹）</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指纹识别认假率：＜0.001%</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指纹识别拒真率：＜1.0%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指纹识别搜索时间：＜3s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连续工作时间：≥8h</w:t>
            </w:r>
          </w:p>
        </w:tc>
      </w:tr>
      <w:tr>
        <w:tblPrEx>
          <w:tblW w:w="4999" w:type="pct"/>
          <w:tblInd w:w="0" w:type="dxa"/>
          <w:tblCellMar>
            <w:top w:w="0" w:type="dxa"/>
            <w:left w:w="108" w:type="dxa"/>
            <w:bottom w:w="0" w:type="dxa"/>
            <w:right w:w="108" w:type="dxa"/>
          </w:tblCellMar>
        </w:tblPrEx>
        <w:trPr>
          <w:trHeight w:val="9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正弦稳态振动试验：在位移1.5mm，加速度5 m/s</w:t>
            </w:r>
            <w:r>
              <w:rPr>
                <w:rFonts w:ascii="宋体" w:hAnsi="宋体" w:hint="eastAsia"/>
                <w:szCs w:val="21"/>
                <w:vertAlign w:val="superscript"/>
              </w:rPr>
              <w:t>2</w:t>
            </w:r>
            <w:r>
              <w:rPr>
                <w:rFonts w:ascii="宋体" w:hAnsi="宋体"/>
                <w:szCs w:val="21"/>
              </w:rPr>
              <w:t>，频率2Hz～9Hz，9Hz～200Hz的条件下持续时间40分钟</w:t>
            </w:r>
          </w:p>
        </w:tc>
      </w:tr>
      <w:tr>
        <w:tblPrEx>
          <w:tblW w:w="4999" w:type="pct"/>
          <w:tblInd w:w="0" w:type="dxa"/>
          <w:tblCellMar>
            <w:top w:w="0" w:type="dxa"/>
            <w:left w:w="108" w:type="dxa"/>
            <w:bottom w:w="0" w:type="dxa"/>
            <w:right w:w="108" w:type="dxa"/>
          </w:tblCellMar>
        </w:tblPrEx>
        <w:trPr>
          <w:trHeight w:val="9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非稳态振动试验：在峰值加速度40m/s</w:t>
            </w:r>
            <w:r>
              <w:rPr>
                <w:rFonts w:ascii="宋体" w:hAnsi="宋体" w:hint="eastAsia"/>
                <w:szCs w:val="21"/>
                <w:vertAlign w:val="superscript"/>
              </w:rPr>
              <w:t>2</w:t>
            </w:r>
            <w:r>
              <w:rPr>
                <w:rFonts w:ascii="宋体" w:hAnsi="宋体"/>
                <w:szCs w:val="21"/>
              </w:rPr>
              <w:t>的下，持续时间11ms的冲击台上连续冲击三次</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防水等级：5级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防尘等级：6级</w:t>
            </w:r>
          </w:p>
        </w:tc>
      </w:tr>
      <w:tr>
        <w:tblPrEx>
          <w:tblW w:w="4999" w:type="pct"/>
          <w:tblInd w:w="0" w:type="dxa"/>
          <w:tblCellMar>
            <w:top w:w="0" w:type="dxa"/>
            <w:left w:w="108" w:type="dxa"/>
            <w:bottom w:w="0" w:type="dxa"/>
            <w:right w:w="108" w:type="dxa"/>
          </w:tblCellMar>
        </w:tblPrEx>
        <w:trPr>
          <w:trHeight w:val="936"/>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耐腐蚀等级：其金属零部件应进行表面防腐处理，经中性盐雾腐蚀（NSS法）48小时后，保护评级达到6级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工作环境温度：-20℃～50℃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工作环境湿度：10%RH～100%RH</w:t>
            </w:r>
          </w:p>
        </w:tc>
      </w:tr>
    </w:tbl>
    <w:p>
      <w:pPr>
        <w:spacing w:line="360" w:lineRule="auto"/>
        <w:jc w:val="center"/>
        <w:rPr>
          <w:rFonts w:ascii="宋体" w:hAnsi="宋体" w:hint="eastAsia"/>
          <w:szCs w:val="21"/>
        </w:rPr>
      </w:pPr>
    </w:p>
    <w:p>
      <w:pPr>
        <w:spacing w:line="360" w:lineRule="auto"/>
        <w:jc w:val="center"/>
        <w:rPr>
          <w:rFonts w:ascii="宋体" w:hAnsi="宋体" w:hint="eastAsia"/>
          <w:szCs w:val="21"/>
        </w:rPr>
      </w:pPr>
      <w:r>
        <w:rPr>
          <w:rFonts w:ascii="宋体" w:hAnsi="宋体" w:hint="eastAsia"/>
          <w:szCs w:val="21"/>
        </w:rPr>
        <w:t xml:space="preserve">表2 </w:t>
      </w:r>
      <w:r>
        <w:rPr>
          <w:rFonts w:ascii="宋体" w:hAnsi="宋体"/>
          <w:szCs w:val="21"/>
        </w:rPr>
        <w:t>弹药临时储运箱性能参数表</w:t>
      </w:r>
    </w:p>
    <w:tbl>
      <w:tblPr>
        <w:tblStyle w:val="TableNormal"/>
        <w:tblW w:w="4998" w:type="pct"/>
        <w:tblInd w:w="0" w:type="dxa"/>
        <w:tblCellMar>
          <w:top w:w="0" w:type="dxa"/>
          <w:left w:w="108" w:type="dxa"/>
          <w:bottom w:w="0" w:type="dxa"/>
          <w:right w:w="108" w:type="dxa"/>
        </w:tblCellMar>
      </w:tblPr>
      <w:tblGrid>
        <w:gridCol w:w="1745"/>
        <w:gridCol w:w="2279"/>
        <w:gridCol w:w="4495"/>
      </w:tblGrid>
      <w:tr>
        <w:tblPrEx>
          <w:tblW w:w="4998" w:type="pct"/>
          <w:tblInd w:w="0" w:type="dxa"/>
          <w:tblCellMar>
            <w:top w:w="0" w:type="dxa"/>
            <w:left w:w="108" w:type="dxa"/>
            <w:bottom w:w="0" w:type="dxa"/>
            <w:right w:w="108" w:type="dxa"/>
          </w:tblCellMar>
        </w:tblPrEx>
        <w:trPr>
          <w:trHeight w:val="469"/>
        </w:trPr>
        <w:tc>
          <w:tcPr>
            <w:tcW w:w="1024" w:type="pct"/>
            <w:tcBorders>
              <w:top w:val="single" w:sz="8" w:space="0" w:color="000000"/>
              <w:left w:val="single" w:sz="8" w:space="0" w:color="000000"/>
              <w:bottom w:val="single" w:sz="8" w:space="0" w:color="000000"/>
              <w:right w:val="single" w:sz="8" w:space="0" w:color="000000"/>
            </w:tcBorders>
            <w:vAlign w:val="center"/>
          </w:tcPr>
          <w:p>
            <w:pPr>
              <w:spacing w:line="360" w:lineRule="auto"/>
              <w:jc w:val="center"/>
              <w:rPr>
                <w:rFonts w:ascii="宋体" w:hAnsi="宋体" w:hint="eastAsia"/>
                <w:szCs w:val="21"/>
              </w:rPr>
            </w:pPr>
            <w:r>
              <w:rPr>
                <w:rFonts w:ascii="宋体" w:hAnsi="宋体"/>
                <w:szCs w:val="21"/>
              </w:rPr>
              <w:t>序号</w:t>
            </w:r>
          </w:p>
        </w:tc>
        <w:tc>
          <w:tcPr>
            <w:tcW w:w="1337" w:type="pct"/>
            <w:tcBorders>
              <w:top w:val="single" w:sz="8" w:space="0" w:color="000000"/>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项目内容</w:t>
            </w:r>
          </w:p>
        </w:tc>
        <w:tc>
          <w:tcPr>
            <w:tcW w:w="2637" w:type="pct"/>
            <w:tcBorders>
              <w:top w:val="single" w:sz="8" w:space="0" w:color="000000"/>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性能参数</w:t>
            </w:r>
          </w:p>
        </w:tc>
      </w:tr>
      <w:tr>
        <w:tblPrEx>
          <w:tblW w:w="4998" w:type="pct"/>
          <w:tblInd w:w="0" w:type="dxa"/>
          <w:tblCellMar>
            <w:top w:w="0" w:type="dxa"/>
            <w:left w:w="108" w:type="dxa"/>
            <w:bottom w:w="0" w:type="dxa"/>
            <w:right w:w="108" w:type="dxa"/>
          </w:tblCellMar>
        </w:tblPrEx>
        <w:trPr>
          <w:trHeight w:val="1887"/>
        </w:trPr>
        <w:tc>
          <w:tcPr>
            <w:tcW w:w="1024" w:type="pct"/>
            <w:tcBorders>
              <w:top w:val="nil"/>
              <w:left w:val="single" w:sz="8" w:space="0" w:color="000000"/>
              <w:bottom w:val="single" w:sz="8" w:space="0" w:color="000000"/>
              <w:right w:val="single" w:sz="8" w:space="0" w:color="000000"/>
            </w:tcBorders>
            <w:vAlign w:val="center"/>
          </w:tcPr>
          <w:p>
            <w:pPr>
              <w:spacing w:line="360" w:lineRule="auto"/>
              <w:jc w:val="center"/>
              <w:rPr>
                <w:rFonts w:ascii="宋体" w:hAnsi="宋体" w:hint="eastAsia"/>
                <w:szCs w:val="21"/>
              </w:rPr>
            </w:pPr>
            <w:r>
              <w:rPr>
                <w:rFonts w:ascii="宋体" w:hAnsi="宋体"/>
                <w:szCs w:val="21"/>
              </w:rPr>
              <w:t>1</w:t>
            </w:r>
          </w:p>
        </w:tc>
        <w:tc>
          <w:tcPr>
            <w:tcW w:w="1337" w:type="pct"/>
            <w:tcBorders>
              <w:top w:val="nil"/>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性能要求</w:t>
            </w:r>
          </w:p>
        </w:tc>
        <w:tc>
          <w:tcPr>
            <w:tcW w:w="2637" w:type="pct"/>
            <w:tcBorders>
              <w:top w:val="nil"/>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用于作业车辆临时转运增雨火箭弹储运设备。内置导轨，方便弹药放入，能够满足不同口径火箭弹的安全储运要求，单次转运数量不少于10枚。</w:t>
            </w:r>
          </w:p>
        </w:tc>
      </w:tr>
    </w:tbl>
    <w:p>
      <w:pPr>
        <w:spacing w:line="360" w:lineRule="auto"/>
        <w:ind w:firstLine="420" w:firstLineChars="200"/>
        <w:rPr>
          <w:rFonts w:ascii="宋体" w:hAnsi="宋体" w:hint="eastAsia"/>
          <w:szCs w:val="21"/>
        </w:rPr>
      </w:pPr>
      <w:r>
        <w:rPr>
          <w:rFonts w:ascii="宋体" w:hAnsi="宋体" w:hint="eastAsia"/>
          <w:szCs w:val="21"/>
        </w:rPr>
        <w:t>四、投标报价包含范围</w:t>
      </w:r>
    </w:p>
    <w:p>
      <w:pPr>
        <w:spacing w:line="360" w:lineRule="auto"/>
        <w:ind w:firstLine="420" w:firstLineChars="200"/>
        <w:rPr>
          <w:rFonts w:ascii="宋体" w:hAnsi="宋体" w:hint="eastAsia"/>
          <w:szCs w:val="21"/>
        </w:rPr>
      </w:pPr>
      <w:r>
        <w:rPr>
          <w:rFonts w:ascii="宋体" w:hAnsi="宋体"/>
          <w:szCs w:val="21"/>
        </w:rPr>
        <w:t>投标报价包括但不限于设备和材料（含采购、交通、运输）、税费、保险费用、专用工具费、检测费用、安装(包括但不限于</w:t>
      </w:r>
      <w:r>
        <w:rPr>
          <w:rFonts w:ascii="宋体" w:hAnsi="宋体" w:hint="eastAsia"/>
          <w:szCs w:val="21"/>
        </w:rPr>
        <w:t>因</w:t>
      </w:r>
      <w:r>
        <w:rPr>
          <w:rFonts w:ascii="宋体" w:hAnsi="宋体"/>
          <w:szCs w:val="21"/>
        </w:rPr>
        <w:t>包装不良造成的损失和由此产生的费用</w:t>
      </w:r>
      <w:r>
        <w:rPr>
          <w:rFonts w:ascii="宋体" w:hAnsi="宋体" w:hint="eastAsia"/>
          <w:szCs w:val="21"/>
        </w:rPr>
        <w:t>，</w:t>
      </w:r>
      <w:r>
        <w:rPr>
          <w:rFonts w:ascii="宋体" w:hAnsi="宋体"/>
          <w:szCs w:val="21"/>
        </w:rP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pPr>
        <w:numPr>
          <w:ilvl w:val="0"/>
          <w:numId w:val="4"/>
        </w:numPr>
        <w:spacing w:line="360" w:lineRule="auto"/>
        <w:ind w:firstLine="420" w:firstLineChars="200"/>
        <w:rPr>
          <w:rFonts w:ascii="宋体" w:hAnsi="宋体" w:hint="eastAsia"/>
          <w:szCs w:val="21"/>
        </w:rPr>
      </w:pPr>
      <w:r>
        <w:rPr>
          <w:rFonts w:ascii="宋体" w:hAnsi="宋体" w:hint="eastAsia"/>
          <w:szCs w:val="21"/>
        </w:rPr>
        <w:t>供货要求</w:t>
      </w:r>
    </w:p>
    <w:p>
      <w:pPr>
        <w:numPr>
          <w:numId w:val="0"/>
        </w:numPr>
        <w:spacing w:line="360" w:lineRule="auto"/>
        <w:ind w:firstLine="420" w:firstLineChars="200"/>
        <w:rPr>
          <w:rFonts w:ascii="宋体" w:hAnsi="宋体" w:hint="eastAsia"/>
          <w:szCs w:val="21"/>
        </w:rPr>
      </w:pPr>
      <w:r>
        <w:rPr>
          <w:rFonts w:ascii="宋体" w:hAnsi="宋体" w:hint="eastAsia"/>
          <w:szCs w:val="21"/>
          <w:lang w:eastAsia="zh-CN"/>
        </w:rPr>
        <w:t>供货时间：</w:t>
      </w:r>
      <w:r>
        <w:rPr>
          <w:rFonts w:ascii="宋体" w:hAnsi="宋体" w:hint="eastAsia"/>
          <w:szCs w:val="21"/>
        </w:rPr>
        <w:t>合同签订后200天内交货，完成安装调试并具备验收条件</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设备的包装必须是制造商原厂包装，其包装均应有良好的防湿、防锈、防潮、防雨、防腐及防碰撞的措施。</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中标人负责将货物到现场过程中的全部运输，包括装卸车、货物现场的搬运。</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设备必须提供装箱清单，按装箱清单验收货物。并出具出厂合格证，序列号、包装箱号与出厂批号一致，并可追索查阅。所有随设备的附件必须齐全。</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szCs w:val="21"/>
        </w:rPr>
        <w:t>中标人应将关键主机设备的用户手册、保修手册、有关单证资料及配备件、随机工具等交付给采购人，使用操作及安全须知等重要资料应附有中文说明。</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szCs w:val="21"/>
        </w:rPr>
        <w:t>设备的拆箱、安装、调试等工作由中标人负责，但必须在采购人指定人员的参与下进行。在实际实施前必须先经采购人同意方可进行，调试的原始记录须经各方签字后作为验收的文件组成部分。</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spacing w:line="360" w:lineRule="auto"/>
        <w:ind w:firstLine="420" w:firstLineChars="200"/>
        <w:rPr>
          <w:rFonts w:ascii="宋体" w:hAnsi="宋体" w:hint="eastAsia"/>
          <w:szCs w:val="21"/>
        </w:rPr>
      </w:pPr>
      <w:r>
        <w:rPr>
          <w:rFonts w:ascii="宋体" w:hAnsi="宋体" w:hint="eastAsia"/>
          <w:szCs w:val="21"/>
        </w:rPr>
        <w:t>7.</w:t>
      </w:r>
      <w:r>
        <w:rPr>
          <w:rFonts w:ascii="宋体" w:hAnsi="宋体"/>
          <w:szCs w:val="21"/>
        </w:rPr>
        <w:t>中标人应出具针对本项目的详细验收方案。</w:t>
      </w:r>
    </w:p>
    <w:p>
      <w:pPr>
        <w:spacing w:line="360" w:lineRule="auto"/>
        <w:ind w:firstLine="420" w:firstLineChars="200"/>
        <w:rPr>
          <w:rFonts w:ascii="宋体" w:hAnsi="宋体" w:hint="eastAsia"/>
          <w:szCs w:val="21"/>
        </w:rPr>
      </w:pPr>
      <w:r>
        <w:rPr>
          <w:rFonts w:ascii="宋体" w:hAnsi="宋体" w:hint="eastAsia"/>
          <w:szCs w:val="21"/>
        </w:rPr>
        <w:t>8.</w:t>
      </w:r>
      <w:r>
        <w:rPr>
          <w:rFonts w:ascii="宋体" w:hAnsi="宋体"/>
          <w:szCs w:val="21"/>
        </w:rPr>
        <w:t>主要设备仪器在产品到货验收时，必须有制造商技术人员现场协助，此验收报告作为项目验收必备文件。</w:t>
      </w:r>
    </w:p>
    <w:p>
      <w:pPr>
        <w:spacing w:line="360" w:lineRule="auto"/>
        <w:ind w:firstLine="420" w:firstLineChars="200"/>
        <w:rPr>
          <w:rFonts w:ascii="宋体" w:hAnsi="宋体" w:hint="eastAsia"/>
          <w:szCs w:val="21"/>
        </w:rPr>
      </w:pPr>
      <w:r>
        <w:rPr>
          <w:rFonts w:ascii="宋体" w:hAnsi="宋体" w:hint="eastAsia"/>
          <w:szCs w:val="21"/>
        </w:rPr>
        <w:t>9.</w:t>
      </w:r>
      <w:r>
        <w:rPr>
          <w:rFonts w:ascii="宋体" w:hAnsi="宋体"/>
          <w:szCs w:val="21"/>
        </w:rPr>
        <w:t>验收由采购人、中标人及相关人员依据国家有关标准、合同及有关附件要求进行。</w:t>
      </w:r>
    </w:p>
    <w:p>
      <w:pPr>
        <w:spacing w:line="360" w:lineRule="auto"/>
        <w:ind w:firstLine="420" w:firstLineChars="200"/>
        <w:rPr>
          <w:rFonts w:ascii="宋体" w:hAnsi="宋体" w:hint="eastAsia"/>
          <w:szCs w:val="21"/>
        </w:rPr>
      </w:pPr>
      <w:r>
        <w:rPr>
          <w:rFonts w:ascii="宋体" w:hAnsi="宋体" w:hint="eastAsia"/>
          <w:szCs w:val="21"/>
        </w:rPr>
        <w:t>10.供货时间：合同签订后200天内交货，安装调试并具备交付验收条件。</w:t>
      </w:r>
    </w:p>
    <w:p>
      <w:pPr>
        <w:spacing w:line="360" w:lineRule="auto"/>
        <w:ind w:firstLine="420" w:firstLineChars="200"/>
        <w:rPr>
          <w:rFonts w:ascii="宋体" w:hAnsi="宋体" w:hint="eastAsia"/>
          <w:szCs w:val="21"/>
        </w:rPr>
      </w:pPr>
      <w:r>
        <w:rPr>
          <w:rFonts w:ascii="宋体" w:hAnsi="宋体" w:hint="eastAsia"/>
          <w:szCs w:val="21"/>
        </w:rPr>
        <w:t>11.</w:t>
      </w:r>
      <w:r>
        <w:rPr>
          <w:rFonts w:ascii="宋体" w:hAnsi="宋体"/>
          <w:szCs w:val="21"/>
        </w:rPr>
        <w:t>供货地点：</w:t>
      </w:r>
      <w:r>
        <w:rPr>
          <w:rFonts w:ascii="宋体" w:hAnsi="宋体" w:hint="eastAsia"/>
          <w:szCs w:val="21"/>
        </w:rPr>
        <w:t>海南</w:t>
      </w:r>
      <w:r>
        <w:rPr>
          <w:rFonts w:ascii="宋体" w:hAnsi="宋体"/>
          <w:szCs w:val="21"/>
        </w:rPr>
        <w:t>省内用户指定地点。</w:t>
      </w:r>
    </w:p>
    <w:p>
      <w:pPr>
        <w:spacing w:line="360" w:lineRule="auto"/>
        <w:ind w:firstLine="420" w:firstLineChars="200"/>
        <w:rPr>
          <w:rFonts w:ascii="宋体" w:hAnsi="宋体" w:hint="eastAsia"/>
          <w:szCs w:val="21"/>
        </w:rPr>
      </w:pPr>
      <w:r>
        <w:rPr>
          <w:rFonts w:ascii="宋体" w:hAnsi="宋体" w:hint="eastAsia"/>
          <w:szCs w:val="21"/>
        </w:rPr>
        <w:t>12.</w:t>
      </w:r>
      <w:r>
        <w:rPr>
          <w:rFonts w:ascii="宋体" w:hAnsi="宋体"/>
          <w:szCs w:val="21"/>
        </w:rPr>
        <w:t>中标人负责本项目所有设备的安装调试以及所有必需的线材与备件等。</w:t>
      </w:r>
    </w:p>
    <w:p>
      <w:pPr>
        <w:spacing w:line="360" w:lineRule="auto"/>
        <w:ind w:firstLine="420" w:firstLineChars="200"/>
        <w:rPr>
          <w:rFonts w:ascii="宋体" w:hAnsi="宋体" w:hint="eastAsia"/>
          <w:szCs w:val="21"/>
        </w:rPr>
      </w:pPr>
      <w:r>
        <w:rPr>
          <w:rFonts w:ascii="宋体" w:hAnsi="宋体" w:hint="eastAsia"/>
          <w:szCs w:val="21"/>
        </w:rPr>
        <w:t>13.</w:t>
      </w:r>
      <w:r>
        <w:rPr>
          <w:rFonts w:ascii="宋体" w:hAnsi="宋体"/>
          <w:szCs w:val="21"/>
        </w:rPr>
        <w:t>中标人应设安装负责人，负责安装协调管理工作。</w:t>
      </w:r>
    </w:p>
    <w:p>
      <w:pPr>
        <w:spacing w:line="360" w:lineRule="auto"/>
        <w:ind w:firstLine="420" w:firstLineChars="200"/>
        <w:rPr>
          <w:rFonts w:ascii="宋体" w:hAnsi="宋体" w:hint="eastAsia"/>
          <w:szCs w:val="21"/>
        </w:rPr>
      </w:pPr>
      <w:r>
        <w:rPr>
          <w:rFonts w:ascii="宋体" w:hAnsi="宋体" w:hint="eastAsia"/>
          <w:szCs w:val="21"/>
        </w:rPr>
        <w:t>14.</w:t>
      </w:r>
      <w:r>
        <w:rPr>
          <w:rFonts w:ascii="宋体" w:hAnsi="宋体"/>
          <w:szCs w:val="21"/>
        </w:rPr>
        <w:t>安装所需工具设施物料由中标人自备、自费运到现场，完工后自费搬走。</w:t>
      </w:r>
    </w:p>
    <w:p>
      <w:pPr>
        <w:spacing w:line="360" w:lineRule="auto"/>
        <w:ind w:firstLine="420" w:firstLineChars="200"/>
        <w:rPr>
          <w:rFonts w:ascii="宋体" w:hAnsi="宋体" w:hint="eastAsia"/>
          <w:szCs w:val="21"/>
        </w:rPr>
      </w:pPr>
      <w:r>
        <w:rPr>
          <w:rFonts w:ascii="宋体" w:hAnsi="宋体" w:hint="eastAsia"/>
          <w:szCs w:val="21"/>
        </w:rPr>
        <w:t>六、验收要求</w:t>
      </w:r>
    </w:p>
    <w:p>
      <w:pPr>
        <w:ind w:firstLine="425"/>
        <w:rPr>
          <w:color w:val="000000" w:themeColor="text1"/>
          <w:szCs w:val="21"/>
        </w:rPr>
      </w:pPr>
      <w:r>
        <w:rPr>
          <w:color w:val="000000" w:themeColor="text1"/>
          <w:szCs w:val="21"/>
        </w:rPr>
        <w:t>1</w:t>
      </w:r>
      <w:r>
        <w:rPr>
          <w:rFonts w:ascii="宋体" w:hAnsi="宋体" w:hint="eastAsia"/>
          <w:szCs w:val="21"/>
        </w:rPr>
        <w:t>.</w:t>
      </w:r>
      <w:r>
        <w:rPr>
          <w:rFonts w:hint="eastAsia"/>
          <w:color w:val="000000" w:themeColor="text1"/>
          <w:szCs w:val="21"/>
        </w:rPr>
        <w:t>出厂测试验收</w:t>
      </w:r>
    </w:p>
    <w:p>
      <w:pPr>
        <w:spacing w:line="360" w:lineRule="auto"/>
        <w:ind w:firstLine="420" w:firstLineChars="200"/>
        <w:rPr>
          <w:rFonts w:ascii="宋体" w:hAnsi="宋体" w:hint="eastAsia"/>
          <w:szCs w:val="21"/>
        </w:rPr>
      </w:pPr>
      <w:r>
        <w:rPr>
          <w:rFonts w:ascii="宋体" w:hAnsi="宋体" w:hint="eastAsia"/>
          <w:szCs w:val="21"/>
        </w:rPr>
        <w:t>设备出厂前，</w:t>
      </w:r>
      <w:r>
        <w:rPr>
          <w:rFonts w:ascii="宋体" w:hAnsi="宋体"/>
          <w:szCs w:val="21"/>
        </w:rPr>
        <w:t>中标人</w:t>
      </w:r>
      <w:r>
        <w:rPr>
          <w:rFonts w:ascii="宋体" w:hAnsi="宋体" w:hint="eastAsia"/>
          <w:szCs w:val="21"/>
        </w:rPr>
        <w:t>应提供设备合格标准的自测报告、出厂测试报告、设备维护保障承诺书（明确质保期年限）；</w:t>
      </w:r>
    </w:p>
    <w:p>
      <w:pPr>
        <w:spacing w:line="360" w:lineRule="auto"/>
        <w:ind w:firstLine="420" w:firstLineChars="200"/>
        <w:rPr>
          <w:rFonts w:ascii="宋体" w:hAnsi="宋体" w:hint="eastAsia"/>
          <w:szCs w:val="21"/>
        </w:rPr>
      </w:pPr>
      <w:r>
        <w:rPr>
          <w:rFonts w:ascii="宋体" w:hAnsi="宋体" w:hint="eastAsia"/>
          <w:szCs w:val="21"/>
        </w:rPr>
        <w:t>采购人或其委托的监理机构按照初步设计和测试大纲指标要求，对设备的整机功能及性能指标等进行测试；</w:t>
      </w:r>
    </w:p>
    <w:p>
      <w:pPr>
        <w:spacing w:line="360" w:lineRule="auto"/>
        <w:ind w:firstLine="420" w:firstLineChars="200"/>
        <w:rPr>
          <w:rFonts w:ascii="宋体" w:hAnsi="宋体" w:hint="eastAsia"/>
          <w:szCs w:val="21"/>
        </w:rPr>
      </w:pPr>
      <w:r>
        <w:rPr>
          <w:rFonts w:ascii="宋体" w:hAnsi="宋体" w:hint="eastAsia"/>
          <w:szCs w:val="21"/>
        </w:rPr>
        <w:t>出厂测试合格后，由采购人或其委托的监理机构与</w:t>
      </w:r>
      <w:r>
        <w:rPr>
          <w:rFonts w:ascii="宋体" w:hAnsi="宋体"/>
          <w:szCs w:val="21"/>
        </w:rPr>
        <w:t>中标人</w:t>
      </w:r>
      <w:r>
        <w:rPr>
          <w:rFonts w:ascii="宋体" w:hAnsi="宋体" w:hint="eastAsia"/>
          <w:szCs w:val="21"/>
        </w:rPr>
        <w:t>共同签署《出厂测试验收单》。</w:t>
      </w:r>
    </w:p>
    <w:p>
      <w:pPr>
        <w:spacing w:line="360" w:lineRule="auto"/>
        <w:ind w:firstLine="420" w:firstLineChars="200"/>
        <w:rPr>
          <w:rFonts w:ascii="宋体" w:hAnsi="宋体" w:hint="eastAsia"/>
          <w:szCs w:val="21"/>
        </w:rPr>
      </w:pPr>
      <w:r>
        <w:rPr>
          <w:rFonts w:ascii="宋体" w:hAnsi="宋体" w:hint="eastAsia"/>
          <w:szCs w:val="21"/>
        </w:rPr>
        <w:t>2.现场</w:t>
      </w:r>
      <w:r>
        <w:rPr>
          <w:rFonts w:ascii="宋体" w:hAnsi="宋体"/>
          <w:szCs w:val="21"/>
        </w:rPr>
        <w:t>验收</w:t>
      </w:r>
    </w:p>
    <w:p>
      <w:pPr>
        <w:numPr>
          <w:ilvl w:val="12"/>
          <w:numId w:val="0"/>
        </w:numPr>
        <w:spacing w:line="360" w:lineRule="auto"/>
        <w:ind w:firstLine="420" w:firstLineChars="200"/>
        <w:rPr>
          <w:rFonts w:ascii="宋体" w:hAnsi="宋体" w:hint="eastAsia"/>
          <w:szCs w:val="21"/>
        </w:rPr>
      </w:pPr>
      <w:r>
        <w:rPr>
          <w:rFonts w:ascii="宋体" w:hAnsi="宋体" w:hint="eastAsia"/>
          <w:szCs w:val="21"/>
        </w:rPr>
        <w:t>（1）到货检验</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检验准备：</w:t>
      </w:r>
      <w:r>
        <w:rPr>
          <w:rFonts w:ascii="宋体" w:hAnsi="宋体"/>
          <w:szCs w:val="21"/>
        </w:rPr>
        <w:t>中</w:t>
      </w:r>
      <w:r>
        <w:rPr>
          <w:rFonts w:ascii="宋体" w:hAnsi="宋体" w:hint="eastAsia"/>
          <w:szCs w:val="21"/>
        </w:rPr>
        <w:t>标人应提前提供材料设备清单、产品合格证、产品使用说明书等资料，以备核查。</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检验内容：采购人或其委托的监理机构依据合同及技术规范，对设备数量、型号规格、外观完好性、配件齐全性、随机资料等进行逐一核对。</w:t>
      </w:r>
    </w:p>
    <w:p>
      <w:pPr>
        <w:numPr>
          <w:ilvl w:val="12"/>
          <w:numId w:val="0"/>
        </w:numPr>
        <w:spacing w:line="360" w:lineRule="auto"/>
        <w:ind w:firstLine="420" w:firstLineChars="200"/>
        <w:rPr>
          <w:rFonts w:ascii="宋体" w:hAnsi="宋体" w:hint="eastAsia"/>
          <w:szCs w:val="21"/>
        </w:rPr>
      </w:pPr>
      <w:r>
        <w:rPr>
          <w:rFonts w:ascii="宋体" w:hAnsi="宋体" w:hint="eastAsia"/>
          <w:szCs w:val="21"/>
        </w:rPr>
        <w:t>问题处理：如发现设备短缺、损坏或性能指标与合同要求不符，采购人有权拒收或要求更换，相关费用由</w:t>
      </w:r>
      <w:r>
        <w:rPr>
          <w:rFonts w:ascii="宋体" w:hAnsi="宋体"/>
          <w:szCs w:val="21"/>
        </w:rPr>
        <w:t>中</w:t>
      </w:r>
      <w:r>
        <w:rPr>
          <w:rFonts w:ascii="宋体" w:hAnsi="宋体" w:hint="eastAsia"/>
          <w:szCs w:val="21"/>
        </w:rPr>
        <w:t>标人承担。检验合格后，由采购人或监理工程师在到货检验报告上签署意见，采购方最终签字确认。</w:t>
      </w:r>
    </w:p>
    <w:p>
      <w:pPr>
        <w:numPr>
          <w:ilvl w:val="12"/>
          <w:numId w:val="0"/>
        </w:numPr>
        <w:spacing w:line="360" w:lineRule="auto"/>
        <w:ind w:firstLine="420" w:firstLineChars="200"/>
        <w:rPr>
          <w:rFonts w:ascii="宋体" w:hAnsi="宋体" w:hint="eastAsia"/>
          <w:szCs w:val="21"/>
        </w:rPr>
      </w:pPr>
      <w:r>
        <w:rPr>
          <w:rFonts w:ascii="宋体" w:hAnsi="宋体" w:hint="eastAsia"/>
          <w:szCs w:val="21"/>
        </w:rPr>
        <w:t>（2）安装调试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实施要求：到货检验通过后，</w:t>
      </w:r>
      <w:r>
        <w:rPr>
          <w:rFonts w:ascii="宋体" w:hAnsi="宋体"/>
          <w:szCs w:val="21"/>
        </w:rPr>
        <w:t>中</w:t>
      </w:r>
      <w:r>
        <w:rPr>
          <w:rFonts w:ascii="宋体" w:hAnsi="宋体" w:hint="eastAsia"/>
          <w:szCs w:val="21"/>
        </w:rPr>
        <w:t>标人应在30天内完成设备的安装、配置与调试工作。安装过程应符合国家或行业相关标准。</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测试验证：安装调试完成后，</w:t>
      </w:r>
      <w:r>
        <w:rPr>
          <w:rFonts w:ascii="宋体" w:hAnsi="宋体"/>
          <w:szCs w:val="21"/>
        </w:rPr>
        <w:t>中</w:t>
      </w:r>
      <w:r>
        <w:rPr>
          <w:rFonts w:ascii="宋体" w:hAnsi="宋体" w:hint="eastAsia"/>
          <w:szCs w:val="21"/>
        </w:rPr>
        <w:t>标人应进行自检，并向采购人提交安装调试报告。</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整改责任：若测试中发现任何问题，</w:t>
      </w:r>
      <w:r>
        <w:rPr>
          <w:rFonts w:ascii="宋体" w:hAnsi="宋体"/>
          <w:szCs w:val="21"/>
        </w:rPr>
        <w:t>中</w:t>
      </w:r>
      <w:r>
        <w:rPr>
          <w:rFonts w:ascii="宋体" w:hAnsi="宋体" w:hint="eastAsia"/>
          <w:szCs w:val="21"/>
        </w:rPr>
        <w:t>标人须无条件免费整改，直至满足合同要求。所有费用已包含在投标总价中。</w:t>
      </w:r>
    </w:p>
    <w:p>
      <w:pPr>
        <w:numPr>
          <w:ilvl w:val="12"/>
          <w:numId w:val="0"/>
        </w:numPr>
        <w:spacing w:line="360" w:lineRule="auto"/>
        <w:ind w:firstLine="420" w:firstLineChars="200"/>
        <w:rPr>
          <w:rFonts w:ascii="宋体" w:hAnsi="宋体" w:hint="eastAsia"/>
          <w:szCs w:val="21"/>
        </w:rPr>
      </w:pPr>
      <w:r>
        <w:rPr>
          <w:rFonts w:ascii="宋体" w:hAnsi="宋体" w:hint="eastAsia"/>
          <w:szCs w:val="21"/>
        </w:rPr>
        <w:t>（3）培训</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培训安排：</w:t>
      </w:r>
      <w:r>
        <w:rPr>
          <w:rFonts w:ascii="宋体" w:hAnsi="宋体"/>
          <w:szCs w:val="21"/>
        </w:rPr>
        <w:t>中</w:t>
      </w:r>
      <w:r>
        <w:rPr>
          <w:rFonts w:ascii="宋体" w:hAnsi="宋体" w:hint="eastAsia"/>
          <w:szCs w:val="21"/>
        </w:rPr>
        <w:t>标人应为采购人相关操作及维护人员提供现场培训，确保其熟练掌握设备的使用、日常维护及常见故障处理方法。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培训内容：包括但不限于设备操作流程、安全注意事项、日常保养要点、简单故障排除等。中标人应提供培训教材（纸质或电子版）。</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培训效果确认：培训结束后，填写培训确认单。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（4）验收结论</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到货检验、安装调试及培训工作全部完成后，</w:t>
      </w:r>
      <w:r>
        <w:rPr>
          <w:rFonts w:ascii="宋体" w:hAnsi="宋体"/>
          <w:szCs w:val="21"/>
        </w:rPr>
        <w:t>中</w:t>
      </w:r>
      <w:r>
        <w:rPr>
          <w:rFonts w:ascii="宋体" w:hAnsi="宋体" w:hint="eastAsia"/>
          <w:szCs w:val="21"/>
        </w:rPr>
        <w:t>标人应整理相关记录，提请采购人确认。采购人确认合格后，双方共同签署《现场验收单》，作为进入下一阶段（合同验收）的依据。同时，启动设备试运行工作，试运行时间不少于1个月。</w:t>
      </w:r>
    </w:p>
    <w:p>
      <w:pPr>
        <w:spacing w:line="360" w:lineRule="auto"/>
        <w:ind w:firstLine="420" w:firstLineChars="200"/>
        <w:rPr>
          <w:rFonts w:ascii="宋体" w:hAnsi="宋体" w:hint="eastAsia"/>
          <w:szCs w:val="21"/>
        </w:rPr>
      </w:pPr>
      <w:r>
        <w:rPr>
          <w:rFonts w:ascii="宋体" w:hAnsi="宋体" w:hint="eastAsia"/>
          <w:szCs w:val="21"/>
        </w:rPr>
        <w:t>3.合同验收</w:t>
      </w:r>
    </w:p>
    <w:p>
      <w:pPr>
        <w:spacing w:line="360" w:lineRule="auto"/>
        <w:ind w:firstLine="420" w:firstLineChars="200"/>
        <w:rPr>
          <w:rFonts w:ascii="宋体" w:hAnsi="宋体" w:hint="eastAsia"/>
          <w:szCs w:val="21"/>
        </w:rPr>
      </w:pPr>
      <w:r>
        <w:rPr>
          <w:rFonts w:ascii="宋体" w:hAnsi="宋体" w:hint="eastAsia"/>
          <w:szCs w:val="21"/>
        </w:rPr>
        <w:t>试运行结束后，</w:t>
      </w:r>
      <w:r>
        <w:rPr>
          <w:rFonts w:ascii="宋体" w:hAnsi="宋体"/>
          <w:szCs w:val="21"/>
        </w:rPr>
        <w:t>中</w:t>
      </w:r>
      <w:r>
        <w:rPr>
          <w:rFonts w:ascii="宋体" w:hAnsi="宋体" w:hint="eastAsia"/>
          <w:szCs w:val="21"/>
        </w:rPr>
        <w:t>标人对项目所有文件进行整理，提交全部验收文档后，向采购人提出合同验收申请。</w:t>
      </w:r>
    </w:p>
    <w:p>
      <w:pPr>
        <w:spacing w:line="360" w:lineRule="auto"/>
        <w:ind w:firstLine="420" w:firstLineChars="200"/>
        <w:rPr>
          <w:rFonts w:ascii="宋体" w:hAnsi="宋体" w:hint="eastAsia"/>
          <w:szCs w:val="21"/>
        </w:rPr>
      </w:pPr>
      <w:r>
        <w:rPr>
          <w:rFonts w:ascii="宋体" w:hAnsi="宋体"/>
          <w:szCs w:val="21"/>
        </w:rPr>
        <w:t>验收按照采购人的</w:t>
      </w:r>
      <w:r>
        <w:rPr>
          <w:rFonts w:ascii="宋体" w:hAnsi="宋体" w:hint="eastAsia"/>
          <w:szCs w:val="21"/>
        </w:rPr>
        <w:t>管理规定进行</w:t>
      </w:r>
      <w:r>
        <w:rPr>
          <w:rFonts w:ascii="宋体" w:hAnsi="宋体"/>
          <w:szCs w:val="21"/>
        </w:rPr>
        <w:t>。通过验收后，需要中标人、采购人双方在验收报告上签字盖章，签字盖章后视为验收通过。</w:t>
      </w:r>
    </w:p>
    <w:p>
      <w:pPr>
        <w:spacing w:line="360" w:lineRule="auto"/>
        <w:ind w:firstLine="420" w:firstLineChars="200"/>
        <w:rPr>
          <w:rFonts w:ascii="宋体" w:hAnsi="宋体" w:hint="eastAsia"/>
          <w:szCs w:val="21"/>
        </w:rPr>
      </w:pPr>
      <w:r>
        <w:rPr>
          <w:rFonts w:ascii="宋体" w:hAnsi="宋体"/>
          <w:szCs w:val="21"/>
        </w:rPr>
        <w:t>验收过程中，若发现货物质量有问题，中标人应无条件免费更换，并无条件重新检测并调试直至验收合格交付采购人使用。在此期间，中标人在采购人现场进行安装、调试、试运行直至</w:t>
      </w:r>
      <w:r>
        <w:rPr>
          <w:rFonts w:ascii="宋体" w:hAnsi="宋体" w:hint="eastAsia"/>
          <w:szCs w:val="21"/>
        </w:rPr>
        <w:t>合同</w:t>
      </w:r>
      <w:r>
        <w:rPr>
          <w:rFonts w:ascii="宋体" w:hAnsi="宋体"/>
          <w:szCs w:val="21"/>
        </w:rPr>
        <w:t>验收所发生的一切费用由中标人承担且已含在报价总价中。</w:t>
      </w:r>
    </w:p>
    <w:p>
      <w:pPr>
        <w:spacing w:line="360" w:lineRule="auto"/>
        <w:ind w:firstLine="420" w:firstLineChars="200"/>
        <w:rPr>
          <w:rFonts w:ascii="宋体" w:hAnsi="宋体" w:hint="eastAsia"/>
          <w:szCs w:val="21"/>
        </w:rPr>
      </w:pPr>
      <w:r>
        <w:rPr>
          <w:rFonts w:ascii="宋体" w:hAnsi="宋体" w:hint="eastAsia"/>
          <w:szCs w:val="21"/>
        </w:rPr>
        <w:t>七、质量保证期（质保期）</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质量保证期（质保期）：整体系统通过最终验收合格之日起计，连续正常使用累计满捌年。质保期内中标人应确保系统运行正常，并负责免费保修，排除故障，无偿更换或修复功能失效或损坏的部件。</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软件免费升级服务期为整体系统通过最终验收合格之日起计捌年。</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质保期内，中标人必须配备一支稳定的专业技术服务队伍，并配备足够的交通工具、通信工具、检测仪器及维修设备，负责设备的一切维护工作。</w:t>
      </w:r>
    </w:p>
    <w:p>
      <w:pPr>
        <w:spacing w:line="360" w:lineRule="auto"/>
        <w:ind w:firstLine="420" w:firstLineChars="200"/>
        <w:rPr>
          <w:rFonts w:ascii="宋体" w:hAnsi="宋体" w:hint="eastAsia"/>
          <w:szCs w:val="21"/>
        </w:rPr>
      </w:pPr>
      <w:r>
        <w:rPr>
          <w:rFonts w:ascii="宋体" w:hAnsi="宋体" w:hint="eastAsia"/>
          <w:szCs w:val="21"/>
        </w:rPr>
        <w:t>八、售后服务要求</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本项目中标人须按招标文件文件的要求提供合格的产品，承诺自初验收合格之日起设备（含软件）质保期为</w:t>
      </w:r>
      <w:r>
        <w:rPr>
          <w:rFonts w:ascii="宋体" w:hAnsi="宋体" w:hint="eastAsia"/>
          <w:szCs w:val="21"/>
        </w:rPr>
        <w:t>8</w:t>
      </w:r>
      <w:r>
        <w:rPr>
          <w:rFonts w:ascii="宋体" w:hAnsi="宋体"/>
          <w:szCs w:val="21"/>
        </w:rPr>
        <w:t>年。质保期内，须按合同条款提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中标人须提供常设7天×24小时热线服务和长期的免费技术支持，对采购人的服务通知，中标人在接报后2小时内响应，6小时内到达现场，24小时内处理完毕；如在检修24小时后仍无法排除故障，则中标人应在12小时内提供不低于故障设备规格、型号、性能的备用设备供采购人使用，直至故障设备修复。</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定期巡检：中标人需派遣维修技术人员定期进行巡检、走访，听取客户意见，为客户解决疑难问题，指导操作人员进行正确操作和保养，质保期内定期巡视时间周期为年均不少于两次。</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szCs w:val="21"/>
        </w:rPr>
        <w:t>中标人应负责系统运行的稳定性。负责免费更换硬件故障部件或修改出错的软件系统。</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szCs w:val="21"/>
        </w:rPr>
        <w:t>中标人必须承诺提供长期的咨询和技术支持服务。</w:t>
      </w:r>
    </w:p>
    <w:p>
      <w:pPr>
        <w:spacing w:line="360" w:lineRule="auto"/>
        <w:ind w:firstLine="420" w:firstLineChars="200"/>
        <w:rPr>
          <w:rFonts w:ascii="宋体" w:hAnsi="宋体" w:hint="eastAsia"/>
          <w:szCs w:val="21"/>
        </w:rPr>
      </w:pPr>
      <w:r>
        <w:rPr>
          <w:rFonts w:ascii="宋体" w:hAnsi="宋体" w:hint="eastAsia"/>
          <w:szCs w:val="21"/>
        </w:rPr>
        <w:t>7.</w:t>
      </w:r>
      <w:r>
        <w:rPr>
          <w:rFonts w:ascii="宋体" w:hAnsi="宋体"/>
          <w:szCs w:val="21"/>
        </w:rPr>
        <w:t>中标人需为本项目提供自动化火箭发射系统的备件和工具。</w:t>
      </w:r>
    </w:p>
    <w:p>
      <w:pPr>
        <w:spacing w:line="360" w:lineRule="auto"/>
        <w:ind w:firstLine="420" w:firstLineChars="200"/>
        <w:rPr>
          <w:rFonts w:ascii="宋体" w:hAnsi="宋体" w:hint="eastAsia"/>
          <w:szCs w:val="21"/>
        </w:rPr>
      </w:pPr>
      <w:r>
        <w:rPr>
          <w:rFonts w:ascii="宋体" w:hAnsi="宋体" w:hint="eastAsia"/>
          <w:szCs w:val="21"/>
        </w:rPr>
        <w:t>九、培训要求</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1.</w:t>
      </w:r>
      <w:r>
        <w:rPr>
          <w:rFonts w:cs="宋体" w:hint="eastAsia"/>
          <w:color w:val="000000" w:themeColor="text1"/>
          <w:szCs w:val="21"/>
        </w:rPr>
        <w:t>中标人必须在其投标文件中列出培训课程大纲，同时提出培训计划。</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2.培训在采购人指定的地点进行。</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3.中标人应提供日常操作，保养与管理，常见故障排除，紧急情况处理等专业培训。</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4.培训应采取现场讲解和操作训练相结合的方法。</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5.所有的培训课程和示范均应由有资质的人员亲自进行，培训人员不仅须具备该领域的专长，同时还须具备与受训人员之间进行简明有效的沟通的能力。采购人将监督培训计划的实施。</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6.培训资料和手册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1)中标人应编制和提供本招标文件中描述的培训工作所需的所有培训手册。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2)中标人应根据参加各项培训课程人员的数目，向每一个参加人员提供全部有关的培训手册。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3)培训课程使用中标人提供的有关文件，并且在培训班开始之前完成有关文件认可后的最终稿。</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4)除采购人另有认可外，最终文件应于开始任何培训课至少15 个工作日之前提交采购人确认。</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5)中标人应提交包括所有培训手册的完整的电子文件。</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6)中标人应提供培训所需的所有消耗品、测试设备和任何其他材料。</w:t>
      </w:r>
    </w:p>
    <w:p>
      <w:pPr>
        <w:spacing w:line="360" w:lineRule="auto"/>
        <w:ind w:firstLine="420"/>
        <w:rPr>
          <w:rFonts w:ascii="宋体" w:hAnsi="宋体" w:cs="宋体" w:hint="eastAsia"/>
        </w:rPr>
      </w:pPr>
      <w:r>
        <w:rPr>
          <w:rFonts w:ascii="宋体" w:hAnsi="宋体" w:cs="宋体" w:hint="eastAsia"/>
          <w:color w:val="000000" w:themeColor="text1"/>
          <w:spacing w:val="-4"/>
          <w:szCs w:val="21"/>
        </w:rPr>
        <w:t>7)采购人有权使用其摄像、录音等设备记录所有的培训课程。</w:t>
      </w:r>
      <w:bookmarkEnd w:id="57"/>
    </w:p>
    <w:bookmarkEnd w:id="58"/>
    <w:p>
      <w:pPr>
        <w:tabs>
          <w:tab w:val="left" w:pos="1573"/>
        </w:tabs>
        <w:adjustRightInd w:val="0"/>
        <w:snapToGrid w:val="0"/>
        <w:spacing w:line="360" w:lineRule="auto"/>
        <w:jc w:val="center"/>
        <w:outlineLvl w:val="1"/>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7"/>
        <w:gridCol w:w="3328"/>
        <w:gridCol w:w="847"/>
        <w:gridCol w:w="1178"/>
        <w:gridCol w:w="1343"/>
        <w:gridCol w:w="847"/>
        <w:gridCol w:w="50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火箭发射装置</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3,296,000.00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基于三码绑定的人影火箭发射安全锁控系统</w:t>
            </w:r>
          </w:p>
        </w:tc>
        <w:tc>
          <w:tcPr/>
          <w:p>
            <w:pPr>
              <w:autoSpaceDE w:val="0"/>
              <w:jc w:val="center"/>
              <w:rPr>
                <w:rFonts w:asciiTheme="minorEastAsia" w:hAnsiTheme="minorEastAsia" w:cstheme="minorEastAsia"/>
                <w:kern w:val="0"/>
                <w:szCs w:val="21"/>
              </w:rPr>
            </w:pPr>
            <w:r>
              <w:t>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弹药临时储运箱</w:t>
            </w:r>
          </w:p>
        </w:tc>
        <w:tc>
          <w:tcPr/>
          <w:p>
            <w:pPr>
              <w:autoSpaceDE w:val="0"/>
              <w:jc w:val="center"/>
              <w:rPr>
                <w:rFonts w:asciiTheme="minorEastAsia" w:hAnsiTheme="minorEastAsia" w:cstheme="minorEastAsia"/>
                <w:kern w:val="0"/>
                <w:szCs w:val="21"/>
              </w:rPr>
            </w:pPr>
            <w:r>
              <w:t>28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560,000.00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4,496,000.00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2"/>
        <w:gridCol w:w="1931"/>
        <w:gridCol w:w="2204"/>
        <w:gridCol w:w="342"/>
        <w:gridCol w:w="780"/>
        <w:gridCol w:w="595"/>
        <w:gridCol w:w="561"/>
        <w:gridCol w:w="17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海口市局（橡胶台）(001050022)</w:t>
            </w:r>
          </w:p>
        </w:tc>
        <w:tc>
          <w:tcPr/>
          <w:p>
            <w:r>
              <w:t>基于三码绑定的人影火箭发射安全锁控系统</w:t>
            </w:r>
          </w:p>
        </w:tc>
        <w:tc>
          <w:tcPr/>
          <w:p>
            <w:r>
              <w:t>2</w:t>
            </w:r>
          </w:p>
        </w:tc>
        <w:tc>
          <w:tcPr/>
          <w:p>
            <w:r>
              <w:t>20000.00</w:t>
            </w:r>
          </w:p>
        </w:tc>
        <w:tc>
          <w:tcPr>
            <w:vMerge w:val="restart"/>
          </w:tcPr>
          <w:p>
            <w:r>
              <w:t xml:space="preserve">246000.00  </w:t>
            </w:r>
          </w:p>
        </w:tc>
        <w:tc>
          <w:tcPr/>
          <w:p/>
        </w:tc>
        <w:tc>
          <w:tcPr/>
          <w:p/>
        </w:tc>
      </w:tr>
      <w:tr>
        <w:tblPrEx>
          <w:tblW w:w="5000" w:type="pct"/>
          <w:tblCellMar>
            <w:left w:w="108" w:type="dxa"/>
            <w:right w:w="108" w:type="dxa"/>
          </w:tblCellMar>
        </w:tblPrEx>
        <w:tc>
          <w:tcPr/>
          <w:p>
            <w:r>
              <w:t>2</w:t>
            </w:r>
          </w:p>
        </w:tc>
        <w:tc>
          <w:tcPr>
            <w:vMerge/>
          </w:tcPr>
          <w:p>
            <w:r>
              <w:t>海口市局（橡胶台）(001050022)</w:t>
            </w:r>
          </w:p>
        </w:tc>
        <w:tc>
          <w:tcPr/>
          <w:p>
            <w:r>
              <w:t>火箭作业安全监控终端</w:t>
            </w:r>
          </w:p>
        </w:tc>
        <w:tc>
          <w:tcPr/>
          <w:p>
            <w:r>
              <w:t>2</w:t>
            </w:r>
          </w:p>
        </w:tc>
        <w:tc>
          <w:tcPr/>
          <w:p>
            <w:r>
              <w:t>20000.00</w:t>
            </w:r>
          </w:p>
        </w:tc>
        <w:tc>
          <w:tcPr>
            <w:vMerge/>
          </w:tcPr>
          <w:p>
            <w:r>
              <w:t xml:space="preserve">246000.00  </w:t>
            </w:r>
          </w:p>
        </w:tc>
        <w:tc>
          <w:tcPr/>
          <w:p/>
        </w:tc>
        <w:tc>
          <w:tcPr/>
          <w:p/>
        </w:tc>
      </w:tr>
      <w:tr>
        <w:tblPrEx>
          <w:tblW w:w="5000" w:type="pct"/>
          <w:tblCellMar>
            <w:left w:w="108" w:type="dxa"/>
            <w:right w:w="108" w:type="dxa"/>
          </w:tblCellMar>
        </w:tblPrEx>
        <w:tc>
          <w:tcPr/>
          <w:p>
            <w:r>
              <w:t>3</w:t>
            </w:r>
          </w:p>
        </w:tc>
        <w:tc>
          <w:tcPr>
            <w:vMerge/>
          </w:tcPr>
          <w:p>
            <w:r>
              <w:t>海口市局（橡胶台）(001050022)</w:t>
            </w:r>
          </w:p>
        </w:tc>
        <w:tc>
          <w:tcPr/>
          <w:p>
            <w:r>
              <w:t>火箭发射装置</w:t>
            </w:r>
          </w:p>
        </w:tc>
        <w:tc>
          <w:tcPr/>
          <w:p>
            <w:r>
              <w:t>2</w:t>
            </w:r>
          </w:p>
        </w:tc>
        <w:tc>
          <w:tcPr/>
          <w:p>
            <w:r>
              <w:t>206000.00</w:t>
            </w:r>
          </w:p>
        </w:tc>
        <w:tc>
          <w:tcPr>
            <w:vMerge/>
          </w:tcPr>
          <w:p>
            <w:r>
              <w:t xml:space="preserve">246000.00  </w:t>
            </w:r>
          </w:p>
        </w:tc>
        <w:tc>
          <w:tcPr/>
          <w:p/>
        </w:tc>
        <w:tc>
          <w:tcPr/>
          <w:p>
            <w:r>
              <w:t>海南省海口市气象局 林正扬</w:t>
              <w:tab/>
              <w:t>15289825248</w:t>
            </w:r>
          </w:p>
        </w:tc>
      </w:tr>
      <w:tr>
        <w:tblPrEx>
          <w:tblW w:w="5000" w:type="pct"/>
          <w:tblCellMar>
            <w:left w:w="108" w:type="dxa"/>
            <w:right w:w="108" w:type="dxa"/>
          </w:tblCellMar>
        </w:tblPrEx>
        <w:tc>
          <w:tcPr/>
          <w:p>
            <w:r>
              <w:t>4</w:t>
            </w:r>
          </w:p>
        </w:tc>
        <w:tc>
          <w:tcPr>
            <w:vMerge w:val="restart"/>
          </w:tcPr>
          <w:p>
            <w:r>
              <w:t>三亚市局（南滨农气站）(001050023)</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w:t>
            </w:r>
          </w:p>
        </w:tc>
        <w:tc>
          <w:tcPr>
            <w:vMerge/>
          </w:tcPr>
          <w:p>
            <w:r>
              <w:t>三亚市局（南滨农气站）(001050023)</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6</w:t>
            </w:r>
          </w:p>
        </w:tc>
        <w:tc>
          <w:tcPr>
            <w:vMerge/>
          </w:tcPr>
          <w:p>
            <w:r>
              <w:t>三亚市局（南滨农气站）(001050023)</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7</w:t>
            </w:r>
          </w:p>
        </w:tc>
        <w:tc>
          <w:tcPr>
            <w:vMerge/>
          </w:tcPr>
          <w:p>
            <w:r>
              <w:t>三亚市局（南滨农气站）(001050023)</w:t>
            </w:r>
          </w:p>
        </w:tc>
        <w:tc>
          <w:tcPr/>
          <w:p>
            <w:r>
              <w:t>火箭发射装置</w:t>
            </w:r>
          </w:p>
        </w:tc>
        <w:tc>
          <w:tcPr/>
          <w:p>
            <w:r>
              <w:t>2</w:t>
            </w:r>
          </w:p>
        </w:tc>
        <w:tc>
          <w:tcPr/>
          <w:p>
            <w:r>
              <w:t>206000.00</w:t>
            </w:r>
          </w:p>
        </w:tc>
        <w:tc>
          <w:tcPr>
            <w:vMerge/>
          </w:tcPr>
          <w:p>
            <w:r>
              <w:t xml:space="preserve">286000.00 </w:t>
            </w:r>
          </w:p>
        </w:tc>
        <w:tc>
          <w:tcPr/>
          <w:p/>
        </w:tc>
        <w:tc>
          <w:tcPr/>
          <w:p>
            <w:r>
              <w:t>海南省三亚市气象局 陈海坚</w:t>
              <w:tab/>
              <w:t>13198968263</w:t>
            </w:r>
          </w:p>
        </w:tc>
      </w:tr>
      <w:tr>
        <w:tblPrEx>
          <w:tblW w:w="5000" w:type="pct"/>
          <w:tblCellMar>
            <w:left w:w="108" w:type="dxa"/>
            <w:right w:w="108" w:type="dxa"/>
          </w:tblCellMar>
        </w:tblPrEx>
        <w:tc>
          <w:tcPr/>
          <w:p>
            <w:r>
              <w:t>8</w:t>
            </w:r>
          </w:p>
        </w:tc>
        <w:tc>
          <w:tcPr>
            <w:vMerge w:val="restart"/>
          </w:tcPr>
          <w:p>
            <w:r>
              <w:t>琼海市局(001050024)</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9</w:t>
            </w:r>
          </w:p>
        </w:tc>
        <w:tc>
          <w:tcPr>
            <w:vMerge/>
          </w:tcPr>
          <w:p>
            <w:r>
              <w:t>琼海市局(001050024)</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10</w:t>
            </w:r>
          </w:p>
        </w:tc>
        <w:tc>
          <w:tcPr>
            <w:vMerge/>
          </w:tcPr>
          <w:p>
            <w:r>
              <w:t>琼海市局(001050024)</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11</w:t>
            </w:r>
          </w:p>
        </w:tc>
        <w:tc>
          <w:tcPr>
            <w:vMerge/>
          </w:tcPr>
          <w:p>
            <w:r>
              <w:t>琼海市局(001050024)</w:t>
            </w:r>
          </w:p>
        </w:tc>
        <w:tc>
          <w:tcPr/>
          <w:p>
            <w:r>
              <w:t>火箭发射装置</w:t>
            </w:r>
          </w:p>
        </w:tc>
        <w:tc>
          <w:tcPr/>
          <w:p>
            <w:r>
              <w:t>1</w:t>
            </w:r>
          </w:p>
        </w:tc>
        <w:tc>
          <w:tcPr/>
          <w:p>
            <w:r>
              <w:t>103000.00</w:t>
            </w:r>
          </w:p>
        </w:tc>
        <w:tc>
          <w:tcPr>
            <w:vMerge/>
          </w:tcPr>
          <w:p>
            <w:r>
              <w:t xml:space="preserve">143000.00  </w:t>
            </w:r>
          </w:p>
        </w:tc>
        <w:tc>
          <w:tcPr/>
          <w:p/>
        </w:tc>
        <w:tc>
          <w:tcPr/>
          <w:p>
            <w:r>
              <w:t>海南省琼海市气象局 王春华</w:t>
              <w:tab/>
              <w:t>18117655050</w:t>
            </w:r>
          </w:p>
        </w:tc>
      </w:tr>
      <w:tr>
        <w:tblPrEx>
          <w:tblW w:w="5000" w:type="pct"/>
          <w:tblCellMar>
            <w:left w:w="108" w:type="dxa"/>
            <w:right w:w="108" w:type="dxa"/>
          </w:tblCellMar>
        </w:tblPrEx>
        <w:tc>
          <w:tcPr/>
          <w:p>
            <w:r>
              <w:t>12</w:t>
            </w:r>
          </w:p>
        </w:tc>
        <w:tc>
          <w:tcPr>
            <w:vMerge w:val="restart"/>
          </w:tcPr>
          <w:p>
            <w:r>
              <w:t>儋州市局（西庆农气站）(001050025)</w:t>
            </w:r>
          </w:p>
        </w:tc>
        <w:tc>
          <w:tcPr/>
          <w:p>
            <w:r>
              <w:t>基于三码绑定的人影火箭发射安全锁控系统</w:t>
            </w:r>
          </w:p>
        </w:tc>
        <w:tc>
          <w:tcPr/>
          <w:p>
            <w:r>
              <w:t>2</w:t>
            </w:r>
          </w:p>
        </w:tc>
        <w:tc>
          <w:tcPr/>
          <w:p>
            <w:r>
              <w:t>20000.00</w:t>
            </w:r>
          </w:p>
        </w:tc>
        <w:tc>
          <w:tcPr>
            <w:vMerge w:val="restart"/>
          </w:tcPr>
          <w:p>
            <w:r>
              <w:t xml:space="preserve">246000.00 </w:t>
            </w:r>
          </w:p>
        </w:tc>
        <w:tc>
          <w:tcPr/>
          <w:p/>
        </w:tc>
        <w:tc>
          <w:tcPr/>
          <w:p/>
        </w:tc>
      </w:tr>
      <w:tr>
        <w:tblPrEx>
          <w:tblW w:w="5000" w:type="pct"/>
          <w:tblCellMar>
            <w:left w:w="108" w:type="dxa"/>
            <w:right w:w="108" w:type="dxa"/>
          </w:tblCellMar>
        </w:tblPrEx>
        <w:tc>
          <w:tcPr/>
          <w:p>
            <w:r>
              <w:t>13</w:t>
            </w:r>
          </w:p>
        </w:tc>
        <w:tc>
          <w:tcPr>
            <w:vMerge/>
          </w:tcPr>
          <w:p>
            <w:r>
              <w:t>儋州市局（西庆农气站）(001050025)</w:t>
            </w:r>
          </w:p>
        </w:tc>
        <w:tc>
          <w:tcPr/>
          <w:p>
            <w:r>
              <w:t>火箭作业安全监控终端</w:t>
            </w:r>
          </w:p>
        </w:tc>
        <w:tc>
          <w:tcPr/>
          <w:p>
            <w:r>
              <w:t>2</w:t>
            </w:r>
          </w:p>
        </w:tc>
        <w:tc>
          <w:tcPr/>
          <w:p>
            <w:r>
              <w:t>20000.00</w:t>
            </w:r>
          </w:p>
        </w:tc>
        <w:tc>
          <w:tcPr>
            <w:vMerge/>
          </w:tcPr>
          <w:p>
            <w:r>
              <w:t xml:space="preserve">246000.00 </w:t>
            </w:r>
          </w:p>
        </w:tc>
        <w:tc>
          <w:tcPr/>
          <w:p/>
        </w:tc>
        <w:tc>
          <w:tcPr/>
          <w:p/>
        </w:tc>
      </w:tr>
      <w:tr>
        <w:tblPrEx>
          <w:tblW w:w="5000" w:type="pct"/>
          <w:tblCellMar>
            <w:left w:w="108" w:type="dxa"/>
            <w:right w:w="108" w:type="dxa"/>
          </w:tblCellMar>
        </w:tblPrEx>
        <w:tc>
          <w:tcPr/>
          <w:p>
            <w:r>
              <w:t>14</w:t>
            </w:r>
          </w:p>
        </w:tc>
        <w:tc>
          <w:tcPr>
            <w:vMerge/>
          </w:tcPr>
          <w:p>
            <w:r>
              <w:t>儋州市局（西庆农气站）(001050025)</w:t>
            </w:r>
          </w:p>
        </w:tc>
        <w:tc>
          <w:tcPr/>
          <w:p>
            <w:r>
              <w:t>火箭发射装置</w:t>
            </w:r>
          </w:p>
        </w:tc>
        <w:tc>
          <w:tcPr/>
          <w:p>
            <w:r>
              <w:t>2</w:t>
            </w:r>
          </w:p>
        </w:tc>
        <w:tc>
          <w:tcPr/>
          <w:p>
            <w:r>
              <w:t>206000.00</w:t>
            </w:r>
          </w:p>
        </w:tc>
        <w:tc>
          <w:tcPr>
            <w:vMerge/>
          </w:tcPr>
          <w:p>
            <w:r>
              <w:t xml:space="preserve">246000.00 </w:t>
            </w:r>
          </w:p>
        </w:tc>
        <w:tc>
          <w:tcPr/>
          <w:p/>
        </w:tc>
        <w:tc>
          <w:tcPr/>
          <w:p>
            <w:r>
              <w:t>海南省儋州市气象局 严谨</w:t>
              <w:tab/>
              <w:t>18184677344</w:t>
            </w:r>
          </w:p>
        </w:tc>
      </w:tr>
      <w:tr>
        <w:tblPrEx>
          <w:tblW w:w="5000" w:type="pct"/>
          <w:tblCellMar>
            <w:left w:w="108" w:type="dxa"/>
            <w:right w:w="108" w:type="dxa"/>
          </w:tblCellMar>
        </w:tblPrEx>
        <w:tc>
          <w:tcPr/>
          <w:p>
            <w:r>
              <w:t>15</w:t>
            </w:r>
          </w:p>
        </w:tc>
        <w:tc>
          <w:tcPr>
            <w:vMerge w:val="restart"/>
          </w:tcPr>
          <w:p>
            <w:r>
              <w:t>文昌市局(001050026)</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16</w:t>
            </w:r>
          </w:p>
        </w:tc>
        <w:tc>
          <w:tcPr>
            <w:vMerge/>
          </w:tcPr>
          <w:p>
            <w:r>
              <w:t>文昌市局(001050026)</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17</w:t>
            </w:r>
          </w:p>
        </w:tc>
        <w:tc>
          <w:tcPr>
            <w:vMerge/>
          </w:tcPr>
          <w:p>
            <w:r>
              <w:t>文昌市局(001050026)</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18</w:t>
            </w:r>
          </w:p>
        </w:tc>
        <w:tc>
          <w:tcPr>
            <w:vMerge/>
          </w:tcPr>
          <w:p>
            <w:r>
              <w:t>文昌市局(001050026)</w:t>
            </w:r>
          </w:p>
        </w:tc>
        <w:tc>
          <w:tcPr/>
          <w:p>
            <w:r>
              <w:t>火箭发射装置</w:t>
            </w:r>
          </w:p>
        </w:tc>
        <w:tc>
          <w:tcPr/>
          <w:p>
            <w:r>
              <w:t>2</w:t>
            </w:r>
          </w:p>
        </w:tc>
        <w:tc>
          <w:tcPr/>
          <w:p>
            <w:r>
              <w:t>206000.00</w:t>
            </w:r>
          </w:p>
        </w:tc>
        <w:tc>
          <w:tcPr>
            <w:vMerge/>
          </w:tcPr>
          <w:p>
            <w:r>
              <w:t xml:space="preserve">286000.00  </w:t>
            </w:r>
          </w:p>
        </w:tc>
        <w:tc>
          <w:tcPr/>
          <w:p/>
        </w:tc>
        <w:tc>
          <w:tcPr/>
          <w:p>
            <w:r>
              <w:t>海南省文昌市气象局 李宇坤</w:t>
              <w:tab/>
              <w:t>19808985257</w:t>
            </w:r>
          </w:p>
        </w:tc>
      </w:tr>
      <w:tr>
        <w:tblPrEx>
          <w:tblW w:w="5000" w:type="pct"/>
          <w:tblCellMar>
            <w:left w:w="108" w:type="dxa"/>
            <w:right w:w="108" w:type="dxa"/>
          </w:tblCellMar>
        </w:tblPrEx>
        <w:tc>
          <w:tcPr/>
          <w:p>
            <w:r>
              <w:t>19</w:t>
            </w:r>
          </w:p>
        </w:tc>
        <w:tc>
          <w:tcPr>
            <w:vMerge w:val="restart"/>
          </w:tcPr>
          <w:p>
            <w:r>
              <w:t>东方市局(001050027)</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20</w:t>
            </w:r>
          </w:p>
        </w:tc>
        <w:tc>
          <w:tcPr>
            <w:vMerge/>
          </w:tcPr>
          <w:p>
            <w:r>
              <w:t>东方市局(001050027)</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21</w:t>
            </w:r>
          </w:p>
        </w:tc>
        <w:tc>
          <w:tcPr>
            <w:vMerge/>
          </w:tcPr>
          <w:p>
            <w:r>
              <w:t>东方市局(001050027)</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22</w:t>
            </w:r>
          </w:p>
        </w:tc>
        <w:tc>
          <w:tcPr>
            <w:vMerge/>
          </w:tcPr>
          <w:p>
            <w:r>
              <w:t>东方市局(001050027)</w:t>
            </w:r>
          </w:p>
        </w:tc>
        <w:tc>
          <w:tcPr/>
          <w:p>
            <w:r>
              <w:t>火箭发射装置</w:t>
            </w:r>
          </w:p>
        </w:tc>
        <w:tc>
          <w:tcPr/>
          <w:p>
            <w:r>
              <w:t>2</w:t>
            </w:r>
          </w:p>
        </w:tc>
        <w:tc>
          <w:tcPr/>
          <w:p>
            <w:r>
              <w:t>206000.00</w:t>
            </w:r>
          </w:p>
        </w:tc>
        <w:tc>
          <w:tcPr>
            <w:vMerge/>
          </w:tcPr>
          <w:p>
            <w:r>
              <w:t xml:space="preserve">286000.00 </w:t>
            </w:r>
          </w:p>
        </w:tc>
        <w:tc>
          <w:tcPr/>
          <w:p/>
        </w:tc>
        <w:tc>
          <w:tcPr/>
          <w:p>
            <w:r>
              <w:t>海南省东方市气象局 李明盟</w:t>
              <w:tab/>
              <w:t>15008081622</w:t>
            </w:r>
          </w:p>
        </w:tc>
      </w:tr>
      <w:tr>
        <w:tblPrEx>
          <w:tblW w:w="5000" w:type="pct"/>
          <w:tblCellMar>
            <w:left w:w="108" w:type="dxa"/>
            <w:right w:w="108" w:type="dxa"/>
          </w:tblCellMar>
        </w:tblPrEx>
        <w:tc>
          <w:tcPr/>
          <w:p>
            <w:r>
              <w:t>23</w:t>
            </w:r>
          </w:p>
        </w:tc>
        <w:tc>
          <w:tcPr>
            <w:vMerge w:val="restart"/>
          </w:tcPr>
          <w:p>
            <w:r>
              <w:t>五指山市局(001050028)</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24</w:t>
            </w:r>
          </w:p>
        </w:tc>
        <w:tc>
          <w:tcPr>
            <w:vMerge/>
          </w:tcPr>
          <w:p>
            <w:r>
              <w:t>五指山市局(001050028)</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25</w:t>
            </w:r>
          </w:p>
        </w:tc>
        <w:tc>
          <w:tcPr>
            <w:vMerge/>
          </w:tcPr>
          <w:p>
            <w:r>
              <w:t>五指山市局(001050028)</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26</w:t>
            </w:r>
          </w:p>
        </w:tc>
        <w:tc>
          <w:tcPr>
            <w:vMerge/>
          </w:tcPr>
          <w:p>
            <w:r>
              <w:t>五指山市局(001050028)</w:t>
            </w:r>
          </w:p>
        </w:tc>
        <w:tc>
          <w:tcPr/>
          <w:p>
            <w:r>
              <w:t>火箭发射装置</w:t>
            </w:r>
          </w:p>
        </w:tc>
        <w:tc>
          <w:tcPr/>
          <w:p>
            <w:r>
              <w:t>2</w:t>
            </w:r>
          </w:p>
        </w:tc>
        <w:tc>
          <w:tcPr/>
          <w:p>
            <w:r>
              <w:t>206000.00</w:t>
            </w:r>
          </w:p>
        </w:tc>
        <w:tc>
          <w:tcPr>
            <w:vMerge/>
          </w:tcPr>
          <w:p>
            <w:r>
              <w:t xml:space="preserve">286000.00  </w:t>
            </w:r>
          </w:p>
        </w:tc>
        <w:tc>
          <w:tcPr/>
          <w:p/>
        </w:tc>
        <w:tc>
          <w:tcPr/>
          <w:p>
            <w:r>
              <w:t>海南省五指山市气象局 王立宏</w:t>
              <w:tab/>
              <w:t>18389510183</w:t>
            </w:r>
          </w:p>
        </w:tc>
      </w:tr>
      <w:tr>
        <w:tblPrEx>
          <w:tblW w:w="5000" w:type="pct"/>
          <w:tblCellMar>
            <w:left w:w="108" w:type="dxa"/>
            <w:right w:w="108" w:type="dxa"/>
          </w:tblCellMar>
        </w:tblPrEx>
        <w:tc>
          <w:tcPr/>
          <w:p>
            <w:r>
              <w:t>27</w:t>
            </w:r>
          </w:p>
        </w:tc>
        <w:tc>
          <w:tcPr>
            <w:vMerge w:val="restart"/>
          </w:tcPr>
          <w:p>
            <w:r>
              <w:t>万宁市局（东和农气站）(001050029)</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28</w:t>
            </w:r>
          </w:p>
        </w:tc>
        <w:tc>
          <w:tcPr>
            <w:vMerge/>
          </w:tcPr>
          <w:p>
            <w:r>
              <w:t>万宁市局（东和农气站）(001050029)</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29</w:t>
            </w:r>
          </w:p>
        </w:tc>
        <w:tc>
          <w:tcPr>
            <w:vMerge/>
          </w:tcPr>
          <w:p>
            <w:r>
              <w:t>万宁市局（东和农气站）(001050029)</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30</w:t>
            </w:r>
          </w:p>
        </w:tc>
        <w:tc>
          <w:tcPr>
            <w:vMerge/>
          </w:tcPr>
          <w:p>
            <w:r>
              <w:t>万宁市局（东和农气站）(001050029)</w:t>
            </w:r>
          </w:p>
        </w:tc>
        <w:tc>
          <w:tcPr/>
          <w:p>
            <w:r>
              <w:t>火箭发射装置</w:t>
            </w:r>
          </w:p>
        </w:tc>
        <w:tc>
          <w:tcPr/>
          <w:p>
            <w:r>
              <w:t>2</w:t>
            </w:r>
          </w:p>
        </w:tc>
        <w:tc>
          <w:tcPr/>
          <w:p>
            <w:r>
              <w:t>206000.00</w:t>
            </w:r>
          </w:p>
        </w:tc>
        <w:tc>
          <w:tcPr>
            <w:vMerge/>
          </w:tcPr>
          <w:p>
            <w:r>
              <w:t xml:space="preserve">286000.00 </w:t>
            </w:r>
          </w:p>
        </w:tc>
        <w:tc>
          <w:tcPr/>
          <w:p/>
        </w:tc>
        <w:tc>
          <w:tcPr/>
          <w:p>
            <w:r>
              <w:t>海南省万宁市气象局 梁娇</w:t>
              <w:tab/>
              <w:t>18389500969</w:t>
            </w:r>
          </w:p>
        </w:tc>
      </w:tr>
      <w:tr>
        <w:tblPrEx>
          <w:tblW w:w="5000" w:type="pct"/>
          <w:tblCellMar>
            <w:left w:w="108" w:type="dxa"/>
            <w:right w:w="108" w:type="dxa"/>
          </w:tblCellMar>
        </w:tblPrEx>
        <w:tc>
          <w:tcPr/>
          <w:p>
            <w:r>
              <w:t>31</w:t>
            </w:r>
          </w:p>
        </w:tc>
        <w:tc>
          <w:tcPr>
            <w:vMerge w:val="restart"/>
          </w:tcPr>
          <w:p>
            <w:r>
              <w:t>定安县局(001050030)</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32</w:t>
            </w:r>
          </w:p>
        </w:tc>
        <w:tc>
          <w:tcPr>
            <w:vMerge/>
          </w:tcPr>
          <w:p>
            <w:r>
              <w:t>定安县局(001050030)</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33</w:t>
            </w:r>
          </w:p>
        </w:tc>
        <w:tc>
          <w:tcPr>
            <w:vMerge/>
          </w:tcPr>
          <w:p>
            <w:r>
              <w:t>定安县局(001050030)</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34</w:t>
            </w:r>
          </w:p>
        </w:tc>
        <w:tc>
          <w:tcPr>
            <w:vMerge/>
          </w:tcPr>
          <w:p>
            <w:r>
              <w:t>定安县局(001050030)</w:t>
            </w:r>
          </w:p>
        </w:tc>
        <w:tc>
          <w:tcPr/>
          <w:p>
            <w:r>
              <w:t>火箭发射装置</w:t>
            </w:r>
          </w:p>
        </w:tc>
        <w:tc>
          <w:tcPr/>
          <w:p>
            <w:r>
              <w:t>1</w:t>
            </w:r>
          </w:p>
        </w:tc>
        <w:tc>
          <w:tcPr/>
          <w:p>
            <w:r>
              <w:t>103000.00</w:t>
            </w:r>
          </w:p>
        </w:tc>
        <w:tc>
          <w:tcPr>
            <w:vMerge/>
          </w:tcPr>
          <w:p>
            <w:r>
              <w:t xml:space="preserve">143000.00  </w:t>
            </w:r>
          </w:p>
        </w:tc>
        <w:tc>
          <w:tcPr/>
          <w:p/>
        </w:tc>
        <w:tc>
          <w:tcPr/>
          <w:p>
            <w:r>
              <w:t>海南省定安县气象局 许祖清</w:t>
              <w:tab/>
              <w:t>13876220301</w:t>
            </w:r>
          </w:p>
        </w:tc>
      </w:tr>
      <w:tr>
        <w:tblPrEx>
          <w:tblW w:w="5000" w:type="pct"/>
          <w:tblCellMar>
            <w:left w:w="108" w:type="dxa"/>
            <w:right w:w="108" w:type="dxa"/>
          </w:tblCellMar>
        </w:tblPrEx>
        <w:tc>
          <w:tcPr/>
          <w:p>
            <w:r>
              <w:t>35</w:t>
            </w:r>
          </w:p>
        </w:tc>
        <w:tc>
          <w:tcPr>
            <w:vMerge w:val="restart"/>
          </w:tcPr>
          <w:p>
            <w:r>
              <w:t>屯昌县局(001050031)</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36</w:t>
            </w:r>
          </w:p>
        </w:tc>
        <w:tc>
          <w:tcPr>
            <w:vMerge/>
          </w:tcPr>
          <w:p>
            <w:r>
              <w:t>屯昌县局(001050031)</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37</w:t>
            </w:r>
          </w:p>
        </w:tc>
        <w:tc>
          <w:tcPr>
            <w:vMerge/>
          </w:tcPr>
          <w:p>
            <w:r>
              <w:t>屯昌县局(001050031)</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38</w:t>
            </w:r>
          </w:p>
        </w:tc>
        <w:tc>
          <w:tcPr>
            <w:vMerge/>
          </w:tcPr>
          <w:p>
            <w:r>
              <w:t>屯昌县局(001050031)</w:t>
            </w:r>
          </w:p>
        </w:tc>
        <w:tc>
          <w:tcPr/>
          <w:p>
            <w:r>
              <w:t>火箭发射装置</w:t>
            </w:r>
          </w:p>
        </w:tc>
        <w:tc>
          <w:tcPr/>
          <w:p>
            <w:r>
              <w:t>2</w:t>
            </w:r>
          </w:p>
        </w:tc>
        <w:tc>
          <w:tcPr/>
          <w:p>
            <w:r>
              <w:t>206000.00</w:t>
            </w:r>
          </w:p>
        </w:tc>
        <w:tc>
          <w:tcPr>
            <w:vMerge/>
          </w:tcPr>
          <w:p>
            <w:r>
              <w:t xml:space="preserve">286000.00 </w:t>
            </w:r>
          </w:p>
        </w:tc>
        <w:tc>
          <w:tcPr/>
          <w:p/>
        </w:tc>
        <w:tc>
          <w:tcPr/>
          <w:p>
            <w:r>
              <w:t>海南省屯昌县气象局 陈智超</w:t>
              <w:tab/>
              <w:t>13976305508</w:t>
            </w:r>
          </w:p>
        </w:tc>
      </w:tr>
      <w:tr>
        <w:tblPrEx>
          <w:tblW w:w="5000" w:type="pct"/>
          <w:tblCellMar>
            <w:left w:w="108" w:type="dxa"/>
            <w:right w:w="108" w:type="dxa"/>
          </w:tblCellMar>
        </w:tblPrEx>
        <w:tc>
          <w:tcPr/>
          <w:p>
            <w:r>
              <w:t>39</w:t>
            </w:r>
          </w:p>
        </w:tc>
        <w:tc>
          <w:tcPr>
            <w:vMerge w:val="restart"/>
          </w:tcPr>
          <w:p>
            <w:r>
              <w:t>澄迈县局(001050032)</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40</w:t>
            </w:r>
          </w:p>
        </w:tc>
        <w:tc>
          <w:tcPr>
            <w:vMerge/>
          </w:tcPr>
          <w:p>
            <w:r>
              <w:t>澄迈县局(001050032)</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41</w:t>
            </w:r>
          </w:p>
        </w:tc>
        <w:tc>
          <w:tcPr>
            <w:vMerge/>
          </w:tcPr>
          <w:p>
            <w:r>
              <w:t>澄迈县局(001050032)</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42</w:t>
            </w:r>
          </w:p>
        </w:tc>
        <w:tc>
          <w:tcPr>
            <w:vMerge/>
          </w:tcPr>
          <w:p>
            <w:r>
              <w:t>澄迈县局(001050032)</w:t>
            </w:r>
          </w:p>
        </w:tc>
        <w:tc>
          <w:tcPr/>
          <w:p>
            <w:r>
              <w:t>火箭发射装置</w:t>
            </w:r>
          </w:p>
        </w:tc>
        <w:tc>
          <w:tcPr/>
          <w:p>
            <w:r>
              <w:t>2</w:t>
            </w:r>
          </w:p>
        </w:tc>
        <w:tc>
          <w:tcPr/>
          <w:p>
            <w:r>
              <w:t>206000.00</w:t>
            </w:r>
          </w:p>
        </w:tc>
        <w:tc>
          <w:tcPr>
            <w:vMerge/>
          </w:tcPr>
          <w:p>
            <w:r>
              <w:t xml:space="preserve">286000.00  </w:t>
            </w:r>
          </w:p>
        </w:tc>
        <w:tc>
          <w:tcPr/>
          <w:p/>
        </w:tc>
        <w:tc>
          <w:tcPr/>
          <w:p>
            <w:r>
              <w:t>海南省澄迈县气象局 李沛民</w:t>
              <w:tab/>
              <w:t>19943224797</w:t>
            </w:r>
          </w:p>
        </w:tc>
      </w:tr>
      <w:tr>
        <w:tblPrEx>
          <w:tblW w:w="5000" w:type="pct"/>
          <w:tblCellMar>
            <w:left w:w="108" w:type="dxa"/>
            <w:right w:w="108" w:type="dxa"/>
          </w:tblCellMar>
        </w:tblPrEx>
        <w:tc>
          <w:tcPr/>
          <w:p>
            <w:r>
              <w:t>43</w:t>
            </w:r>
          </w:p>
        </w:tc>
        <w:tc>
          <w:tcPr>
            <w:vMerge w:val="restart"/>
          </w:tcPr>
          <w:p>
            <w:r>
              <w:t>临高县局(001050033)</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44</w:t>
            </w:r>
          </w:p>
        </w:tc>
        <w:tc>
          <w:tcPr>
            <w:vMerge/>
          </w:tcPr>
          <w:p>
            <w:r>
              <w:t>临高县局(001050033)</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45</w:t>
            </w:r>
          </w:p>
        </w:tc>
        <w:tc>
          <w:tcPr>
            <w:vMerge/>
          </w:tcPr>
          <w:p>
            <w:r>
              <w:t>临高县局(001050033)</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46</w:t>
            </w:r>
          </w:p>
        </w:tc>
        <w:tc>
          <w:tcPr>
            <w:vMerge/>
          </w:tcPr>
          <w:p>
            <w:r>
              <w:t>临高县局(001050033)</w:t>
            </w:r>
          </w:p>
        </w:tc>
        <w:tc>
          <w:tcPr/>
          <w:p>
            <w:r>
              <w:t>火箭发射装置</w:t>
            </w:r>
          </w:p>
        </w:tc>
        <w:tc>
          <w:tcPr/>
          <w:p>
            <w:r>
              <w:t>1</w:t>
            </w:r>
          </w:p>
        </w:tc>
        <w:tc>
          <w:tcPr/>
          <w:p>
            <w:r>
              <w:t>103000.00</w:t>
            </w:r>
          </w:p>
        </w:tc>
        <w:tc>
          <w:tcPr>
            <w:vMerge/>
          </w:tcPr>
          <w:p>
            <w:r>
              <w:t xml:space="preserve">143000.00 </w:t>
            </w:r>
          </w:p>
        </w:tc>
        <w:tc>
          <w:tcPr/>
          <w:p/>
        </w:tc>
        <w:tc>
          <w:tcPr/>
          <w:p>
            <w:r>
              <w:t>海南省临高县气象局 林家亮</w:t>
              <w:tab/>
              <w:t>13389897600</w:t>
            </w:r>
          </w:p>
        </w:tc>
      </w:tr>
      <w:tr>
        <w:tblPrEx>
          <w:tblW w:w="5000" w:type="pct"/>
          <w:tblCellMar>
            <w:left w:w="108" w:type="dxa"/>
            <w:right w:w="108" w:type="dxa"/>
          </w:tblCellMar>
        </w:tblPrEx>
        <w:tc>
          <w:tcPr/>
          <w:p>
            <w:r>
              <w:t>47</w:t>
            </w:r>
          </w:p>
        </w:tc>
        <w:tc>
          <w:tcPr>
            <w:vMerge w:val="restart"/>
          </w:tcPr>
          <w:p>
            <w:r>
              <w:t>陵水县局(001050034)</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48</w:t>
            </w:r>
          </w:p>
        </w:tc>
        <w:tc>
          <w:tcPr>
            <w:vMerge/>
          </w:tcPr>
          <w:p>
            <w:r>
              <w:t>陵水县局(001050034)</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49</w:t>
            </w:r>
          </w:p>
        </w:tc>
        <w:tc>
          <w:tcPr>
            <w:vMerge/>
          </w:tcPr>
          <w:p>
            <w:r>
              <w:t>陵水县局(001050034)</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50</w:t>
            </w:r>
          </w:p>
        </w:tc>
        <w:tc>
          <w:tcPr>
            <w:vMerge/>
          </w:tcPr>
          <w:p>
            <w:r>
              <w:t>陵水县局(001050034)</w:t>
            </w:r>
          </w:p>
        </w:tc>
        <w:tc>
          <w:tcPr/>
          <w:p>
            <w:r>
              <w:t>火箭发射装置</w:t>
            </w:r>
          </w:p>
        </w:tc>
        <w:tc>
          <w:tcPr/>
          <w:p>
            <w:r>
              <w:t>2</w:t>
            </w:r>
          </w:p>
        </w:tc>
        <w:tc>
          <w:tcPr/>
          <w:p>
            <w:r>
              <w:t>206000.00</w:t>
            </w:r>
          </w:p>
        </w:tc>
        <w:tc>
          <w:tcPr>
            <w:vMerge/>
          </w:tcPr>
          <w:p>
            <w:r>
              <w:t xml:space="preserve">286000.00  </w:t>
            </w:r>
          </w:p>
        </w:tc>
        <w:tc>
          <w:tcPr/>
          <w:p/>
        </w:tc>
        <w:tc>
          <w:tcPr/>
          <w:p>
            <w:r>
              <w:t>海南省陵水黎族自治县气象局 吴英山</w:t>
              <w:tab/>
              <w:t>13876551633</w:t>
            </w:r>
          </w:p>
        </w:tc>
      </w:tr>
      <w:tr>
        <w:tblPrEx>
          <w:tblW w:w="5000" w:type="pct"/>
          <w:tblCellMar>
            <w:left w:w="108" w:type="dxa"/>
            <w:right w:w="108" w:type="dxa"/>
          </w:tblCellMar>
        </w:tblPrEx>
        <w:tc>
          <w:tcPr/>
          <w:p>
            <w:r>
              <w:t>51</w:t>
            </w:r>
          </w:p>
        </w:tc>
        <w:tc>
          <w:tcPr>
            <w:vMerge w:val="restart"/>
          </w:tcPr>
          <w:p>
            <w:r>
              <w:t>琼中县局（大丰农气站）(001050035)</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52</w:t>
            </w:r>
          </w:p>
        </w:tc>
        <w:tc>
          <w:tcPr>
            <w:vMerge/>
          </w:tcPr>
          <w:p>
            <w:r>
              <w:t>琼中县局（大丰农气站）(001050035)</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53</w:t>
            </w:r>
          </w:p>
        </w:tc>
        <w:tc>
          <w:tcPr>
            <w:vMerge/>
          </w:tcPr>
          <w:p>
            <w:r>
              <w:t>琼中县局（大丰农气站）(001050035)</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54</w:t>
            </w:r>
          </w:p>
        </w:tc>
        <w:tc>
          <w:tcPr>
            <w:vMerge/>
          </w:tcPr>
          <w:p>
            <w:r>
              <w:t>琼中县局（大丰农气站）(001050035)</w:t>
            </w:r>
          </w:p>
        </w:tc>
        <w:tc>
          <w:tcPr/>
          <w:p>
            <w:r>
              <w:t>火箭发射装置</w:t>
            </w:r>
          </w:p>
        </w:tc>
        <w:tc>
          <w:tcPr/>
          <w:p>
            <w:r>
              <w:t>2</w:t>
            </w:r>
          </w:p>
        </w:tc>
        <w:tc>
          <w:tcPr/>
          <w:p>
            <w:r>
              <w:t>206000.00</w:t>
            </w:r>
          </w:p>
        </w:tc>
        <w:tc>
          <w:tcPr>
            <w:vMerge/>
          </w:tcPr>
          <w:p>
            <w:r>
              <w:t xml:space="preserve">286000.00 </w:t>
            </w:r>
          </w:p>
        </w:tc>
        <w:tc>
          <w:tcPr/>
          <w:p/>
        </w:tc>
        <w:tc>
          <w:tcPr/>
          <w:p>
            <w:r>
              <w:t>海南省琼中黎族苗族自治县气象局 黄在坤</w:t>
              <w:tab/>
              <w:t>18976899110</w:t>
            </w:r>
          </w:p>
        </w:tc>
      </w:tr>
      <w:tr>
        <w:tblPrEx>
          <w:tblW w:w="5000" w:type="pct"/>
          <w:tblCellMar>
            <w:left w:w="108" w:type="dxa"/>
            <w:right w:w="108" w:type="dxa"/>
          </w:tblCellMar>
        </w:tblPrEx>
        <w:tc>
          <w:tcPr/>
          <w:p>
            <w:r>
              <w:t>55</w:t>
            </w:r>
          </w:p>
        </w:tc>
        <w:tc>
          <w:tcPr>
            <w:vMerge w:val="restart"/>
          </w:tcPr>
          <w:p>
            <w:r>
              <w:t>保亭县局（保亭农气站）(001050036)</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56</w:t>
            </w:r>
          </w:p>
        </w:tc>
        <w:tc>
          <w:tcPr>
            <w:vMerge/>
          </w:tcPr>
          <w:p>
            <w:r>
              <w:t>保亭县局（保亭农气站）(001050036)</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57</w:t>
            </w:r>
          </w:p>
        </w:tc>
        <w:tc>
          <w:tcPr>
            <w:vMerge/>
          </w:tcPr>
          <w:p>
            <w:r>
              <w:t>保亭县局（保亭农气站）(001050036)</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58</w:t>
            </w:r>
          </w:p>
        </w:tc>
        <w:tc>
          <w:tcPr>
            <w:vMerge/>
          </w:tcPr>
          <w:p>
            <w:r>
              <w:t>保亭县局（保亭农气站）(001050036)</w:t>
            </w:r>
          </w:p>
        </w:tc>
        <w:tc>
          <w:tcPr/>
          <w:p>
            <w:r>
              <w:t>火箭发射装置</w:t>
            </w:r>
          </w:p>
        </w:tc>
        <w:tc>
          <w:tcPr/>
          <w:p>
            <w:r>
              <w:t>2</w:t>
            </w:r>
          </w:p>
        </w:tc>
        <w:tc>
          <w:tcPr/>
          <w:p>
            <w:r>
              <w:t>206000.00</w:t>
            </w:r>
          </w:p>
        </w:tc>
        <w:tc>
          <w:tcPr>
            <w:vMerge/>
          </w:tcPr>
          <w:p>
            <w:r>
              <w:t xml:space="preserve">286000.00  </w:t>
            </w:r>
          </w:p>
        </w:tc>
        <w:tc>
          <w:tcPr/>
          <w:p/>
        </w:tc>
        <w:tc>
          <w:tcPr/>
          <w:p>
            <w:r>
              <w:t>海南省保亭黎族苗族自治县气象局 吴英泰</w:t>
              <w:tab/>
              <w:t>13337608288</w:t>
            </w:r>
          </w:p>
        </w:tc>
      </w:tr>
      <w:tr>
        <w:tblPrEx>
          <w:tblW w:w="5000" w:type="pct"/>
          <w:tblCellMar>
            <w:left w:w="108" w:type="dxa"/>
            <w:right w:w="108" w:type="dxa"/>
          </w:tblCellMar>
        </w:tblPrEx>
        <w:tc>
          <w:tcPr/>
          <w:p>
            <w:r>
              <w:t>59</w:t>
            </w:r>
          </w:p>
        </w:tc>
        <w:tc>
          <w:tcPr>
            <w:vMerge w:val="restart"/>
          </w:tcPr>
          <w:p>
            <w:r>
              <w:t>乐东县局(001050037)</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60</w:t>
            </w:r>
          </w:p>
        </w:tc>
        <w:tc>
          <w:tcPr>
            <w:vMerge/>
          </w:tcPr>
          <w:p>
            <w:r>
              <w:t>乐东县局(001050037)</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61</w:t>
            </w:r>
          </w:p>
        </w:tc>
        <w:tc>
          <w:tcPr>
            <w:vMerge/>
          </w:tcPr>
          <w:p>
            <w:r>
              <w:t>乐东县局(001050037)</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62</w:t>
            </w:r>
          </w:p>
        </w:tc>
        <w:tc>
          <w:tcPr>
            <w:vMerge/>
          </w:tcPr>
          <w:p>
            <w:r>
              <w:t>乐东县局(001050037)</w:t>
            </w:r>
          </w:p>
        </w:tc>
        <w:tc>
          <w:tcPr/>
          <w:p>
            <w:r>
              <w:t>火箭发射装置</w:t>
            </w:r>
          </w:p>
        </w:tc>
        <w:tc>
          <w:tcPr/>
          <w:p>
            <w:r>
              <w:t>2</w:t>
            </w:r>
          </w:p>
        </w:tc>
        <w:tc>
          <w:tcPr/>
          <w:p>
            <w:r>
              <w:t>206000.00</w:t>
            </w:r>
          </w:p>
        </w:tc>
        <w:tc>
          <w:tcPr>
            <w:vMerge/>
          </w:tcPr>
          <w:p>
            <w:r>
              <w:t xml:space="preserve">286000.00 </w:t>
            </w:r>
          </w:p>
        </w:tc>
        <w:tc>
          <w:tcPr/>
          <w:p/>
        </w:tc>
        <w:tc>
          <w:tcPr/>
          <w:p>
            <w:r>
              <w:t>海南省乐东黎族自治县气象局 黄芳霞</w:t>
              <w:tab/>
              <w:t>15799092997</w:t>
            </w:r>
          </w:p>
        </w:tc>
      </w:tr>
      <w:tr>
        <w:tblPrEx>
          <w:tblW w:w="5000" w:type="pct"/>
          <w:tblCellMar>
            <w:left w:w="108" w:type="dxa"/>
            <w:right w:w="108" w:type="dxa"/>
          </w:tblCellMar>
        </w:tblPrEx>
        <w:tc>
          <w:tcPr/>
          <w:p>
            <w:r>
              <w:t>63</w:t>
            </w:r>
          </w:p>
        </w:tc>
        <w:tc>
          <w:tcPr>
            <w:vMerge w:val="restart"/>
          </w:tcPr>
          <w:p>
            <w:r>
              <w:t>昌江县局(001050038)</w:t>
            </w:r>
          </w:p>
        </w:tc>
        <w:tc>
          <w:tcPr/>
          <w:p>
            <w:r>
              <w:t>基于三码绑定的人影火箭发射安全锁控系统</w:t>
            </w:r>
          </w:p>
        </w:tc>
        <w:tc>
          <w:tcPr/>
          <w:p>
            <w:r>
              <w:t>1</w:t>
            </w:r>
          </w:p>
        </w:tc>
        <w:tc>
          <w:tcPr/>
          <w:p>
            <w:r>
              <w:t>10000.00</w:t>
            </w:r>
          </w:p>
        </w:tc>
        <w:tc>
          <w:tcPr>
            <w:vMerge w:val="restart"/>
          </w:tcPr>
          <w:p>
            <w:r>
              <w:t xml:space="preserve">143000.00  </w:t>
            </w:r>
          </w:p>
        </w:tc>
        <w:tc>
          <w:tcPr/>
          <w:p/>
        </w:tc>
        <w:tc>
          <w:tcPr/>
          <w:p/>
        </w:tc>
      </w:tr>
      <w:tr>
        <w:tblPrEx>
          <w:tblW w:w="5000" w:type="pct"/>
          <w:tblCellMar>
            <w:left w:w="108" w:type="dxa"/>
            <w:right w:w="108" w:type="dxa"/>
          </w:tblCellMar>
        </w:tblPrEx>
        <w:tc>
          <w:tcPr/>
          <w:p>
            <w:r>
              <w:t>64</w:t>
            </w:r>
          </w:p>
        </w:tc>
        <w:tc>
          <w:tcPr>
            <w:vMerge/>
          </w:tcPr>
          <w:p>
            <w:r>
              <w:t>昌江县局(001050038)</w:t>
            </w:r>
          </w:p>
        </w:tc>
        <w:tc>
          <w:tcPr/>
          <w:p>
            <w:r>
              <w:t>弹药临时储运箱</w:t>
            </w:r>
          </w:p>
        </w:tc>
        <w:tc>
          <w:tcPr/>
          <w:p>
            <w:r>
              <w:t>1</w:t>
            </w:r>
          </w:p>
        </w:tc>
        <w:tc>
          <w:tcPr/>
          <w:p>
            <w:r>
              <w:t>20000.00</w:t>
            </w:r>
          </w:p>
        </w:tc>
        <w:tc>
          <w:tcPr>
            <w:vMerge/>
          </w:tcPr>
          <w:p>
            <w:r>
              <w:t xml:space="preserve">143000.00  </w:t>
            </w:r>
          </w:p>
        </w:tc>
        <w:tc>
          <w:tcPr/>
          <w:p/>
        </w:tc>
        <w:tc>
          <w:tcPr/>
          <w:p/>
        </w:tc>
      </w:tr>
      <w:tr>
        <w:tblPrEx>
          <w:tblW w:w="5000" w:type="pct"/>
          <w:tblCellMar>
            <w:left w:w="108" w:type="dxa"/>
            <w:right w:w="108" w:type="dxa"/>
          </w:tblCellMar>
        </w:tblPrEx>
        <w:tc>
          <w:tcPr/>
          <w:p>
            <w:r>
              <w:t>65</w:t>
            </w:r>
          </w:p>
        </w:tc>
        <w:tc>
          <w:tcPr>
            <w:vMerge/>
          </w:tcPr>
          <w:p>
            <w:r>
              <w:t>昌江县局(001050038)</w:t>
            </w:r>
          </w:p>
        </w:tc>
        <w:tc>
          <w:tcPr/>
          <w:p>
            <w:r>
              <w:t>火箭作业安全监控终端</w:t>
            </w:r>
          </w:p>
        </w:tc>
        <w:tc>
          <w:tcPr/>
          <w:p>
            <w:r>
              <w:t>1</w:t>
            </w:r>
          </w:p>
        </w:tc>
        <w:tc>
          <w:tcPr/>
          <w:p>
            <w:r>
              <w:t>10000.00</w:t>
            </w:r>
          </w:p>
        </w:tc>
        <w:tc>
          <w:tcPr>
            <w:vMerge/>
          </w:tcPr>
          <w:p>
            <w:r>
              <w:t xml:space="preserve">143000.00  </w:t>
            </w:r>
          </w:p>
        </w:tc>
        <w:tc>
          <w:tcPr/>
          <w:p/>
        </w:tc>
        <w:tc>
          <w:tcPr/>
          <w:p/>
        </w:tc>
      </w:tr>
      <w:tr>
        <w:tblPrEx>
          <w:tblW w:w="5000" w:type="pct"/>
          <w:tblCellMar>
            <w:left w:w="108" w:type="dxa"/>
            <w:right w:w="108" w:type="dxa"/>
          </w:tblCellMar>
        </w:tblPrEx>
        <w:tc>
          <w:tcPr/>
          <w:p>
            <w:r>
              <w:t>66</w:t>
            </w:r>
          </w:p>
        </w:tc>
        <w:tc>
          <w:tcPr>
            <w:vMerge/>
          </w:tcPr>
          <w:p>
            <w:r>
              <w:t>昌江县局(001050038)</w:t>
            </w:r>
          </w:p>
        </w:tc>
        <w:tc>
          <w:tcPr/>
          <w:p>
            <w:r>
              <w:t>火箭发射装置</w:t>
            </w:r>
          </w:p>
        </w:tc>
        <w:tc>
          <w:tcPr/>
          <w:p>
            <w:r>
              <w:t>1</w:t>
            </w:r>
          </w:p>
        </w:tc>
        <w:tc>
          <w:tcPr/>
          <w:p>
            <w:r>
              <w:t>103000.00</w:t>
            </w:r>
          </w:p>
        </w:tc>
        <w:tc>
          <w:tcPr>
            <w:vMerge/>
          </w:tcPr>
          <w:p>
            <w:r>
              <w:t xml:space="preserve">143000.00  </w:t>
            </w:r>
          </w:p>
        </w:tc>
        <w:tc>
          <w:tcPr/>
          <w:p/>
        </w:tc>
        <w:tc>
          <w:tcPr/>
          <w:p>
            <w:r>
              <w:t>海南省昌江黎族自治县气象局 李学军</w:t>
              <w:tab/>
              <w:t>18289380271</w:t>
            </w:r>
          </w:p>
        </w:tc>
      </w:tr>
      <w:tr>
        <w:tblPrEx>
          <w:tblW w:w="5000" w:type="pct"/>
          <w:tblCellMar>
            <w:left w:w="108" w:type="dxa"/>
            <w:right w:w="108" w:type="dxa"/>
          </w:tblCellMar>
        </w:tblPrEx>
        <w:tc>
          <w:tcPr/>
          <w:p>
            <w:r>
              <w:t>67</w:t>
            </w:r>
          </w:p>
        </w:tc>
        <w:tc>
          <w:tcPr>
            <w:vMerge w:val="restart"/>
          </w:tcPr>
          <w:p>
            <w:r>
              <w:t>白沙县局(001050039)</w:t>
            </w:r>
          </w:p>
        </w:tc>
        <w:tc>
          <w:tcPr/>
          <w:p>
            <w:r>
              <w:t>基于三码绑定的人影火箭发射安全锁控系统</w:t>
            </w:r>
          </w:p>
        </w:tc>
        <w:tc>
          <w:tcPr/>
          <w:p>
            <w:r>
              <w:t>2</w:t>
            </w:r>
          </w:p>
        </w:tc>
        <w:tc>
          <w:tcPr/>
          <w:p>
            <w:r>
              <w:t>20000.00</w:t>
            </w:r>
          </w:p>
        </w:tc>
        <w:tc>
          <w:tcPr>
            <w:vMerge w:val="restart"/>
          </w:tcPr>
          <w:p>
            <w:r>
              <w:t xml:space="preserve">286000.00 </w:t>
            </w:r>
          </w:p>
        </w:tc>
        <w:tc>
          <w:tcPr/>
          <w:p/>
        </w:tc>
        <w:tc>
          <w:tcPr/>
          <w:p/>
        </w:tc>
      </w:tr>
      <w:tr>
        <w:tblPrEx>
          <w:tblW w:w="5000" w:type="pct"/>
          <w:tblCellMar>
            <w:left w:w="108" w:type="dxa"/>
            <w:right w:w="108" w:type="dxa"/>
          </w:tblCellMar>
        </w:tblPrEx>
        <w:tc>
          <w:tcPr/>
          <w:p>
            <w:r>
              <w:t>68</w:t>
            </w:r>
          </w:p>
        </w:tc>
        <w:tc>
          <w:tcPr>
            <w:vMerge/>
          </w:tcPr>
          <w:p>
            <w:r>
              <w:t>白沙县局(001050039)</w:t>
            </w:r>
          </w:p>
        </w:tc>
        <w:tc>
          <w:tcPr/>
          <w:p>
            <w:r>
              <w:t>弹药临时储运箱</w:t>
            </w:r>
          </w:p>
        </w:tc>
        <w:tc>
          <w:tcPr/>
          <w:p>
            <w:r>
              <w:t>2</w:t>
            </w:r>
          </w:p>
        </w:tc>
        <w:tc>
          <w:tcPr/>
          <w:p>
            <w:r>
              <w:t>40000.00</w:t>
            </w:r>
          </w:p>
        </w:tc>
        <w:tc>
          <w:tcPr>
            <w:vMerge/>
          </w:tcPr>
          <w:p>
            <w:r>
              <w:t xml:space="preserve">286000.00 </w:t>
            </w:r>
          </w:p>
        </w:tc>
        <w:tc>
          <w:tcPr/>
          <w:p/>
        </w:tc>
        <w:tc>
          <w:tcPr/>
          <w:p/>
        </w:tc>
      </w:tr>
      <w:tr>
        <w:tblPrEx>
          <w:tblW w:w="5000" w:type="pct"/>
          <w:tblCellMar>
            <w:left w:w="108" w:type="dxa"/>
            <w:right w:w="108" w:type="dxa"/>
          </w:tblCellMar>
        </w:tblPrEx>
        <w:tc>
          <w:tcPr/>
          <w:p>
            <w:r>
              <w:t>69</w:t>
            </w:r>
          </w:p>
        </w:tc>
        <w:tc>
          <w:tcPr>
            <w:vMerge/>
          </w:tcPr>
          <w:p>
            <w:r>
              <w:t>白沙县局(001050039)</w:t>
            </w:r>
          </w:p>
        </w:tc>
        <w:tc>
          <w:tcPr/>
          <w:p>
            <w:r>
              <w:t>火箭作业安全监控终端</w:t>
            </w:r>
          </w:p>
        </w:tc>
        <w:tc>
          <w:tcPr/>
          <w:p>
            <w:r>
              <w:t>2</w:t>
            </w:r>
          </w:p>
        </w:tc>
        <w:tc>
          <w:tcPr/>
          <w:p>
            <w:r>
              <w:t>20000.00</w:t>
            </w:r>
          </w:p>
        </w:tc>
        <w:tc>
          <w:tcPr>
            <w:vMerge/>
          </w:tcPr>
          <w:p>
            <w:r>
              <w:t xml:space="preserve">286000.00 </w:t>
            </w:r>
          </w:p>
        </w:tc>
        <w:tc>
          <w:tcPr/>
          <w:p/>
        </w:tc>
        <w:tc>
          <w:tcPr/>
          <w:p/>
        </w:tc>
      </w:tr>
      <w:tr>
        <w:tblPrEx>
          <w:tblW w:w="5000" w:type="pct"/>
          <w:tblCellMar>
            <w:left w:w="108" w:type="dxa"/>
            <w:right w:w="108" w:type="dxa"/>
          </w:tblCellMar>
        </w:tblPrEx>
        <w:tc>
          <w:tcPr/>
          <w:p>
            <w:r>
              <w:t>70</w:t>
            </w:r>
          </w:p>
        </w:tc>
        <w:tc>
          <w:tcPr>
            <w:vMerge/>
          </w:tcPr>
          <w:p>
            <w:r>
              <w:t>白沙县局(001050039)</w:t>
            </w:r>
          </w:p>
        </w:tc>
        <w:tc>
          <w:tcPr/>
          <w:p>
            <w:r>
              <w:t>火箭发射装置</w:t>
            </w:r>
          </w:p>
        </w:tc>
        <w:tc>
          <w:tcPr/>
          <w:p>
            <w:r>
              <w:t>2</w:t>
            </w:r>
          </w:p>
        </w:tc>
        <w:tc>
          <w:tcPr/>
          <w:p>
            <w:r>
              <w:t>206000.00</w:t>
            </w:r>
          </w:p>
        </w:tc>
        <w:tc>
          <w:tcPr>
            <w:vMerge/>
          </w:tcPr>
          <w:p>
            <w:r>
              <w:t xml:space="preserve">286000.00 </w:t>
            </w:r>
          </w:p>
        </w:tc>
        <w:tc>
          <w:tcPr/>
          <w:p/>
        </w:tc>
        <w:tc>
          <w:tcPr/>
          <w:p>
            <w:r>
              <w:t>海南省白沙黎族自治县气象局 郑重宇</w:t>
              <w:tab/>
              <w:t>15298950633</w:t>
            </w:r>
          </w:p>
        </w:tc>
      </w:tr>
    </w:tbl>
    <w:p w:rsidR="00A77B3E"/>
    <w:p>
      <w:pPr>
        <w:spacing w:line="360" w:lineRule="auto"/>
        <w:rPr>
          <w:rFonts w:ascii="宋体" w:hAnsi="宋体"/>
          <w:szCs w:val="21"/>
        </w:rPr>
      </w:pPr>
      <w:bookmarkEnd w:id="6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6"/>
    </w:p>
    <w:p>
      <w:pPr>
        <w:tabs>
          <w:tab w:val="left" w:pos="1573"/>
        </w:tabs>
        <w:adjustRightInd w:val="0"/>
        <w:snapToGrid w:val="0"/>
        <w:spacing w:line="360" w:lineRule="auto"/>
        <w:jc w:val="center"/>
        <w:outlineLvl w:val="1"/>
        <w:rPr>
          <w:b/>
          <w:bCs/>
          <w:sz w:val="30"/>
          <w:szCs w:val="30"/>
        </w:rPr>
      </w:pPr>
      <w:bookmarkStart w:id="67"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w:t>
            </w:r>
          </w:p>
        </w:tc>
        <w:tc>
          <w:tcPr>
            <w:tcW w:w="7347" w:type="dxa"/>
            <w:vAlign w:val="center"/>
          </w:tcPr>
          <w:p>
            <w:pPr>
              <w:rPr>
                <w:rFonts w:cs="微软雅黑"/>
                <w:b/>
                <w:color w:val="0000FF"/>
                <w:kern w:val="0"/>
                <w:sz w:val="18"/>
                <w:szCs w:val="18"/>
              </w:rPr>
            </w:pPr>
            <w:r>
              <w:rPr>
                <w:rFonts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p>
      <w:pPr>
        <w:spacing w:line="360" w:lineRule="auto"/>
        <w:outlineLvl w:val="0"/>
        <w:rPr>
          <w:rFonts w:hint="eastAsia"/>
          <w:bCs/>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rPr>
          <w:b/>
          <w:bCs/>
          <w:sz w:val="28"/>
          <w:szCs w:val="28"/>
        </w:rPr>
      </w:pPr>
      <w:bookmarkStart w:id="68" w:name="采购公告合同部分_ZBGGHT"/>
    </w:p>
    <w:p>
      <w:pPr>
        <w:numPr>
          <w:ilvl w:val="0"/>
          <w:numId w:val="5"/>
        </w:numPr>
        <w:spacing w:line="360" w:lineRule="auto"/>
        <w:ind w:firstLine="3066" w:firstLineChars="1460"/>
        <w:jc w:val="left"/>
        <w:rPr>
          <w:b/>
          <w:bCs/>
          <w:szCs w:val="21"/>
        </w:rPr>
      </w:pPr>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hint="eastAsia"/>
          <w:b/>
          <w:bCs/>
          <w:spacing w:val="-20"/>
          <w:kern w:val="44"/>
          <w:sz w:val="48"/>
          <w:szCs w:val="48"/>
        </w:rPr>
      </w:pPr>
      <w:r>
        <w:rPr>
          <w:b/>
          <w:bCs/>
          <w:szCs w:val="21"/>
        </w:rPr>
        <w:br w:type="page"/>
      </w:r>
      <w:bookmarkStart w:id="69" w:name="_Toc3995"/>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rPr>
          <w:rFonts w:ascii="宋体" w:hAnsi="宋体" w:cs="宋体" w:hint="eastAsia"/>
          <w:b/>
          <w:bCs/>
          <w:spacing w:val="-20"/>
          <w:kern w:val="44"/>
          <w:sz w:val="40"/>
          <w:szCs w:val="40"/>
        </w:rPr>
      </w:pPr>
    </w:p>
    <w:p>
      <w:pPr>
        <w:spacing w:line="360" w:lineRule="auto"/>
        <w:ind w:left="2340" w:hanging="1920" w:leftChars="200" w:hangingChars="600"/>
        <w:rPr>
          <w:sz w:val="32"/>
          <w:szCs w:val="32"/>
          <w:u w:val="single"/>
        </w:rPr>
      </w:pPr>
      <w:r>
        <w:rPr>
          <w:rFonts w:ascii="宋体" w:hAnsi="宋体" w:cs="宋体" w:hint="eastAsia"/>
          <w:kern w:val="0"/>
          <w:sz w:val="32"/>
          <w:szCs w:val="32"/>
        </w:rPr>
        <w:t>项目名称：</w:t>
      </w:r>
      <w:r>
        <w:rPr>
          <w:rFonts w:hint="eastAsia"/>
          <w:sz w:val="32"/>
          <w:szCs w:val="32"/>
          <w:u w:val="single"/>
        </w:rPr>
        <w:t xml:space="preserve"> 海南省人工影响天气水资源保障工程项目</w:t>
      </w:r>
    </w:p>
    <w:p>
      <w:pPr>
        <w:spacing w:line="360" w:lineRule="auto"/>
        <w:ind w:firstLine="2240" w:firstLineChars="700"/>
        <w:rPr>
          <w:sz w:val="32"/>
          <w:szCs w:val="32"/>
        </w:rPr>
      </w:pPr>
      <w:r>
        <w:rPr>
          <w:rFonts w:hint="eastAsia"/>
          <w:sz w:val="32"/>
          <w:szCs w:val="32"/>
          <w:u w:val="single"/>
        </w:rPr>
        <w:t xml:space="preserve">火箭发射装置升级更新项目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hint="eastAsia"/>
          <w:sz w:val="32"/>
          <w:szCs w:val="32"/>
        </w:rPr>
      </w:pP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headerReference w:type="default" r:id="rId8"/>
          <w:footerReference w:type="default" r:id="rId9"/>
          <w:pgSz w:w="11906" w:h="16838"/>
          <w:pgMar w:top="1440" w:right="1800" w:bottom="1440" w:left="1800" w:header="851" w:footer="992" w:gutter="0"/>
          <w:cols w:num="1" w:space="425"/>
          <w:docGrid w:type="lines" w:linePitch="312" w:charSpace="0"/>
        </w:sectPr>
      </w:pPr>
    </w:p>
    <w:bookmarkEnd w:id="69"/>
    <w:p>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0"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0"/>
    </w:p>
    <w:p>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w:t>
      </w:r>
    </w:p>
    <w:p>
      <w:pPr>
        <w:adjustRightInd w:val="0"/>
        <w:snapToGrid w:val="0"/>
        <w:spacing w:line="400" w:lineRule="exact"/>
        <w:rPr>
          <w:rFonts w:ascii="宋体" w:hAnsi="宋体" w:hint="eastAsia"/>
          <w:szCs w:val="21"/>
        </w:rPr>
      </w:pPr>
      <w:r>
        <w:rPr>
          <w:rFonts w:ascii="宋体" w:hAnsi="宋体" w:hint="eastAsia"/>
          <w:szCs w:val="21"/>
        </w:rPr>
        <w:t>乙方（全称）：</w:t>
      </w:r>
      <w:r>
        <w:rPr>
          <w:rFonts w:ascii="宋体" w:hAnsi="宋体" w:hint="eastAsia"/>
          <w:szCs w:val="21"/>
          <w:u w:val="single"/>
        </w:rPr>
        <w:t xml:space="preserve">                        </w:t>
      </w:r>
      <w:r>
        <w:rPr>
          <w:rFonts w:ascii="宋体" w:hAnsi="宋体" w:hint="eastAsia"/>
          <w:szCs w:val="21"/>
        </w:rPr>
        <w:t>（供应商）</w:t>
      </w:r>
    </w:p>
    <w:p>
      <w:pPr>
        <w:spacing w:line="400" w:lineRule="exact"/>
      </w:pP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pPr>
        <w:pStyle w:val="BodyTextIndent"/>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（1）采购项目名称：</w:t>
      </w:r>
      <w:r>
        <w:rPr>
          <w:rFonts w:ascii="宋体" w:hAnsi="宋体"/>
          <w:szCs w:val="21"/>
          <w:u w:val="single"/>
        </w:rPr>
        <w:t xml:space="preserve"> </w:t>
      </w:r>
      <w:r>
        <w:rPr>
          <w:rFonts w:ascii="宋体" w:eastAsia="宋体" w:hAnsi="宋体" w:cs="Times New Roman" w:hint="eastAsia"/>
          <w:szCs w:val="21"/>
          <w:u w:val="single"/>
        </w:rPr>
        <w:t>海南省人工影响天气水资源保障工程项目火箭发射装置升级更新项目</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Calibri" w:hAnsi="Calibri"/>
          <w:szCs w:val="22"/>
          <w:u w:val="single"/>
        </w:rPr>
        <w:t>火箭发射装置</w:t>
      </w:r>
      <w:r>
        <w:rPr>
          <w:rFonts w:hint="eastAsia"/>
          <w:color w:val="FF0000"/>
          <w:u w:val="single"/>
        </w:rPr>
        <w:t>xx</w:t>
      </w:r>
      <w:r>
        <w:rPr>
          <w:rFonts w:hint="eastAsia"/>
          <w:u w:val="single"/>
        </w:rPr>
        <w:t>套、</w:t>
      </w:r>
      <w:r>
        <w:rPr>
          <w:rFonts w:ascii="Calibri" w:hAnsi="Calibri"/>
          <w:szCs w:val="22"/>
          <w:u w:val="single"/>
        </w:rPr>
        <w:t>火箭作业安全监控终端</w:t>
      </w:r>
      <w:r>
        <w:rPr>
          <w:rFonts w:ascii="宋体" w:hAnsi="宋体" w:hint="eastAsia"/>
          <w:color w:val="FF0000"/>
          <w:szCs w:val="21"/>
          <w:u w:val="single"/>
        </w:rPr>
        <w:t>xx</w:t>
      </w:r>
      <w:r>
        <w:rPr>
          <w:rFonts w:ascii="宋体" w:hAnsi="宋体" w:hint="eastAsia"/>
          <w:szCs w:val="21"/>
          <w:u w:val="single"/>
        </w:rPr>
        <w:t>套、</w:t>
      </w:r>
      <w:r>
        <w:rPr>
          <w:rFonts w:ascii="Calibri" w:hAnsi="Calibri" w:hint="eastAsia"/>
          <w:szCs w:val="22"/>
          <w:u w:val="single"/>
        </w:rPr>
        <w:t>基于三码绑定的人影火箭发射安全锁控系统</w:t>
      </w:r>
      <w:r>
        <w:rPr>
          <w:rFonts w:ascii="宋体" w:hAnsi="宋体" w:hint="eastAsia"/>
          <w:color w:val="FF0000"/>
          <w:szCs w:val="21"/>
          <w:u w:val="single"/>
        </w:rPr>
        <w:t>xx</w:t>
      </w:r>
      <w:r>
        <w:rPr>
          <w:rFonts w:ascii="宋体" w:hAnsi="宋体" w:hint="eastAsia"/>
          <w:szCs w:val="21"/>
          <w:u w:val="single"/>
        </w:rPr>
        <w:t>套、</w:t>
      </w:r>
      <w:r>
        <w:rPr>
          <w:rFonts w:ascii="Calibri" w:hAnsi="Calibri"/>
          <w:szCs w:val="22"/>
          <w:u w:val="single"/>
        </w:rPr>
        <w:t>弹药临时储运箱</w:t>
      </w:r>
      <w:r>
        <w:rPr>
          <w:rFonts w:ascii="宋体" w:hAnsi="宋体" w:hint="eastAsia"/>
          <w:color w:val="FF0000"/>
          <w:szCs w:val="21"/>
          <w:u w:val="single"/>
        </w:rPr>
        <w:t>x</w:t>
      </w:r>
      <w:r>
        <w:rPr>
          <w:rFonts w:ascii="宋体" w:hAnsi="宋体" w:hint="eastAsia"/>
          <w:szCs w:val="21"/>
          <w:u w:val="single"/>
        </w:rPr>
        <w:t>套</w:t>
      </w:r>
    </w:p>
    <w:tbl>
      <w:tblPr>
        <w:tblStyle w:val="TableNormal"/>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1277"/>
        <w:gridCol w:w="5161"/>
        <w:gridCol w:w="1280"/>
        <w:gridCol w:w="1280"/>
      </w:tblGrid>
      <w:tr>
        <w:tblPrEx>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blHeader/>
        </w:trPr>
        <w:tc>
          <w:tcPr>
            <w:tcW w:w="710" w:type="pct"/>
            <w:tcBorders>
              <w:tl2br w:val="nil"/>
              <w:tr2bl w:val="nil"/>
            </w:tcBorders>
            <w:noWrap/>
            <w:vAlign w:val="center"/>
          </w:tcPr>
          <w:p>
            <w:pPr>
              <w:widowControl/>
              <w:snapToGrid w:val="0"/>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序号</w:t>
            </w:r>
          </w:p>
        </w:tc>
        <w:tc>
          <w:tcPr>
            <w:tcW w:w="2867" w:type="pct"/>
            <w:tcBorders>
              <w:tl2br w:val="nil"/>
              <w:tr2bl w:val="nil"/>
            </w:tcBorders>
            <w:vAlign w:val="center"/>
          </w:tcPr>
          <w:p>
            <w:pPr>
              <w:widowControl/>
              <w:snapToGrid w:val="0"/>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货物名称</w:t>
            </w:r>
          </w:p>
        </w:tc>
        <w:tc>
          <w:tcPr>
            <w:tcW w:w="711" w:type="pct"/>
            <w:tcBorders>
              <w:tl2br w:val="nil"/>
              <w:tr2bl w:val="nil"/>
            </w:tcBorders>
            <w:vAlign w:val="center"/>
          </w:tcPr>
          <w:p>
            <w:pPr>
              <w:widowControl/>
              <w:snapToGrid w:val="0"/>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数量</w:t>
            </w:r>
          </w:p>
        </w:tc>
        <w:tc>
          <w:tcPr>
            <w:tcW w:w="711" w:type="pct"/>
            <w:tcBorders>
              <w:tl2br w:val="nil"/>
              <w:tr2bl w:val="nil"/>
            </w:tcBorders>
            <w:vAlign w:val="center"/>
          </w:tcPr>
          <w:p>
            <w:pPr>
              <w:widowControl/>
              <w:snapToGrid w:val="0"/>
              <w:jc w:val="center"/>
              <w:textAlignment w:val="center"/>
              <w:rPr>
                <w:rFonts w:ascii="宋体" w:hAnsi="宋体" w:cs="宋体" w:hint="eastAsia"/>
                <w:b/>
                <w:color w:val="000000"/>
                <w:szCs w:val="21"/>
              </w:rPr>
            </w:pPr>
            <w:r>
              <w:rPr>
                <w:rFonts w:ascii="宋体" w:hAnsi="宋体" w:cs="宋体" w:hint="eastAsia"/>
                <w:b/>
                <w:color w:val="000000"/>
                <w:kern w:val="0"/>
                <w:szCs w:val="21"/>
                <w:lang w:bidi="ar"/>
              </w:rPr>
              <w:t>单位</w:t>
            </w:r>
          </w:p>
        </w:tc>
      </w:tr>
      <w:tr>
        <w:tblPrEx>
          <w:tblW w:w="4997" w:type="pct"/>
          <w:tblInd w:w="0" w:type="dxa"/>
          <w:tblCellMar>
            <w:top w:w="0" w:type="dxa"/>
            <w:left w:w="108" w:type="dxa"/>
            <w:bottom w:w="0" w:type="dxa"/>
            <w:right w:w="108" w:type="dxa"/>
          </w:tblCellMar>
        </w:tblPrEx>
        <w:trPr>
          <w:trHeight w:val="50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1</w:t>
            </w:r>
          </w:p>
        </w:tc>
        <w:tc>
          <w:tcPr>
            <w:tcW w:w="2867" w:type="pct"/>
            <w:tcBorders>
              <w:tl2br w:val="nil"/>
              <w:tr2bl w:val="nil"/>
            </w:tcBorders>
            <w:noWrap/>
          </w:tcPr>
          <w:p>
            <w:pPr>
              <w:autoSpaceDE w:val="0"/>
              <w:jc w:val="center"/>
              <w:rPr>
                <w:rFonts w:asciiTheme="minorEastAsia" w:hAnsiTheme="minorEastAsia" w:cstheme="minorEastAsia" w:hint="eastAsia"/>
                <w:kern w:val="0"/>
                <w:szCs w:val="21"/>
              </w:rPr>
            </w:pPr>
            <w:r>
              <w:rPr>
                <w:rFonts w:ascii="Calibri" w:hAnsi="Calibri"/>
                <w:szCs w:val="22"/>
              </w:rPr>
              <w:t>火箭发射装置</w:t>
            </w:r>
          </w:p>
        </w:tc>
        <w:tc>
          <w:tcPr>
            <w:tcW w:w="711" w:type="pct"/>
            <w:tcBorders>
              <w:tl2br w:val="nil"/>
              <w:tr2bl w:val="nil"/>
            </w:tcBorders>
            <w:noWrap/>
          </w:tcPr>
          <w:p>
            <w:pPr>
              <w:autoSpaceDE w:val="0"/>
              <w:jc w:val="center"/>
              <w:rPr>
                <w:rFonts w:ascii="宋体" w:hAnsi="宋体" w:cs="宋体" w:hint="eastAsia"/>
                <w:color w:val="FF0000"/>
                <w:kern w:val="0"/>
                <w:szCs w:val="21"/>
              </w:rPr>
            </w:pPr>
            <w:r>
              <w:rPr>
                <w:rFonts w:ascii="宋体" w:hAnsi="宋体" w:cs="宋体" w:hint="eastAsia"/>
                <w:color w:val="FF0000"/>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2</w:t>
            </w:r>
          </w:p>
        </w:tc>
        <w:tc>
          <w:tcPr>
            <w:tcW w:w="2867" w:type="pct"/>
            <w:tcBorders>
              <w:tl2br w:val="nil"/>
              <w:tr2bl w:val="nil"/>
            </w:tcBorders>
            <w:noWrap/>
          </w:tcPr>
          <w:p>
            <w:pPr>
              <w:autoSpaceDE w:val="0"/>
              <w:jc w:val="center"/>
              <w:rPr>
                <w:rFonts w:asciiTheme="minorEastAsia" w:hAnsiTheme="minorEastAsia" w:cstheme="minorEastAsia" w:hint="eastAsia"/>
                <w:kern w:val="0"/>
                <w:szCs w:val="21"/>
              </w:rPr>
            </w:pPr>
            <w:r>
              <w:rPr>
                <w:rFonts w:ascii="Calibri" w:hAnsi="Calibri"/>
                <w:szCs w:val="22"/>
              </w:rPr>
              <w:t>火箭作业安全监控终端</w:t>
            </w:r>
          </w:p>
        </w:tc>
        <w:tc>
          <w:tcPr>
            <w:tcW w:w="711" w:type="pct"/>
            <w:tcBorders>
              <w:tl2br w:val="nil"/>
              <w:tr2bl w:val="nil"/>
            </w:tcBorders>
            <w:noWrap/>
          </w:tcPr>
          <w:p>
            <w:pPr>
              <w:autoSpaceDE w:val="0"/>
              <w:jc w:val="center"/>
              <w:rPr>
                <w:rFonts w:ascii="宋体" w:hAnsi="宋体" w:cs="宋体" w:hint="eastAsia"/>
                <w:color w:val="FF0000"/>
                <w:kern w:val="0"/>
                <w:szCs w:val="21"/>
              </w:rPr>
            </w:pPr>
            <w:r>
              <w:rPr>
                <w:rFonts w:ascii="宋体" w:hAnsi="宋体" w:cs="宋体" w:hint="eastAsia"/>
                <w:color w:val="FF0000"/>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3</w:t>
            </w:r>
          </w:p>
        </w:tc>
        <w:tc>
          <w:tcPr>
            <w:tcW w:w="2867" w:type="pct"/>
            <w:tcBorders>
              <w:tl2br w:val="nil"/>
              <w:tr2bl w:val="nil"/>
            </w:tcBorders>
            <w:noWrap/>
          </w:tcPr>
          <w:p>
            <w:pPr>
              <w:autoSpaceDE w:val="0"/>
              <w:jc w:val="center"/>
              <w:rPr>
                <w:rFonts w:asciiTheme="minorEastAsia" w:hAnsiTheme="minorEastAsia" w:cstheme="minorEastAsia" w:hint="eastAsia"/>
                <w:kern w:val="0"/>
                <w:szCs w:val="21"/>
              </w:rPr>
            </w:pPr>
            <w:r>
              <w:rPr>
                <w:rFonts w:ascii="Calibri" w:hAnsi="Calibri" w:hint="eastAsia"/>
                <w:szCs w:val="22"/>
              </w:rPr>
              <w:t>基于三码绑定的人影火箭发射安全锁控系统</w:t>
            </w:r>
          </w:p>
        </w:tc>
        <w:tc>
          <w:tcPr>
            <w:tcW w:w="711" w:type="pct"/>
            <w:tcBorders>
              <w:tl2br w:val="nil"/>
              <w:tr2bl w:val="nil"/>
            </w:tcBorders>
            <w:noWrap/>
          </w:tcPr>
          <w:p>
            <w:pPr>
              <w:autoSpaceDE w:val="0"/>
              <w:jc w:val="center"/>
              <w:rPr>
                <w:rFonts w:ascii="宋体" w:hAnsi="宋体" w:cs="宋体" w:hint="eastAsia"/>
                <w:color w:val="FF0000"/>
                <w:kern w:val="0"/>
                <w:szCs w:val="21"/>
              </w:rPr>
            </w:pPr>
            <w:r>
              <w:rPr>
                <w:rFonts w:ascii="宋体" w:hAnsi="宋体" w:cs="宋体" w:hint="eastAsia"/>
                <w:color w:val="FF0000"/>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套</w:t>
            </w:r>
          </w:p>
        </w:tc>
      </w:tr>
      <w:tr>
        <w:tblPrEx>
          <w:tblW w:w="4997" w:type="pct"/>
          <w:tblInd w:w="0" w:type="dxa"/>
          <w:tblCellMar>
            <w:top w:w="0" w:type="dxa"/>
            <w:left w:w="108" w:type="dxa"/>
            <w:bottom w:w="0" w:type="dxa"/>
            <w:right w:w="108" w:type="dxa"/>
          </w:tblCellMar>
        </w:tblPrEx>
        <w:trPr>
          <w:trHeight w:val="466"/>
        </w:trPr>
        <w:tc>
          <w:tcPr>
            <w:tcW w:w="710"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kern w:val="0"/>
                <w:szCs w:val="21"/>
                <w:lang w:bidi="ar"/>
              </w:rPr>
            </w:pPr>
            <w:r>
              <w:rPr>
                <w:rFonts w:ascii="宋体" w:hAnsi="宋体" w:cs="宋体" w:hint="eastAsia"/>
                <w:color w:val="000000"/>
                <w:kern w:val="0"/>
                <w:szCs w:val="21"/>
                <w:lang w:bidi="ar"/>
              </w:rPr>
              <w:t>4</w:t>
            </w:r>
          </w:p>
        </w:tc>
        <w:tc>
          <w:tcPr>
            <w:tcW w:w="2867" w:type="pct"/>
            <w:tcBorders>
              <w:tl2br w:val="nil"/>
              <w:tr2bl w:val="nil"/>
            </w:tcBorders>
            <w:noWrap/>
          </w:tcPr>
          <w:p>
            <w:pPr>
              <w:autoSpaceDE w:val="0"/>
              <w:jc w:val="center"/>
              <w:rPr>
                <w:rFonts w:asciiTheme="minorEastAsia" w:hAnsiTheme="minorEastAsia" w:cstheme="minorEastAsia" w:hint="eastAsia"/>
                <w:kern w:val="0"/>
                <w:szCs w:val="21"/>
              </w:rPr>
            </w:pPr>
            <w:r>
              <w:rPr>
                <w:rFonts w:ascii="Calibri" w:hAnsi="Calibri"/>
                <w:szCs w:val="22"/>
              </w:rPr>
              <w:t>弹药临时储运箱</w:t>
            </w:r>
          </w:p>
        </w:tc>
        <w:tc>
          <w:tcPr>
            <w:tcW w:w="711" w:type="pct"/>
            <w:tcBorders>
              <w:tl2br w:val="nil"/>
              <w:tr2bl w:val="nil"/>
            </w:tcBorders>
            <w:noWrap/>
          </w:tcPr>
          <w:p>
            <w:pPr>
              <w:autoSpaceDE w:val="0"/>
              <w:jc w:val="center"/>
              <w:rPr>
                <w:rFonts w:ascii="宋体" w:hAnsi="宋体" w:cs="宋体" w:hint="eastAsia"/>
                <w:color w:val="FF0000"/>
                <w:kern w:val="0"/>
                <w:szCs w:val="21"/>
              </w:rPr>
            </w:pPr>
            <w:r>
              <w:rPr>
                <w:rFonts w:ascii="宋体" w:hAnsi="宋体" w:cs="宋体" w:hint="eastAsia"/>
                <w:color w:val="FF0000"/>
                <w:szCs w:val="22"/>
              </w:rPr>
              <w:t>xx</w:t>
            </w:r>
          </w:p>
        </w:tc>
        <w:tc>
          <w:tcPr>
            <w:tcW w:w="711" w:type="pct"/>
            <w:tcBorders>
              <w:tl2br w:val="nil"/>
              <w:tr2bl w:val="nil"/>
            </w:tcBorders>
            <w:noWrap/>
            <w:vAlign w:val="center"/>
          </w:tcPr>
          <w:p>
            <w:pPr>
              <w:widowControl/>
              <w:snapToGrid w:val="0"/>
              <w:spacing w:line="279" w:lineRule="auto"/>
              <w:jc w:val="center"/>
              <w:textAlignment w:val="center"/>
              <w:rPr>
                <w:rFonts w:ascii="宋体" w:hAnsi="宋体" w:cs="宋体" w:hint="eastAsia"/>
                <w:color w:val="000000"/>
                <w:szCs w:val="21"/>
              </w:rPr>
            </w:pPr>
            <w:r>
              <w:rPr>
                <w:rFonts w:ascii="宋体" w:hAnsi="宋体" w:cs="宋体" w:hint="eastAsia"/>
                <w:color w:val="000000"/>
                <w:kern w:val="0"/>
                <w:szCs w:val="21"/>
                <w:lang w:bidi="ar"/>
              </w:rPr>
              <w:t>套</w:t>
            </w:r>
          </w:p>
        </w:tc>
      </w:tr>
    </w:tbl>
    <w:p>
      <w:pPr>
        <w:adjustRightInd w:val="0"/>
        <w:snapToGrid w:val="0"/>
        <w:spacing w:line="400" w:lineRule="exact"/>
        <w:ind w:firstLine="945" w:firstLineChars="450"/>
        <w:rPr>
          <w:rFonts w:ascii="宋体" w:hAnsi="宋体" w:hint="eastAsia"/>
          <w:szCs w:val="21"/>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 xml:space="preserve">     标的名称：</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w:t>
      </w:r>
      <w:r>
        <w:rPr>
          <w:rFonts w:ascii="宋体" w:hAnsi="宋体" w:cs="宋体"/>
          <w:szCs w:val="21"/>
          <w:u w:val="single"/>
          <w:lang w:val="en"/>
        </w:rPr>
        <w:t xml:space="preserve"> </w:t>
      </w:r>
      <w:r>
        <w:rPr>
          <w:rFonts w:ascii="宋体" w:hAnsi="宋体" w:cs="宋体" w:hint="eastAsia"/>
          <w:szCs w:val="21"/>
          <w:u w:val="single"/>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hAnsi="宋体" w:cs="宋体" w:hint="eastAsia"/>
          <w:u w:val="single"/>
        </w:rPr>
        <w:t>/</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hAnsi="宋体" w:hint="eastAsia"/>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FE"/>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FE"/>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rPr>
          <w:rFonts w:ascii="宋体" w:eastAsia="宋体" w:hAnsi="宋体" w:cs="Times New Roman" w:hint="eastAsia"/>
          <w:kern w:val="2"/>
          <w:sz w:val="21"/>
        </w:rPr>
      </w:pP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FE"/>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FE"/>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FE"/>
      </w:r>
      <w:r>
        <w:rPr>
          <w:rFonts w:ascii="宋体" w:hAnsi="宋体" w:hint="eastAsia"/>
          <w:iCs/>
          <w:szCs w:val="21"/>
        </w:rPr>
        <w:t>否</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r>
        <w:rPr>
          <w:rFonts w:ascii="宋体" w:hAnsi="宋体" w:cs="宋体" w:hint="eastAsia"/>
          <w:szCs w:val="21"/>
          <w:u w:val="single"/>
        </w:rPr>
        <w:t>/</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cs="宋体" w:hint="eastAsia"/>
          <w:szCs w:val="21"/>
          <w:u w:val="single"/>
        </w:rPr>
        <w:t>/</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FE"/>
      </w:r>
      <w:r>
        <w:rPr>
          <w:rFonts w:ascii="宋体" w:hAnsi="宋体" w:cs="宋体" w:hint="eastAsia"/>
          <w:iCs/>
          <w:szCs w:val="21"/>
        </w:rPr>
        <w:t>否</w:t>
      </w:r>
    </w:p>
    <w:p>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cs="宋体"/>
          <w:szCs w:val="21"/>
        </w:rPr>
        <w:sym w:font="Wingdings" w:char="F0FE"/>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cs="宋体"/>
          <w:szCs w:val="21"/>
        </w:rPr>
        <w:sym w:font="Wingdings" w:char="F0FE"/>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cs="宋体"/>
          <w:szCs w:val="21"/>
        </w:rPr>
        <w:sym w:font="Wingdings" w:char="F0FE"/>
      </w:r>
      <w:r>
        <w:rPr>
          <w:rFonts w:ascii="宋体" w:hAnsi="宋体" w:hint="eastAsia"/>
          <w:szCs w:val="21"/>
        </w:rPr>
        <w:t>否</w:t>
      </w:r>
    </w:p>
    <w:p>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hAnsi="Wingdings" w:cs="宋体"/>
        </w:rPr>
        <w:sym w:font="Wingdings" w:char="F0FE"/>
      </w:r>
      <w:r>
        <w:rPr>
          <w:rFonts w:ascii="宋体" w:eastAsia="宋体" w:hAnsi="宋体" w:cs="Times New Roman" w:hint="eastAsia"/>
          <w:kern w:val="2"/>
          <w:sz w:val="21"/>
        </w:rPr>
        <w:t>否</w:t>
      </w:r>
    </w:p>
    <w:p>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1050" w:firstLineChars="500"/>
        <w:rPr>
          <w:rFonts w:ascii="宋体" w:hAnsi="宋体" w:hint="eastAsia"/>
          <w:szCs w:val="21"/>
        </w:rPr>
      </w:pPr>
      <w:r>
        <w:rPr>
          <w:rFonts w:ascii="Wingdings" w:hAnsi="Wingdings"/>
          <w:szCs w:val="21"/>
        </w:rPr>
        <w:sym w:font="Wingdings" w:char="F0FE"/>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FE"/>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tabs>
          <w:tab w:val="left" w:pos="1573"/>
        </w:tabs>
        <w:adjustRightInd w:val="0"/>
        <w:snapToGrid w:val="0"/>
        <w:spacing w:line="360" w:lineRule="auto"/>
        <w:ind w:firstLine="630" w:firstLineChars="300"/>
        <w:jc w:val="left"/>
        <w:rPr>
          <w:color w:val="000000" w:themeColor="text1"/>
          <w:szCs w:val="21"/>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合同分三期付款。</w:t>
      </w:r>
      <w:r>
        <w:rPr>
          <w:rFonts w:hint="eastAsia"/>
          <w:szCs w:val="21"/>
        </w:rPr>
        <w:t>首付</w:t>
      </w:r>
      <w:r>
        <w:rPr>
          <w:szCs w:val="21"/>
        </w:rPr>
        <w:t>款：</w:t>
      </w:r>
      <w:r>
        <w:rPr>
          <w:rFonts w:ascii="宋体" w:hAnsi="宋体" w:hint="eastAsia"/>
          <w:szCs w:val="21"/>
          <w:u w:val="single"/>
        </w:rPr>
        <w:t xml:space="preserve">合同签订后15个工作日内，甲方向乙方支付合同总金额的50%，即（大写）人民币       </w:t>
      </w:r>
      <w:r>
        <w:rPr>
          <w:rFonts w:ascii="宋体" w:hAnsi="宋体" w:hint="eastAsia"/>
          <w:szCs w:val="21"/>
        </w:rPr>
        <w:t>，</w:t>
      </w:r>
      <w:r>
        <w:rPr>
          <w:rFonts w:ascii="宋体" w:hAnsi="宋体" w:hint="eastAsia"/>
          <w:szCs w:val="21"/>
          <w:u w:val="single"/>
        </w:rPr>
        <w:t xml:space="preserve">（小写）￥        元；进度款：现场验收完成后15个工作日内，甲方向乙方支付合同总金额的40%，即（大写）人民币       </w:t>
      </w:r>
      <w:r>
        <w:rPr>
          <w:rFonts w:ascii="宋体" w:hAnsi="宋体" w:hint="eastAsia"/>
          <w:szCs w:val="21"/>
        </w:rPr>
        <w:t>，</w:t>
      </w:r>
      <w:r>
        <w:rPr>
          <w:rFonts w:ascii="宋体" w:hAnsi="宋体" w:hint="eastAsia"/>
          <w:szCs w:val="21"/>
          <w:u w:val="single"/>
        </w:rPr>
        <w:t xml:space="preserve">（小写）￥        元；尾款：合同验收完成后15个工作日内，甲方向乙方支付合同总金额的10%，即（大写）人民币       </w:t>
      </w:r>
      <w:r>
        <w:rPr>
          <w:rFonts w:ascii="宋体" w:hAnsi="宋体" w:hint="eastAsia"/>
          <w:szCs w:val="21"/>
        </w:rPr>
        <w:t>，</w:t>
      </w:r>
      <w:r>
        <w:rPr>
          <w:rFonts w:ascii="宋体" w:hAnsi="宋体" w:hint="eastAsia"/>
          <w:szCs w:val="21"/>
          <w:u w:val="single"/>
        </w:rPr>
        <w:t>（小写）￥        元。</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甲方指定地点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FE"/>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Pr>
          <w:rFonts w:ascii="宋体" w:hAnsi="宋体" w:cs="宋体" w:hint="eastAsia"/>
          <w:u w:val="single"/>
        </w:rPr>
        <w:t xml:space="preserve"> </w:t>
      </w:r>
      <w:r>
        <w:rPr>
          <w:rFonts w:ascii="宋体" w:eastAsia="宋体" w:hAnsi="宋体" w:cs="宋体" w:hint="eastAsia"/>
          <w:bCs/>
          <w:sz w:val="21"/>
          <w:u w:val="single"/>
        </w:rPr>
        <w:t xml:space="preserve">以金融机构出具的银行保函形式                  </w:t>
      </w:r>
    </w:p>
    <w:p>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合同总金额的5%                          </w:t>
      </w:r>
    </w:p>
    <w:p>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合同验收完成后1年内                       </w:t>
      </w:r>
    </w:p>
    <w:p>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                                 </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FE"/>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甲方           </w:t>
      </w:r>
    </w:p>
    <w:p>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FE"/>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（供应商提出验收申请之日起10日内组织验收）</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FE"/>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1）</w:t>
      </w:r>
      <w:r>
        <w:rPr>
          <w:rFonts w:ascii="宋体" w:hAnsi="宋体" w:hint="eastAsia"/>
          <w:szCs w:val="21"/>
          <w:u w:val="single"/>
        </w:rPr>
        <w:t>设备出厂前，</w:t>
      </w:r>
      <w:r>
        <w:rPr>
          <w:rFonts w:ascii="宋体" w:hAnsi="宋体" w:hint="eastAsia"/>
          <w:bCs/>
          <w:szCs w:val="21"/>
          <w:u w:val="single"/>
        </w:rPr>
        <w:t xml:space="preserve">由甲方组织开展出厂验收；2）到货后，由乙方进行安装调试工作，安装调试完毕后，由甲方组织现场验收；3）试运行结束后，由甲方组织进行合同验收。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详见“</w:t>
      </w:r>
      <w:r>
        <w:rPr>
          <w:rFonts w:ascii="宋体" w:hAnsi="宋体" w:hint="eastAsia"/>
          <w:szCs w:val="21"/>
          <w:u w:val="single"/>
        </w:rPr>
        <w:t>投标（响应）文件</w:t>
      </w:r>
      <w:r>
        <w:rPr>
          <w:rFonts w:ascii="宋体" w:hAnsi="宋体" w:hint="eastAsia"/>
          <w:bCs/>
          <w:szCs w:val="21"/>
          <w:u w:val="single"/>
        </w:rPr>
        <w:t xml:space="preserve">”                                   </w:t>
      </w:r>
    </w:p>
    <w:p>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FE"/>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无          </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双方法定代表人或委托代理人签字并加盖公章（或合同专用章）之日起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肆 </w:t>
      </w:r>
      <w:r>
        <w:rPr>
          <w:rFonts w:ascii="宋体" w:hAnsi="宋体" w:hint="eastAsia"/>
          <w:szCs w:val="21"/>
        </w:rPr>
        <w:t>份，甲方执</w:t>
      </w:r>
      <w:r>
        <w:rPr>
          <w:rFonts w:ascii="宋体" w:hAnsi="宋体" w:hint="eastAsia"/>
          <w:szCs w:val="21"/>
          <w:u w:val="single"/>
        </w:rPr>
        <w:t xml:space="preserve"> 贰 </w:t>
      </w:r>
      <w:r>
        <w:rPr>
          <w:rFonts w:ascii="宋体" w:hAnsi="宋体" w:hint="eastAsia"/>
          <w:szCs w:val="21"/>
        </w:rPr>
        <w:t>份，乙方执</w:t>
      </w:r>
      <w:r>
        <w:rPr>
          <w:rFonts w:ascii="宋体" w:hAnsi="宋体" w:hint="eastAsia"/>
          <w:szCs w:val="21"/>
          <w:u w:val="single"/>
        </w:rPr>
        <w:t xml:space="preserve"> 贰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8"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60"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rPr>
          <w:rFonts w:asciiTheme="minorEastAsia" w:hAnsiTheme="minorEastAsia" w:hint="eastAsia"/>
          <w:b/>
          <w:bCs/>
          <w:szCs w:val="21"/>
        </w:rPr>
      </w:pPr>
      <w:r>
        <w:rPr>
          <w:rFonts w:asciiTheme="minorEastAsia" w:hAnsiTheme="minorEastAsia" w:hint="eastAsia"/>
          <w:b/>
          <w:bCs/>
          <w:szCs w:val="21"/>
        </w:rPr>
        <w:br w:type="page"/>
      </w:r>
    </w:p>
    <w:p>
      <w:pPr>
        <w:spacing w:line="360" w:lineRule="auto"/>
        <w:rPr>
          <w:rFonts w:ascii="黑体" w:eastAsia="黑体" w:hAnsi="黑体" w:cs="黑体" w:hint="eastAsia"/>
          <w:sz w:val="32"/>
          <w:szCs w:val="32"/>
        </w:rPr>
      </w:pPr>
      <w:r>
        <w:rPr>
          <w:rFonts w:ascii="黑体" w:eastAsia="黑体" w:hAnsi="黑体" w:cs="黑体" w:hint="eastAsia"/>
          <w:sz w:val="32"/>
          <w:szCs w:val="32"/>
        </w:rPr>
        <w:t>附件1</w:t>
      </w:r>
    </w:p>
    <w:p>
      <w:pPr>
        <w:spacing w:line="360" w:lineRule="auto"/>
        <w:jc w:val="center"/>
        <w:rPr>
          <w:rFonts w:asciiTheme="minorEastAsia" w:eastAsiaTheme="minorEastAsia" w:hAnsiTheme="minorEastAsia" w:cs="方正小标宋简体" w:hint="eastAsia"/>
          <w:sz w:val="32"/>
          <w:szCs w:val="32"/>
        </w:rPr>
      </w:pPr>
      <w:r>
        <w:rPr>
          <w:rFonts w:asciiTheme="minorEastAsia" w:eastAsiaTheme="minorEastAsia" w:hAnsiTheme="minorEastAsia" w:cs="方正小标宋简体" w:hint="eastAsia"/>
          <w:sz w:val="32"/>
          <w:szCs w:val="32"/>
        </w:rPr>
        <w:t>标的产品技术要求</w:t>
      </w:r>
    </w:p>
    <w:p>
      <w:pPr>
        <w:spacing w:line="360" w:lineRule="auto"/>
        <w:ind w:firstLine="420" w:firstLineChars="200"/>
        <w:rPr>
          <w:rFonts w:ascii="宋体" w:hAnsi="宋体" w:hint="eastAsia"/>
          <w:szCs w:val="21"/>
        </w:rPr>
      </w:pPr>
      <w:r>
        <w:rPr>
          <w:rFonts w:ascii="宋体" w:hAnsi="宋体" w:hint="eastAsia"/>
          <w:szCs w:val="21"/>
        </w:rPr>
        <w:t>本项目涉及的所有设备、装置原则上应满足中国气象局人工影响天气中心编制的《火箭发射系统技术要求》《火箭发射系统技术测试大纲》《基于三码绑定的人影火箭发射安全锁控系统技术要求》《基于三码绑定的人影火箭发射安全锁控系统测试大纲》中的相关要求。主要技术性能指标见下表。</w:t>
      </w:r>
    </w:p>
    <w:p>
      <w:pPr>
        <w:spacing w:line="360" w:lineRule="auto"/>
        <w:jc w:val="center"/>
        <w:rPr>
          <w:rFonts w:ascii="宋体" w:hAnsi="宋体" w:hint="eastAsia"/>
          <w:szCs w:val="21"/>
        </w:rPr>
      </w:pPr>
      <w:r>
        <w:rPr>
          <w:rFonts w:ascii="宋体" w:hAnsi="宋体" w:hint="eastAsia"/>
          <w:szCs w:val="21"/>
        </w:rPr>
        <w:t>表 1 火箭发射装置性能指标清单</w:t>
      </w:r>
    </w:p>
    <w:tbl>
      <w:tblPr>
        <w:tblStyle w:val="TableNormal"/>
        <w:tblW w:w="4999" w:type="pct"/>
        <w:tblInd w:w="0" w:type="dxa"/>
        <w:tblCellMar>
          <w:top w:w="0" w:type="dxa"/>
          <w:left w:w="108" w:type="dxa"/>
          <w:bottom w:w="0" w:type="dxa"/>
          <w:right w:w="108" w:type="dxa"/>
        </w:tblCellMar>
      </w:tblPr>
      <w:tblGrid>
        <w:gridCol w:w="889"/>
        <w:gridCol w:w="2054"/>
        <w:gridCol w:w="6058"/>
      </w:tblGrid>
      <w:tr>
        <w:tblPrEx>
          <w:tblW w:w="4999" w:type="pct"/>
          <w:tblInd w:w="0" w:type="dxa"/>
          <w:tblCellMar>
            <w:top w:w="0" w:type="dxa"/>
            <w:left w:w="108" w:type="dxa"/>
            <w:bottom w:w="0" w:type="dxa"/>
            <w:right w:w="108" w:type="dxa"/>
          </w:tblCellMar>
        </w:tblPrEx>
        <w:trPr>
          <w:trHeight w:val="539"/>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序号</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项目内容</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性能参数</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1</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发射轨道长</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1500mm（φ44mm&amp;φ56mm），1700mm（φ66mm&amp;φ82mm）</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2</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轨道数量</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4轨、6轨、8轨，支持多口径，可更换不同定向器</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szCs w:val="21"/>
              </w:rPr>
              <w:t>3</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内包圆直径</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φ44.76+0.40mm，φ56.76+0.40mm，</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φ66.5+1.50mm，φ82.5+1.10mm。</w:t>
            </w:r>
          </w:p>
        </w:tc>
      </w:tr>
      <w:tr>
        <w:tblPrEx>
          <w:tblW w:w="4999" w:type="pct"/>
          <w:tblInd w:w="0" w:type="dxa"/>
          <w:tblCellMar>
            <w:top w:w="0" w:type="dxa"/>
            <w:left w:w="108" w:type="dxa"/>
            <w:bottom w:w="0" w:type="dxa"/>
            <w:right w:w="108" w:type="dxa"/>
          </w:tblCellMar>
        </w:tblPrEx>
        <w:trPr>
          <w:trHeight w:val="988"/>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4</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质量（不含牵引底盘、车载底座、固定底座）</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≯300kg</w:t>
            </w:r>
          </w:p>
        </w:tc>
      </w:tr>
      <w:tr>
        <w:tblPrEx>
          <w:tblW w:w="4999" w:type="pct"/>
          <w:tblInd w:w="0" w:type="dxa"/>
          <w:tblCellMar>
            <w:top w:w="0" w:type="dxa"/>
            <w:left w:w="108" w:type="dxa"/>
            <w:bottom w:w="0" w:type="dxa"/>
            <w:right w:w="108" w:type="dxa"/>
          </w:tblCellMar>
        </w:tblPrEx>
        <w:trPr>
          <w:trHeight w:val="1248"/>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5</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发射架承载力</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满载发射自重大于等于12kg的火箭弹时，能承受离架速度，不小于55m/s且加速度不小于60m/s</w:t>
            </w:r>
            <w:r>
              <w:rPr>
                <w:rFonts w:ascii="宋体" w:hAnsi="宋体" w:hint="eastAsia"/>
                <w:szCs w:val="21"/>
                <w:vertAlign w:val="superscript"/>
              </w:rPr>
              <w:t>2</w:t>
            </w:r>
            <w:r>
              <w:rPr>
                <w:rFonts w:ascii="宋体" w:hAnsi="宋体"/>
                <w:szCs w:val="21"/>
              </w:rPr>
              <w:t>时的火箭弹动态载荷，并能连续正常工作。</w:t>
            </w:r>
          </w:p>
        </w:tc>
      </w:tr>
      <w:tr>
        <w:tblPrEx>
          <w:tblW w:w="4999" w:type="pct"/>
          <w:tblInd w:w="0" w:type="dxa"/>
          <w:tblCellMar>
            <w:top w:w="0" w:type="dxa"/>
            <w:left w:w="108" w:type="dxa"/>
            <w:bottom w:w="0" w:type="dxa"/>
            <w:right w:w="108" w:type="dxa"/>
          </w:tblCellMar>
        </w:tblPrEx>
        <w:trPr>
          <w:trHeight w:val="624"/>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6</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重心要求</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在仰角85°发射火箭弹时，重心不应偏移出安全范围</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7</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仰角传动指标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可调范围：45°～85°</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平均速度：≥3°/s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准确度：±0.5°</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8</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方位角传动指标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可调范围：0～360°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平均速度：≥5°/s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转动准确度：±0.5°</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9</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测量指标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方位角测量精度：3°，分辨率：1°</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俯仰角测量精度：1°，分辨率：1°</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10</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电性能指标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 xml:space="preserve">（12±5%）V～（48±5%）V 的可充电电池，电池容量应≥720V·A·h </w:t>
            </w:r>
          </w:p>
        </w:tc>
      </w:tr>
      <w:tr>
        <w:tblPrEx>
          <w:tblW w:w="4999" w:type="pct"/>
          <w:tblInd w:w="0" w:type="dxa"/>
          <w:tblCellMar>
            <w:top w:w="0" w:type="dxa"/>
            <w:left w:w="108" w:type="dxa"/>
            <w:bottom w:w="0" w:type="dxa"/>
            <w:right w:w="108" w:type="dxa"/>
          </w:tblCellMar>
        </w:tblPrEx>
        <w:trPr>
          <w:trHeight w:val="451"/>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点火冲能：≥200A</w:t>
            </w:r>
            <w:r>
              <w:rPr>
                <w:rFonts w:ascii="宋体" w:hAnsi="宋体" w:hint="eastAsia"/>
                <w:szCs w:val="21"/>
                <w:vertAlign w:val="superscript"/>
              </w:rPr>
              <w:t>2</w:t>
            </w:r>
            <w:r>
              <w:rPr>
                <w:rFonts w:ascii="宋体" w:hAnsi="宋体"/>
                <w:szCs w:val="21"/>
              </w:rPr>
              <w:t>·ms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充电时间（数码火箭弹）：3s/发</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检测电流：≤3mA</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电阻检测精度：±0.1Ω（23℃±5℃环境温度下）</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11</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工作温度范围</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-20℃～+50℃</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12</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工作湿度</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10%RH～100%RH</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13</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≥IPX5</w:t>
            </w:r>
          </w:p>
        </w:tc>
      </w:tr>
      <w:tr>
        <w:tblPrEx>
          <w:tblW w:w="4999" w:type="pct"/>
          <w:tblInd w:w="0" w:type="dxa"/>
          <w:tblCellMar>
            <w:top w:w="0" w:type="dxa"/>
            <w:left w:w="108" w:type="dxa"/>
            <w:bottom w:w="0" w:type="dxa"/>
            <w:right w:w="108" w:type="dxa"/>
          </w:tblCellMar>
        </w:tblPrEx>
        <w:trPr>
          <w:trHeight w:val="743"/>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14</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平均故障修复时间（MTTR）</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≯2h</w:t>
            </w:r>
          </w:p>
        </w:tc>
      </w:tr>
      <w:tr>
        <w:tblPrEx>
          <w:tblW w:w="4999" w:type="pct"/>
          <w:tblInd w:w="0" w:type="dxa"/>
          <w:tblCellMar>
            <w:top w:w="0" w:type="dxa"/>
            <w:left w:w="108" w:type="dxa"/>
            <w:bottom w:w="0" w:type="dxa"/>
            <w:right w:w="108" w:type="dxa"/>
          </w:tblCellMar>
        </w:tblPrEx>
        <w:trPr>
          <w:trHeight w:val="312"/>
        </w:trPr>
        <w:tc>
          <w:tcPr>
            <w:tcW w:w="494" w:type="pc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15</w:t>
            </w:r>
          </w:p>
        </w:tc>
        <w:tc>
          <w:tcPr>
            <w:tcW w:w="1141"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使用寿命</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≥8年</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16</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航空插座指标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工作温度：-60℃～+150℃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绝缘电阻：常温条件500MΩ</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耐电压：1500V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额定工作电压：500V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接触电阻：≤5mΩ</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17</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火箭作业安全监控终端</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无线通讯方式：4G全网通</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作业信息通讯方式：RS485</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工作温度：-30～70°C</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工作电压：9～32V</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18</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基于三码绑定的人影火箭发射安全锁控系统</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输入电压范围：12V~48V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最大解锁保持时间：300秒（总线断电）</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插入阻抗：</w:t>
            </w:r>
            <w:r>
              <w:rPr>
                <w:rFonts w:ascii="宋体" w:hAnsi="宋体" w:hint="eastAsia"/>
                <w:szCs w:val="21"/>
              </w:rPr>
              <w:t>＜0.5Ω</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灌入电流：&lt;3mA（灌入电压&lt;80时）</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解锁保持时间设定范围：0~300秒</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通信模式：MBUS（双向无极性）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通信速率：1024bps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校验和算法：CRC8</w:t>
            </w:r>
          </w:p>
        </w:tc>
      </w:tr>
      <w:tr>
        <w:tblPrEx>
          <w:tblW w:w="4999" w:type="pct"/>
          <w:tblInd w:w="0" w:type="dxa"/>
          <w:tblCellMar>
            <w:top w:w="0" w:type="dxa"/>
            <w:left w:w="108" w:type="dxa"/>
            <w:bottom w:w="0" w:type="dxa"/>
            <w:right w:w="108" w:type="dxa"/>
          </w:tblCellMar>
        </w:tblPrEx>
        <w:trPr>
          <w:trHeight w:val="624"/>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19</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有线安全锁定器指标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电阻检测准确度：±0.1Ω（23℃±5℃环境温度下）；</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点火电压：80V±5V</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检测电流：≤3mA</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内部电源：12V5800mAh锂电池</w:t>
            </w:r>
          </w:p>
        </w:tc>
      </w:tr>
      <w:tr>
        <w:tblPrEx>
          <w:tblW w:w="4999" w:type="pct"/>
          <w:tblInd w:w="0" w:type="dxa"/>
          <w:tblCellMar>
            <w:top w:w="0" w:type="dxa"/>
            <w:left w:w="108" w:type="dxa"/>
            <w:bottom w:w="0" w:type="dxa"/>
            <w:right w:w="108" w:type="dxa"/>
          </w:tblCellMar>
        </w:tblPrEx>
        <w:trPr>
          <w:trHeight w:val="936"/>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密码存储容量：锁定器可存储不少于20组以上的密码（操作员不少于17组，管理员不少于3组）</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火箭控制接口数量：8个</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指纹识别存储容量：≥20人（每人10枚，共200枚指纹）</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连续工作时间：≥8h</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定位系统：GPS+北斗双模块</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卫星定位时间：≤60s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防水等级：≥IP65</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工作环境温度：温度-20℃～50℃，相对湿度10%～100%</w:t>
            </w:r>
          </w:p>
        </w:tc>
      </w:tr>
      <w:tr>
        <w:tblPrEx>
          <w:tblW w:w="4999" w:type="pct"/>
          <w:tblInd w:w="0" w:type="dxa"/>
          <w:tblCellMar>
            <w:top w:w="0" w:type="dxa"/>
            <w:left w:w="108" w:type="dxa"/>
            <w:bottom w:w="0" w:type="dxa"/>
            <w:right w:w="108" w:type="dxa"/>
          </w:tblCellMar>
        </w:tblPrEx>
        <w:trPr>
          <w:trHeight w:val="312"/>
        </w:trPr>
        <w:tc>
          <w:tcPr>
            <w:tcW w:w="494"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宋体" w:hAnsi="宋体" w:hint="eastAsia"/>
                <w:szCs w:val="21"/>
              </w:rPr>
            </w:pPr>
            <w:r>
              <w:rPr>
                <w:rFonts w:ascii="宋体" w:hAnsi="宋体" w:hint="eastAsia"/>
                <w:szCs w:val="21"/>
              </w:rPr>
              <w:t>20</w:t>
            </w:r>
          </w:p>
        </w:tc>
        <w:tc>
          <w:tcPr>
            <w:tcW w:w="1141" w:type="pct"/>
            <w:vMerge w:val="restar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无线安全锁定器主要指标</w:t>
            </w: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通讯距离：≥50m</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 xml:space="preserve">内部电源：3.7V </w:t>
            </w:r>
            <w:r>
              <w:rPr>
                <w:szCs w:val="21"/>
              </w:rPr>
              <w:t>≥</w:t>
            </w:r>
            <w:r>
              <w:rPr>
                <w:rFonts w:ascii="宋体" w:hAnsi="宋体"/>
                <w:szCs w:val="21"/>
              </w:rPr>
              <w:t>5200mAh锂电池</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密码元素组成：锁定器的输入键盘由0～9阿拉伯数字和*、#组成，实现密码输入</w:t>
            </w:r>
          </w:p>
        </w:tc>
      </w:tr>
      <w:tr>
        <w:tblPrEx>
          <w:tblW w:w="4999" w:type="pct"/>
          <w:tblInd w:w="0" w:type="dxa"/>
          <w:tblCellMar>
            <w:top w:w="0" w:type="dxa"/>
            <w:left w:w="108" w:type="dxa"/>
            <w:bottom w:w="0" w:type="dxa"/>
            <w:right w:w="108" w:type="dxa"/>
          </w:tblCellMar>
        </w:tblPrEx>
        <w:trPr>
          <w:trHeight w:val="15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密码组成：锁定器可存储不少于20组以上的密码（操作员不少于17组，管理员不少于3组），密码由0～9阿拉伯数字和*、#组成，6位的纯数字型密码（操作员使用）；6位的数字加字符混合密码（管理员使用）</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火箭控制接口数量：</w:t>
            </w:r>
            <w:r>
              <w:rPr>
                <w:szCs w:val="21"/>
              </w:rPr>
              <w:t>≥</w:t>
            </w:r>
            <w:r>
              <w:rPr>
                <w:rFonts w:ascii="宋体" w:hAnsi="宋体"/>
                <w:szCs w:val="21"/>
              </w:rPr>
              <w:t>8个</w:t>
            </w:r>
          </w:p>
        </w:tc>
      </w:tr>
      <w:tr>
        <w:tblPrEx>
          <w:tblW w:w="4999" w:type="pct"/>
          <w:tblInd w:w="0" w:type="dxa"/>
          <w:tblCellMar>
            <w:top w:w="0" w:type="dxa"/>
            <w:left w:w="108" w:type="dxa"/>
            <w:bottom w:w="0" w:type="dxa"/>
            <w:right w:w="108" w:type="dxa"/>
          </w:tblCellMar>
        </w:tblPrEx>
        <w:trPr>
          <w:trHeight w:val="2808"/>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开机密码设置：2人及以上操作员采用双密码/多密码（由管理员选择设置“双密/多密码”）在1分钟内完成成组输入后，验证其有效性。若成组输入密码超时，需重新成组输入双密码/多密码。成组输入密码连续输入错误6次，数字型密码身份识别器自动关闭密码输入功能，并提示只有在管理员输入管理密码后，才能再次开启密码输入功能</w:t>
            </w:r>
          </w:p>
        </w:tc>
      </w:tr>
      <w:tr>
        <w:tblPrEx>
          <w:tblW w:w="4999" w:type="pct"/>
          <w:tblInd w:w="0" w:type="dxa"/>
          <w:tblCellMar>
            <w:top w:w="0" w:type="dxa"/>
            <w:left w:w="108" w:type="dxa"/>
            <w:bottom w:w="0" w:type="dxa"/>
            <w:right w:w="108" w:type="dxa"/>
          </w:tblCellMar>
        </w:tblPrEx>
        <w:trPr>
          <w:trHeight w:val="624"/>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指纹识别存储容量：≥20人（每人10枚，共200枚指纹）</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指纹识别认假率：＜0.001%</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指纹识别拒真率：＜1.0%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指纹识别搜索时间：＜3s</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连续工作时间：≥8h</w:t>
            </w:r>
          </w:p>
        </w:tc>
      </w:tr>
      <w:tr>
        <w:tblPrEx>
          <w:tblW w:w="4999" w:type="pct"/>
          <w:tblInd w:w="0" w:type="dxa"/>
          <w:tblCellMar>
            <w:top w:w="0" w:type="dxa"/>
            <w:left w:w="108" w:type="dxa"/>
            <w:bottom w:w="0" w:type="dxa"/>
            <w:right w:w="108" w:type="dxa"/>
          </w:tblCellMar>
        </w:tblPrEx>
        <w:trPr>
          <w:trHeight w:val="9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正弦稳态振动试验：在位移1.5mm，加速度5 m/s</w:t>
            </w:r>
            <w:r>
              <w:rPr>
                <w:rFonts w:ascii="宋体" w:hAnsi="宋体" w:hint="eastAsia"/>
                <w:szCs w:val="21"/>
                <w:vertAlign w:val="superscript"/>
              </w:rPr>
              <w:t>2</w:t>
            </w:r>
            <w:r>
              <w:rPr>
                <w:rFonts w:ascii="宋体" w:hAnsi="宋体"/>
                <w:szCs w:val="21"/>
              </w:rPr>
              <w:t>，频率2Hz～9Hz，9Hz～200Hz的条件下持续时间40分钟</w:t>
            </w:r>
          </w:p>
        </w:tc>
      </w:tr>
      <w:tr>
        <w:tblPrEx>
          <w:tblW w:w="4999" w:type="pct"/>
          <w:tblInd w:w="0" w:type="dxa"/>
          <w:tblCellMar>
            <w:top w:w="0" w:type="dxa"/>
            <w:left w:w="108" w:type="dxa"/>
            <w:bottom w:w="0" w:type="dxa"/>
            <w:right w:w="108" w:type="dxa"/>
          </w:tblCellMar>
        </w:tblPrEx>
        <w:trPr>
          <w:trHeight w:val="960"/>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非稳态振动试验：在峰值加速度40m/s</w:t>
            </w:r>
            <w:r>
              <w:rPr>
                <w:rFonts w:ascii="宋体" w:hAnsi="宋体" w:hint="eastAsia"/>
                <w:szCs w:val="21"/>
                <w:vertAlign w:val="superscript"/>
              </w:rPr>
              <w:t>2</w:t>
            </w:r>
            <w:r>
              <w:rPr>
                <w:rFonts w:ascii="宋体" w:hAnsi="宋体"/>
                <w:szCs w:val="21"/>
              </w:rPr>
              <w:t>的下，持续时间11ms的冲击台上连续冲击三次</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防水等级：5级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防尘等级：6级</w:t>
            </w:r>
          </w:p>
        </w:tc>
      </w:tr>
      <w:tr>
        <w:tblPrEx>
          <w:tblW w:w="4999" w:type="pct"/>
          <w:tblInd w:w="0" w:type="dxa"/>
          <w:tblCellMar>
            <w:top w:w="0" w:type="dxa"/>
            <w:left w:w="108" w:type="dxa"/>
            <w:bottom w:w="0" w:type="dxa"/>
            <w:right w:w="108" w:type="dxa"/>
          </w:tblCellMar>
        </w:tblPrEx>
        <w:trPr>
          <w:trHeight w:val="936"/>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耐腐蚀等级：其金属零部件应进行表面防腐处理，经中性盐雾腐蚀（NSS法）48小时后，保护评级达到6级</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工作环境温度：-20℃～50℃</w:t>
            </w:r>
          </w:p>
        </w:tc>
      </w:tr>
      <w:tr>
        <w:tblPrEx>
          <w:tblW w:w="4999" w:type="pct"/>
          <w:tblInd w:w="0" w:type="dxa"/>
          <w:tblCellMar>
            <w:top w:w="0" w:type="dxa"/>
            <w:left w:w="108" w:type="dxa"/>
            <w:bottom w:w="0" w:type="dxa"/>
            <w:right w:w="108" w:type="dxa"/>
          </w:tblCellMar>
        </w:tblPrEx>
        <w:trPr>
          <w:trHeight w:val="312"/>
        </w:trPr>
        <w:tc>
          <w:tcPr>
            <w:tcW w:w="494"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1141" w:type="pct"/>
            <w:vMerge/>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p>
        </w:tc>
        <w:tc>
          <w:tcPr>
            <w:tcW w:w="3364" w:type="pct"/>
            <w:tcBorders>
              <w:top w:val="single" w:sz="4" w:space="0" w:color="000000"/>
              <w:left w:val="single" w:sz="4" w:space="0" w:color="000000"/>
              <w:bottom w:val="single" w:sz="4" w:space="0" w:color="000000"/>
              <w:right w:val="single" w:sz="4" w:space="0" w:color="000000"/>
            </w:tcBorders>
            <w:vAlign w:val="center"/>
          </w:tcPr>
          <w:p>
            <w:pPr>
              <w:spacing w:line="360" w:lineRule="auto"/>
              <w:rPr>
                <w:rFonts w:ascii="宋体" w:hAnsi="宋体" w:hint="eastAsia"/>
                <w:szCs w:val="21"/>
              </w:rPr>
            </w:pPr>
            <w:r>
              <w:rPr>
                <w:rFonts w:ascii="宋体" w:hAnsi="宋体"/>
                <w:szCs w:val="21"/>
              </w:rPr>
              <w:t>工作环境湿度：10%RH～100%RH</w:t>
            </w:r>
          </w:p>
        </w:tc>
      </w:tr>
    </w:tbl>
    <w:p>
      <w:pPr>
        <w:spacing w:line="360" w:lineRule="auto"/>
        <w:jc w:val="center"/>
        <w:rPr>
          <w:rFonts w:ascii="宋体" w:hAnsi="宋体" w:hint="eastAsia"/>
          <w:szCs w:val="21"/>
        </w:rPr>
      </w:pPr>
    </w:p>
    <w:p>
      <w:pPr>
        <w:spacing w:line="360" w:lineRule="auto"/>
        <w:jc w:val="center"/>
        <w:rPr>
          <w:rFonts w:ascii="宋体" w:hAnsi="宋体" w:hint="eastAsia"/>
          <w:szCs w:val="21"/>
        </w:rPr>
      </w:pPr>
      <w:r>
        <w:rPr>
          <w:rFonts w:ascii="宋体" w:hAnsi="宋体" w:hint="eastAsia"/>
          <w:szCs w:val="21"/>
        </w:rPr>
        <w:t xml:space="preserve">表2 </w:t>
      </w:r>
      <w:r>
        <w:rPr>
          <w:rFonts w:ascii="宋体" w:hAnsi="宋体"/>
          <w:szCs w:val="21"/>
        </w:rPr>
        <w:t>弹药临时储运箱性能参数表</w:t>
      </w:r>
    </w:p>
    <w:tbl>
      <w:tblPr>
        <w:tblStyle w:val="TableNormal"/>
        <w:tblW w:w="4998" w:type="pct"/>
        <w:tblInd w:w="0" w:type="dxa"/>
        <w:tblCellMar>
          <w:top w:w="0" w:type="dxa"/>
          <w:left w:w="108" w:type="dxa"/>
          <w:bottom w:w="0" w:type="dxa"/>
          <w:right w:w="108" w:type="dxa"/>
        </w:tblCellMar>
      </w:tblPr>
      <w:tblGrid>
        <w:gridCol w:w="1844"/>
        <w:gridCol w:w="2407"/>
        <w:gridCol w:w="4748"/>
      </w:tblGrid>
      <w:tr>
        <w:tblPrEx>
          <w:tblW w:w="4998" w:type="pct"/>
          <w:tblInd w:w="0" w:type="dxa"/>
          <w:tblCellMar>
            <w:top w:w="0" w:type="dxa"/>
            <w:left w:w="108" w:type="dxa"/>
            <w:bottom w:w="0" w:type="dxa"/>
            <w:right w:w="108" w:type="dxa"/>
          </w:tblCellMar>
        </w:tblPrEx>
        <w:trPr>
          <w:trHeight w:val="469"/>
        </w:trPr>
        <w:tc>
          <w:tcPr>
            <w:tcW w:w="1024" w:type="pct"/>
            <w:tcBorders>
              <w:top w:val="single" w:sz="8" w:space="0" w:color="000000"/>
              <w:left w:val="single" w:sz="8" w:space="0" w:color="000000"/>
              <w:bottom w:val="single" w:sz="8" w:space="0" w:color="000000"/>
              <w:right w:val="single" w:sz="8" w:space="0" w:color="000000"/>
            </w:tcBorders>
            <w:vAlign w:val="center"/>
          </w:tcPr>
          <w:p>
            <w:pPr>
              <w:spacing w:line="360" w:lineRule="auto"/>
              <w:jc w:val="center"/>
              <w:rPr>
                <w:rFonts w:ascii="宋体" w:hAnsi="宋体" w:hint="eastAsia"/>
                <w:szCs w:val="21"/>
              </w:rPr>
            </w:pPr>
            <w:r>
              <w:rPr>
                <w:rFonts w:ascii="宋体" w:hAnsi="宋体"/>
                <w:szCs w:val="21"/>
              </w:rPr>
              <w:t>序号</w:t>
            </w:r>
          </w:p>
        </w:tc>
        <w:tc>
          <w:tcPr>
            <w:tcW w:w="1337" w:type="pct"/>
            <w:tcBorders>
              <w:top w:val="single" w:sz="8" w:space="0" w:color="000000"/>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项目内容</w:t>
            </w:r>
          </w:p>
        </w:tc>
        <w:tc>
          <w:tcPr>
            <w:tcW w:w="2637" w:type="pct"/>
            <w:tcBorders>
              <w:top w:val="single" w:sz="8" w:space="0" w:color="000000"/>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性能参数</w:t>
            </w:r>
          </w:p>
        </w:tc>
      </w:tr>
      <w:tr>
        <w:tblPrEx>
          <w:tblW w:w="4998" w:type="pct"/>
          <w:tblInd w:w="0" w:type="dxa"/>
          <w:tblCellMar>
            <w:top w:w="0" w:type="dxa"/>
            <w:left w:w="108" w:type="dxa"/>
            <w:bottom w:w="0" w:type="dxa"/>
            <w:right w:w="108" w:type="dxa"/>
          </w:tblCellMar>
        </w:tblPrEx>
        <w:trPr>
          <w:trHeight w:val="1887"/>
        </w:trPr>
        <w:tc>
          <w:tcPr>
            <w:tcW w:w="1024" w:type="pct"/>
            <w:tcBorders>
              <w:top w:val="nil"/>
              <w:left w:val="single" w:sz="8" w:space="0" w:color="000000"/>
              <w:bottom w:val="single" w:sz="8" w:space="0" w:color="000000"/>
              <w:right w:val="single" w:sz="8" w:space="0" w:color="000000"/>
            </w:tcBorders>
            <w:vAlign w:val="center"/>
          </w:tcPr>
          <w:p>
            <w:pPr>
              <w:spacing w:line="360" w:lineRule="auto"/>
              <w:jc w:val="center"/>
              <w:rPr>
                <w:rFonts w:ascii="宋体" w:hAnsi="宋体" w:hint="eastAsia"/>
                <w:szCs w:val="21"/>
              </w:rPr>
            </w:pPr>
            <w:r>
              <w:rPr>
                <w:rFonts w:ascii="宋体" w:hAnsi="宋体"/>
                <w:szCs w:val="21"/>
              </w:rPr>
              <w:t>1</w:t>
            </w:r>
          </w:p>
        </w:tc>
        <w:tc>
          <w:tcPr>
            <w:tcW w:w="1337" w:type="pct"/>
            <w:tcBorders>
              <w:top w:val="nil"/>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性能要求</w:t>
            </w:r>
          </w:p>
        </w:tc>
        <w:tc>
          <w:tcPr>
            <w:tcW w:w="2637" w:type="pct"/>
            <w:tcBorders>
              <w:top w:val="nil"/>
              <w:left w:val="nil"/>
              <w:bottom w:val="single" w:sz="8" w:space="0" w:color="000000"/>
              <w:right w:val="single" w:sz="8" w:space="0" w:color="000000"/>
            </w:tcBorders>
            <w:vAlign w:val="center"/>
          </w:tcPr>
          <w:p>
            <w:pPr>
              <w:spacing w:line="360" w:lineRule="auto"/>
              <w:rPr>
                <w:rFonts w:ascii="宋体" w:hAnsi="宋体" w:hint="eastAsia"/>
                <w:szCs w:val="21"/>
              </w:rPr>
            </w:pPr>
            <w:r>
              <w:rPr>
                <w:rFonts w:ascii="宋体" w:hAnsi="宋体"/>
                <w:szCs w:val="21"/>
              </w:rPr>
              <w:t>用于作业车辆临时转运增雨火箭弹储运设备。内置导轨，方便弹药放入，能够满足不同口径火箭弹的安全储运要求，单次转运数量不少于10枚。</w:t>
            </w:r>
          </w:p>
        </w:tc>
      </w:tr>
    </w:tbl>
    <w:p>
      <w:pPr>
        <w:rPr>
          <w:rFonts w:ascii="宋体" w:hAnsi="宋体" w:hint="eastAsia"/>
          <w:b/>
          <w:bCs/>
          <w:color w:val="000000" w:themeColor="text1"/>
        </w:rPr>
      </w:pPr>
    </w:p>
    <w:p>
      <w:pPr>
        <w:rPr>
          <w:rFonts w:ascii="宋体" w:hAnsi="宋体" w:hint="eastAsia"/>
          <w:b/>
          <w:bCs/>
          <w:color w:val="000000" w:themeColor="text1"/>
        </w:rPr>
      </w:pPr>
      <w:r>
        <w:rPr>
          <w:rFonts w:ascii="宋体" w:hAnsi="宋体" w:hint="eastAsia"/>
          <w:b/>
          <w:bCs/>
          <w:color w:val="000000" w:themeColor="text1"/>
          <w:sz w:val="24"/>
          <w:szCs w:val="24"/>
        </w:rPr>
        <w:br w:type="page"/>
      </w:r>
    </w:p>
    <w:p>
      <w:pPr>
        <w:spacing w:line="360" w:lineRule="auto"/>
        <w:rPr>
          <w:rFonts w:ascii="黑体" w:eastAsia="黑体" w:hAnsi="黑体" w:cs="黑体" w:hint="eastAsia"/>
          <w:sz w:val="32"/>
          <w:szCs w:val="32"/>
        </w:rPr>
      </w:pPr>
      <w:r>
        <w:rPr>
          <w:rFonts w:ascii="黑体" w:eastAsia="黑体" w:hAnsi="黑体" w:cs="黑体" w:hint="eastAsia"/>
          <w:sz w:val="32"/>
          <w:szCs w:val="32"/>
        </w:rPr>
        <w:t>附件2</w:t>
      </w:r>
    </w:p>
    <w:p>
      <w:pPr>
        <w:spacing w:line="360" w:lineRule="auto"/>
        <w:jc w:val="center"/>
        <w:outlineLvl w:val="0"/>
        <w:rPr>
          <w:rFonts w:ascii="宋体" w:hAnsi="宋体" w:cs="方正小标宋简体" w:hint="eastAsia"/>
          <w:color w:val="000000" w:themeColor="text1"/>
          <w:sz w:val="32"/>
          <w:szCs w:val="32"/>
        </w:rPr>
      </w:pPr>
      <w:r>
        <w:rPr>
          <w:rFonts w:ascii="宋体" w:hAnsi="宋体" w:cs="方正小标宋简体" w:hint="eastAsia"/>
          <w:color w:val="000000" w:themeColor="text1"/>
          <w:sz w:val="32"/>
          <w:szCs w:val="32"/>
        </w:rPr>
        <w:t>标的产品商务要求</w:t>
      </w:r>
    </w:p>
    <w:p>
      <w:pPr>
        <w:spacing w:line="360" w:lineRule="auto"/>
        <w:outlineLvl w:val="0"/>
        <w:rPr>
          <w:rFonts w:ascii="宋体" w:hAnsi="宋体" w:hint="eastAsia"/>
          <w:color w:val="000000" w:themeColor="text1"/>
        </w:rPr>
      </w:pPr>
      <w:r>
        <w:rPr>
          <w:rFonts w:ascii="宋体" w:hAnsi="宋体" w:hint="eastAsia"/>
          <w:color w:val="000000" w:themeColor="text1"/>
          <w:sz w:val="24"/>
          <w:szCs w:val="24"/>
        </w:rPr>
        <w:t>一、供货要求</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设备的包装必须是制造商原厂包装，其包装均应有良好的防湿、防锈、防潮、防雨、防腐及防碰撞的措施。</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中标人负责将货物到现场过程中的全部运输，包括装卸车、货物现场的搬运。</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设备必须提供装箱清单，按装箱清单验收货物。并出具出厂合格证，序列号、包装箱号与出厂批号一致，并可追索查阅。所有随设备的附件必须齐全。</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szCs w:val="21"/>
        </w:rPr>
        <w:t>中标人应将关键主机设备的用户手册、保修手册、有关单证资料及配备件、随机工具等交付给采购人，使用操作及安全须知等重要资料应附有中文说明。</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szCs w:val="21"/>
        </w:rPr>
        <w:t>设备的拆箱、安装、调试等工作由中标人负责，但必须在采购人指定人员的参与下进行。在实际实施前必须先经采购人同意方可进行，调试的原始记录须经各方签字后作为验收的文件组成部分。</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spacing w:line="360" w:lineRule="auto"/>
        <w:ind w:firstLine="420" w:firstLineChars="200"/>
        <w:rPr>
          <w:rFonts w:ascii="宋体" w:hAnsi="宋体" w:hint="eastAsia"/>
          <w:szCs w:val="21"/>
        </w:rPr>
      </w:pPr>
      <w:r>
        <w:rPr>
          <w:rFonts w:ascii="宋体" w:hAnsi="宋体" w:hint="eastAsia"/>
          <w:szCs w:val="21"/>
        </w:rPr>
        <w:t>7.</w:t>
      </w:r>
      <w:r>
        <w:rPr>
          <w:rFonts w:ascii="宋体" w:hAnsi="宋体"/>
          <w:szCs w:val="21"/>
        </w:rPr>
        <w:t>中标人应出具针对本项目的详细验收方案。</w:t>
      </w:r>
    </w:p>
    <w:p>
      <w:pPr>
        <w:spacing w:line="360" w:lineRule="auto"/>
        <w:ind w:firstLine="420" w:firstLineChars="200"/>
        <w:rPr>
          <w:rFonts w:ascii="宋体" w:hAnsi="宋体" w:hint="eastAsia"/>
          <w:szCs w:val="21"/>
        </w:rPr>
      </w:pPr>
      <w:r>
        <w:rPr>
          <w:rFonts w:ascii="宋体" w:hAnsi="宋体" w:hint="eastAsia"/>
          <w:szCs w:val="21"/>
        </w:rPr>
        <w:t>8.</w:t>
      </w:r>
      <w:r>
        <w:rPr>
          <w:rFonts w:ascii="宋体" w:hAnsi="宋体"/>
          <w:szCs w:val="21"/>
        </w:rPr>
        <w:t>主要设备仪器在产品到货验收时，必须有制造商技术人员现场协助，此验收报告作为项目验收必备文件。</w:t>
      </w:r>
    </w:p>
    <w:p>
      <w:pPr>
        <w:spacing w:line="360" w:lineRule="auto"/>
        <w:ind w:firstLine="420" w:firstLineChars="200"/>
        <w:rPr>
          <w:rFonts w:ascii="宋体" w:hAnsi="宋体" w:hint="eastAsia"/>
          <w:szCs w:val="21"/>
        </w:rPr>
      </w:pPr>
      <w:r>
        <w:rPr>
          <w:rFonts w:ascii="宋体" w:hAnsi="宋体" w:hint="eastAsia"/>
          <w:szCs w:val="21"/>
        </w:rPr>
        <w:t>9.</w:t>
      </w:r>
      <w:r>
        <w:rPr>
          <w:rFonts w:ascii="宋体" w:hAnsi="宋体"/>
          <w:szCs w:val="21"/>
        </w:rPr>
        <w:t>验收由采购人、中标人及相关人员依据国家有关标准、合同及有关附件要求进行。</w:t>
      </w:r>
    </w:p>
    <w:p>
      <w:pPr>
        <w:spacing w:line="360" w:lineRule="auto"/>
        <w:ind w:firstLine="420" w:firstLineChars="200"/>
        <w:rPr>
          <w:rFonts w:ascii="宋体" w:hAnsi="宋体" w:hint="eastAsia"/>
          <w:szCs w:val="21"/>
        </w:rPr>
      </w:pPr>
      <w:r>
        <w:rPr>
          <w:rFonts w:ascii="宋体" w:hAnsi="宋体" w:hint="eastAsia"/>
          <w:szCs w:val="21"/>
        </w:rPr>
        <w:t>10.供货时间：合同签订后200天内交货，安装调试并具备交付验收条件。</w:t>
      </w:r>
    </w:p>
    <w:p>
      <w:pPr>
        <w:spacing w:line="360" w:lineRule="auto"/>
        <w:ind w:firstLine="420" w:firstLineChars="200"/>
        <w:rPr>
          <w:rFonts w:ascii="宋体" w:hAnsi="宋体" w:hint="eastAsia"/>
          <w:szCs w:val="21"/>
        </w:rPr>
      </w:pPr>
      <w:r>
        <w:rPr>
          <w:rFonts w:ascii="宋体" w:hAnsi="宋体" w:hint="eastAsia"/>
          <w:szCs w:val="21"/>
        </w:rPr>
        <w:t>11.</w:t>
      </w:r>
      <w:r>
        <w:rPr>
          <w:rFonts w:ascii="宋体" w:hAnsi="宋体"/>
          <w:szCs w:val="21"/>
        </w:rPr>
        <w:t>供货地点：</w:t>
      </w:r>
      <w:r>
        <w:rPr>
          <w:rFonts w:ascii="宋体" w:hAnsi="宋体" w:hint="eastAsia"/>
          <w:szCs w:val="21"/>
        </w:rPr>
        <w:t>海南</w:t>
      </w:r>
      <w:r>
        <w:rPr>
          <w:rFonts w:ascii="宋体" w:hAnsi="宋体"/>
          <w:szCs w:val="21"/>
        </w:rPr>
        <w:t>省内用户指定地点。</w:t>
      </w:r>
    </w:p>
    <w:p>
      <w:pPr>
        <w:spacing w:line="360" w:lineRule="auto"/>
        <w:ind w:firstLine="420" w:firstLineChars="200"/>
        <w:rPr>
          <w:rFonts w:ascii="宋体" w:hAnsi="宋体" w:hint="eastAsia"/>
          <w:szCs w:val="21"/>
        </w:rPr>
      </w:pPr>
      <w:r>
        <w:rPr>
          <w:rFonts w:ascii="宋体" w:hAnsi="宋体" w:hint="eastAsia"/>
          <w:szCs w:val="21"/>
        </w:rPr>
        <w:t>12.</w:t>
      </w:r>
      <w:r>
        <w:rPr>
          <w:rFonts w:ascii="宋体" w:hAnsi="宋体"/>
          <w:szCs w:val="21"/>
        </w:rPr>
        <w:t>中标人负责本项目所有设备的安装调试以及所有必需的线材与备件等。</w:t>
      </w:r>
    </w:p>
    <w:p>
      <w:pPr>
        <w:spacing w:line="360" w:lineRule="auto"/>
        <w:ind w:firstLine="420" w:firstLineChars="200"/>
        <w:rPr>
          <w:rFonts w:ascii="宋体" w:hAnsi="宋体" w:hint="eastAsia"/>
          <w:szCs w:val="21"/>
        </w:rPr>
      </w:pPr>
      <w:r>
        <w:rPr>
          <w:rFonts w:ascii="宋体" w:hAnsi="宋体" w:hint="eastAsia"/>
          <w:szCs w:val="21"/>
        </w:rPr>
        <w:t>13.</w:t>
      </w:r>
      <w:r>
        <w:rPr>
          <w:rFonts w:ascii="宋体" w:hAnsi="宋体"/>
          <w:szCs w:val="21"/>
        </w:rPr>
        <w:t>中标人应设安装负责人，负责安装协调管理工作。</w:t>
      </w:r>
    </w:p>
    <w:p>
      <w:pPr>
        <w:spacing w:line="360" w:lineRule="auto"/>
        <w:ind w:firstLine="420" w:firstLineChars="200"/>
        <w:rPr>
          <w:rFonts w:ascii="宋体" w:hAnsi="宋体" w:hint="eastAsia"/>
          <w:szCs w:val="21"/>
        </w:rPr>
      </w:pPr>
      <w:r>
        <w:rPr>
          <w:rFonts w:ascii="宋体" w:hAnsi="宋体" w:hint="eastAsia"/>
          <w:szCs w:val="21"/>
        </w:rPr>
        <w:t>14.</w:t>
      </w:r>
      <w:r>
        <w:rPr>
          <w:rFonts w:ascii="宋体" w:hAnsi="宋体"/>
          <w:szCs w:val="21"/>
        </w:rPr>
        <w:t>安装所需工具设施物料由中标人自备、自费运到现场，完工后自费搬走。</w:t>
      </w:r>
    </w:p>
    <w:p>
      <w:pPr>
        <w:spacing w:line="360" w:lineRule="auto"/>
        <w:outlineLvl w:val="0"/>
        <w:rPr>
          <w:rFonts w:ascii="宋体" w:hAnsi="宋体" w:hint="eastAsia"/>
          <w:color w:val="000000" w:themeColor="text1"/>
        </w:rPr>
      </w:pPr>
      <w:r>
        <w:rPr>
          <w:rFonts w:ascii="宋体" w:hAnsi="宋体" w:hint="eastAsia"/>
          <w:color w:val="000000" w:themeColor="text1"/>
          <w:sz w:val="24"/>
          <w:szCs w:val="24"/>
        </w:rPr>
        <w:t>二、验收要求</w:t>
      </w:r>
    </w:p>
    <w:p>
      <w:pPr>
        <w:ind w:firstLine="425"/>
        <w:rPr>
          <w:color w:val="000000" w:themeColor="text1"/>
          <w:szCs w:val="21"/>
        </w:rPr>
      </w:pPr>
      <w:r>
        <w:rPr>
          <w:color w:val="000000" w:themeColor="text1"/>
          <w:szCs w:val="21"/>
        </w:rPr>
        <w:t>1</w:t>
      </w:r>
      <w:r>
        <w:rPr>
          <w:rFonts w:ascii="宋体" w:hAnsi="宋体" w:hint="eastAsia"/>
          <w:szCs w:val="21"/>
        </w:rPr>
        <w:t>.</w:t>
      </w:r>
      <w:r>
        <w:rPr>
          <w:rFonts w:hint="eastAsia"/>
          <w:color w:val="000000" w:themeColor="text1"/>
          <w:szCs w:val="21"/>
        </w:rPr>
        <w:t>出厂测试验收</w:t>
      </w:r>
    </w:p>
    <w:p>
      <w:pPr>
        <w:spacing w:line="360" w:lineRule="auto"/>
        <w:ind w:firstLine="420" w:firstLineChars="200"/>
        <w:rPr>
          <w:rFonts w:ascii="宋体" w:hAnsi="宋体" w:hint="eastAsia"/>
          <w:szCs w:val="21"/>
        </w:rPr>
      </w:pPr>
      <w:r>
        <w:rPr>
          <w:rFonts w:ascii="宋体" w:hAnsi="宋体" w:hint="eastAsia"/>
          <w:szCs w:val="21"/>
        </w:rPr>
        <w:t>设备出厂前，</w:t>
      </w:r>
      <w:r>
        <w:rPr>
          <w:rFonts w:ascii="宋体" w:hAnsi="宋体"/>
          <w:szCs w:val="21"/>
        </w:rPr>
        <w:t>中标人</w:t>
      </w:r>
      <w:r>
        <w:rPr>
          <w:rFonts w:ascii="宋体" w:hAnsi="宋体" w:hint="eastAsia"/>
          <w:szCs w:val="21"/>
        </w:rPr>
        <w:t>应提供设备合格标准的自测报告、出厂测试报告、设备维护保障承诺书（明确质保期年限）；</w:t>
      </w:r>
    </w:p>
    <w:p>
      <w:pPr>
        <w:spacing w:line="360" w:lineRule="auto"/>
        <w:ind w:firstLine="420" w:firstLineChars="200"/>
        <w:rPr>
          <w:rFonts w:ascii="宋体" w:hAnsi="宋体" w:hint="eastAsia"/>
          <w:szCs w:val="21"/>
        </w:rPr>
      </w:pPr>
      <w:r>
        <w:rPr>
          <w:rFonts w:ascii="宋体" w:hAnsi="宋体" w:hint="eastAsia"/>
          <w:szCs w:val="21"/>
        </w:rPr>
        <w:t>采购人或其委托的监理机构按照初步设计和测试大纲指标要求，对设备的整机功能及性能指标等进行测试；</w:t>
      </w:r>
    </w:p>
    <w:p>
      <w:pPr>
        <w:spacing w:line="360" w:lineRule="auto"/>
        <w:ind w:firstLine="420" w:firstLineChars="200"/>
        <w:rPr>
          <w:rFonts w:ascii="宋体" w:hAnsi="宋体" w:hint="eastAsia"/>
          <w:szCs w:val="21"/>
        </w:rPr>
      </w:pPr>
      <w:r>
        <w:rPr>
          <w:rFonts w:ascii="宋体" w:hAnsi="宋体" w:hint="eastAsia"/>
          <w:szCs w:val="21"/>
        </w:rPr>
        <w:t>出厂测试合格后，由采购人或其委托的监理机构与</w:t>
      </w:r>
      <w:r>
        <w:rPr>
          <w:rFonts w:ascii="宋体" w:hAnsi="宋体"/>
          <w:szCs w:val="21"/>
        </w:rPr>
        <w:t>中标人</w:t>
      </w:r>
      <w:r>
        <w:rPr>
          <w:rFonts w:ascii="宋体" w:hAnsi="宋体" w:hint="eastAsia"/>
          <w:szCs w:val="21"/>
        </w:rPr>
        <w:t>共同签署《出厂测试验收单》。</w:t>
      </w:r>
    </w:p>
    <w:p>
      <w:pPr>
        <w:spacing w:line="360" w:lineRule="auto"/>
        <w:ind w:firstLine="420" w:firstLineChars="200"/>
        <w:rPr>
          <w:rFonts w:ascii="宋体" w:hAnsi="宋体" w:hint="eastAsia"/>
          <w:szCs w:val="21"/>
        </w:rPr>
      </w:pPr>
      <w:r>
        <w:rPr>
          <w:rFonts w:ascii="宋体" w:hAnsi="宋体" w:hint="eastAsia"/>
          <w:szCs w:val="21"/>
        </w:rPr>
        <w:t>2.现场</w:t>
      </w:r>
      <w:r>
        <w:rPr>
          <w:rFonts w:ascii="宋体" w:hAnsi="宋体"/>
          <w:szCs w:val="21"/>
        </w:rPr>
        <w:t>验收</w:t>
      </w:r>
    </w:p>
    <w:p>
      <w:pPr>
        <w:numPr>
          <w:ilvl w:val="12"/>
          <w:numId w:val="0"/>
        </w:numPr>
        <w:spacing w:line="360" w:lineRule="auto"/>
        <w:ind w:firstLine="420" w:firstLineChars="200"/>
        <w:rPr>
          <w:rFonts w:ascii="宋体" w:hAnsi="宋体" w:hint="eastAsia"/>
          <w:szCs w:val="21"/>
        </w:rPr>
      </w:pPr>
      <w:r>
        <w:rPr>
          <w:rFonts w:ascii="宋体" w:hAnsi="宋体" w:hint="eastAsia"/>
          <w:szCs w:val="21"/>
        </w:rPr>
        <w:t>（1）到货检验</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检验准备：</w:t>
      </w:r>
      <w:r>
        <w:rPr>
          <w:rFonts w:ascii="宋体" w:hAnsi="宋体"/>
          <w:szCs w:val="21"/>
        </w:rPr>
        <w:t>中</w:t>
      </w:r>
      <w:r>
        <w:rPr>
          <w:rFonts w:ascii="宋体" w:hAnsi="宋体" w:hint="eastAsia"/>
          <w:szCs w:val="21"/>
        </w:rPr>
        <w:t>标人应提前提供材料设备清单、产品合格证、产品使用说明书等资料，以备核查。</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检验内容：采购人或其委托的监理机构依据合同及技术规范，对设备数量、型号规格、外观完好性、配件齐全性、随机资料等进行逐一核对。</w:t>
      </w:r>
    </w:p>
    <w:p>
      <w:pPr>
        <w:numPr>
          <w:ilvl w:val="12"/>
          <w:numId w:val="0"/>
        </w:numPr>
        <w:spacing w:line="360" w:lineRule="auto"/>
        <w:ind w:firstLine="420" w:firstLineChars="200"/>
        <w:rPr>
          <w:rFonts w:ascii="宋体" w:hAnsi="宋体" w:hint="eastAsia"/>
          <w:szCs w:val="21"/>
        </w:rPr>
      </w:pPr>
      <w:r>
        <w:rPr>
          <w:rFonts w:ascii="宋体" w:hAnsi="宋体" w:hint="eastAsia"/>
          <w:szCs w:val="21"/>
        </w:rPr>
        <w:t>问题处理：如发现设备短缺、损坏或性能指标与合同要求不符，采购人有权拒收或要求更换，相关费用由</w:t>
      </w:r>
      <w:r>
        <w:rPr>
          <w:rFonts w:ascii="宋体" w:hAnsi="宋体"/>
          <w:szCs w:val="21"/>
        </w:rPr>
        <w:t>中</w:t>
      </w:r>
      <w:r>
        <w:rPr>
          <w:rFonts w:ascii="宋体" w:hAnsi="宋体" w:hint="eastAsia"/>
          <w:szCs w:val="21"/>
        </w:rPr>
        <w:t>标人承担。检验合格后，由采购人或监理工程师在到货检验报告上签署意见，采购方最终签字确认。</w:t>
      </w:r>
    </w:p>
    <w:p>
      <w:pPr>
        <w:numPr>
          <w:ilvl w:val="12"/>
          <w:numId w:val="0"/>
        </w:numPr>
        <w:spacing w:line="360" w:lineRule="auto"/>
        <w:ind w:firstLine="420" w:firstLineChars="200"/>
        <w:rPr>
          <w:rFonts w:ascii="宋体" w:hAnsi="宋体" w:hint="eastAsia"/>
          <w:szCs w:val="21"/>
        </w:rPr>
      </w:pPr>
      <w:r>
        <w:rPr>
          <w:rFonts w:ascii="宋体" w:hAnsi="宋体" w:hint="eastAsia"/>
          <w:szCs w:val="21"/>
        </w:rPr>
        <w:t>（2）安装调试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实施要求：到货检验通过后，</w:t>
      </w:r>
      <w:r>
        <w:rPr>
          <w:rFonts w:ascii="宋体" w:hAnsi="宋体"/>
          <w:szCs w:val="21"/>
        </w:rPr>
        <w:t>中</w:t>
      </w:r>
      <w:r>
        <w:rPr>
          <w:rFonts w:ascii="宋体" w:hAnsi="宋体" w:hint="eastAsia"/>
          <w:szCs w:val="21"/>
        </w:rPr>
        <w:t>标人应在30天内完成设备的安装、配置与调试工作。安装过程应符合国家或行业相关标准。</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测试验证：安装调试完成后，</w:t>
      </w:r>
      <w:r>
        <w:rPr>
          <w:rFonts w:ascii="宋体" w:hAnsi="宋体"/>
          <w:szCs w:val="21"/>
        </w:rPr>
        <w:t>中</w:t>
      </w:r>
      <w:r>
        <w:rPr>
          <w:rFonts w:ascii="宋体" w:hAnsi="宋体" w:hint="eastAsia"/>
          <w:szCs w:val="21"/>
        </w:rPr>
        <w:t>标人应进行自检，并向采购人提交安装调试报告。</w:t>
      </w:r>
    </w:p>
    <w:p>
      <w:pPr>
        <w:numPr>
          <w:ilvl w:val="12"/>
          <w:numId w:val="0"/>
        </w:numPr>
        <w:spacing w:line="360" w:lineRule="auto"/>
        <w:ind w:firstLine="420" w:firstLineChars="200"/>
        <w:rPr>
          <w:rFonts w:ascii="宋体" w:hAnsi="宋体" w:hint="eastAsia"/>
          <w:szCs w:val="21"/>
        </w:rPr>
      </w:pPr>
      <w:r>
        <w:rPr>
          <w:rFonts w:ascii="宋体" w:hAnsi="宋体" w:hint="eastAsia"/>
          <w:szCs w:val="21"/>
        </w:rPr>
        <w:t>整改责任：若测试中发现任何问题，</w:t>
      </w:r>
      <w:r>
        <w:rPr>
          <w:rFonts w:ascii="宋体" w:hAnsi="宋体"/>
          <w:szCs w:val="21"/>
        </w:rPr>
        <w:t>中</w:t>
      </w:r>
      <w:r>
        <w:rPr>
          <w:rFonts w:ascii="宋体" w:hAnsi="宋体" w:hint="eastAsia"/>
          <w:szCs w:val="21"/>
        </w:rPr>
        <w:t>标人须无条件免费整改，直至满足合同要求。所有费用已包含在投标总价中。</w:t>
      </w:r>
    </w:p>
    <w:p>
      <w:pPr>
        <w:numPr>
          <w:ilvl w:val="12"/>
          <w:numId w:val="0"/>
        </w:numPr>
        <w:spacing w:line="360" w:lineRule="auto"/>
        <w:ind w:firstLine="420" w:firstLineChars="200"/>
        <w:rPr>
          <w:rFonts w:ascii="宋体" w:hAnsi="宋体" w:hint="eastAsia"/>
          <w:szCs w:val="21"/>
        </w:rPr>
      </w:pPr>
      <w:r>
        <w:rPr>
          <w:rFonts w:ascii="宋体" w:hAnsi="宋体" w:hint="eastAsia"/>
          <w:szCs w:val="21"/>
        </w:rPr>
        <w:t>（3）培训</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培训安排：</w:t>
      </w:r>
      <w:r>
        <w:rPr>
          <w:rFonts w:ascii="宋体" w:hAnsi="宋体"/>
          <w:szCs w:val="21"/>
        </w:rPr>
        <w:t>中</w:t>
      </w:r>
      <w:r>
        <w:rPr>
          <w:rFonts w:ascii="宋体" w:hAnsi="宋体" w:hint="eastAsia"/>
          <w:szCs w:val="21"/>
        </w:rPr>
        <w:t>标人应为采购人相关操作及维护人员提供现场培训，确保其熟练掌握设备的使用、日常维护及常见故障处理方法。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培训内容：包括但不限于设备操作流程、安全注意事项、日常保养要点、简单故障排除等。中标人应提供培训教材（纸质或电子版）。</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培训效果确认：培训结束后，填写培训确认单。</w:t>
      </w:r>
    </w:p>
    <w:p>
      <w:pPr>
        <w:numPr>
          <w:ilvl w:val="12"/>
          <w:numId w:val="0"/>
        </w:numPr>
        <w:spacing w:line="360" w:lineRule="auto"/>
        <w:ind w:firstLine="420" w:firstLineChars="200"/>
        <w:rPr>
          <w:rFonts w:ascii="宋体" w:hAnsi="宋体" w:hint="eastAsia"/>
          <w:szCs w:val="21"/>
        </w:rPr>
      </w:pPr>
      <w:r>
        <w:rPr>
          <w:rFonts w:ascii="宋体" w:hAnsi="宋体" w:hint="eastAsia"/>
          <w:szCs w:val="21"/>
        </w:rPr>
        <w:t>（4）验收结论</w:t>
      </w:r>
    </w:p>
    <w:p>
      <w:pPr>
        <w:numPr>
          <w:ilvl w:val="12"/>
          <w:numId w:val="0"/>
        </w:numPr>
        <w:spacing w:line="360" w:lineRule="auto"/>
        <w:ind w:firstLine="420" w:firstLineChars="200"/>
        <w:rPr>
          <w:rFonts w:ascii="宋体" w:hAnsi="宋体" w:hint="eastAsia"/>
          <w:szCs w:val="21"/>
        </w:rPr>
      </w:pPr>
      <w:r>
        <w:rPr>
          <w:rFonts w:ascii="宋体" w:hAnsi="宋体" w:hint="eastAsia"/>
          <w:szCs w:val="21"/>
        </w:rPr>
        <w:t>到货检验、安装调试及培训工作全部完成后，</w:t>
      </w:r>
      <w:r>
        <w:rPr>
          <w:rFonts w:ascii="宋体" w:hAnsi="宋体"/>
          <w:szCs w:val="21"/>
        </w:rPr>
        <w:t>中</w:t>
      </w:r>
      <w:r>
        <w:rPr>
          <w:rFonts w:ascii="宋体" w:hAnsi="宋体" w:hint="eastAsia"/>
          <w:szCs w:val="21"/>
        </w:rPr>
        <w:t>标人应整理相关记录，提请采购人确认。采购人确认合格后，双方共同签署《现场验收单》，作为进入下一阶段（合同验收）的依据。同时。启动设备试运行工作，试运行时间不少于1个月。</w:t>
      </w:r>
    </w:p>
    <w:p>
      <w:pPr>
        <w:spacing w:line="360" w:lineRule="auto"/>
        <w:ind w:firstLine="420" w:firstLineChars="200"/>
        <w:rPr>
          <w:rFonts w:ascii="宋体" w:hAnsi="宋体" w:hint="eastAsia"/>
          <w:szCs w:val="21"/>
        </w:rPr>
      </w:pPr>
      <w:r>
        <w:rPr>
          <w:rFonts w:ascii="宋体" w:hAnsi="宋体" w:hint="eastAsia"/>
          <w:szCs w:val="21"/>
        </w:rPr>
        <w:t>3.合同验收</w:t>
      </w:r>
    </w:p>
    <w:p>
      <w:pPr>
        <w:spacing w:line="360" w:lineRule="auto"/>
        <w:ind w:firstLine="420" w:firstLineChars="200"/>
        <w:rPr>
          <w:rFonts w:ascii="宋体" w:hAnsi="宋体" w:hint="eastAsia"/>
          <w:szCs w:val="21"/>
        </w:rPr>
      </w:pPr>
      <w:r>
        <w:rPr>
          <w:rFonts w:ascii="宋体" w:hAnsi="宋体" w:hint="eastAsia"/>
          <w:szCs w:val="21"/>
        </w:rPr>
        <w:t>试运行结束后，</w:t>
      </w:r>
      <w:r>
        <w:rPr>
          <w:rFonts w:ascii="宋体" w:hAnsi="宋体"/>
          <w:szCs w:val="21"/>
        </w:rPr>
        <w:t>中</w:t>
      </w:r>
      <w:r>
        <w:rPr>
          <w:rFonts w:ascii="宋体" w:hAnsi="宋体" w:hint="eastAsia"/>
          <w:szCs w:val="21"/>
        </w:rPr>
        <w:t>标人对项目所有文件进行整理，提交全部验收文档后，向采购人提出合同验收申请。</w:t>
      </w:r>
    </w:p>
    <w:p>
      <w:pPr>
        <w:spacing w:line="360" w:lineRule="auto"/>
        <w:ind w:firstLine="420" w:firstLineChars="200"/>
        <w:rPr>
          <w:rFonts w:ascii="宋体" w:hAnsi="宋体" w:hint="eastAsia"/>
          <w:szCs w:val="21"/>
        </w:rPr>
      </w:pPr>
      <w:r>
        <w:rPr>
          <w:rFonts w:ascii="宋体" w:hAnsi="宋体"/>
          <w:szCs w:val="21"/>
        </w:rPr>
        <w:t>验收按照采购人的</w:t>
      </w:r>
      <w:r>
        <w:rPr>
          <w:rFonts w:ascii="宋体" w:hAnsi="宋体" w:hint="eastAsia"/>
          <w:szCs w:val="21"/>
        </w:rPr>
        <w:t>管理规定进行</w:t>
      </w:r>
      <w:r>
        <w:rPr>
          <w:rFonts w:ascii="宋体" w:hAnsi="宋体"/>
          <w:szCs w:val="21"/>
        </w:rPr>
        <w:t>。通过验收后，需要中标人、采购人双方在验收报告上签字盖章，签字盖章后视为验收通过。</w:t>
      </w:r>
    </w:p>
    <w:p>
      <w:pPr>
        <w:spacing w:line="360" w:lineRule="auto"/>
        <w:ind w:firstLine="420"/>
        <w:outlineLvl w:val="0"/>
        <w:rPr>
          <w:rFonts w:ascii="宋体" w:hAnsi="宋体" w:cs="宋体" w:hint="eastAsia"/>
          <w:color w:val="000000" w:themeColor="text1"/>
        </w:rPr>
      </w:pPr>
      <w:r>
        <w:rPr>
          <w:rFonts w:ascii="宋体" w:hAnsi="宋体"/>
          <w:szCs w:val="21"/>
        </w:rPr>
        <w:t>验收过程中，若发现货物质量有问题，中标人应无条件免费更换，并无条件重新检测并调试直至验收合格交付采购人使用。在此期间，中标人在采购人现场进行安装、调试、试运行直至</w:t>
      </w:r>
      <w:r>
        <w:rPr>
          <w:rFonts w:ascii="宋体" w:hAnsi="宋体" w:hint="eastAsia"/>
          <w:szCs w:val="21"/>
        </w:rPr>
        <w:t>合同</w:t>
      </w:r>
      <w:r>
        <w:rPr>
          <w:rFonts w:ascii="宋体" w:hAnsi="宋体"/>
          <w:szCs w:val="21"/>
        </w:rPr>
        <w:t>验收所发生的一切费用由中标人承担且已含在报价总价中。</w:t>
      </w:r>
    </w:p>
    <w:p>
      <w:pPr>
        <w:spacing w:line="360" w:lineRule="auto"/>
        <w:outlineLvl w:val="0"/>
        <w:rPr>
          <w:rFonts w:ascii="宋体" w:hAnsi="宋体" w:hint="eastAsia"/>
          <w:color w:val="000000" w:themeColor="text1"/>
        </w:rPr>
      </w:pPr>
      <w:r>
        <w:rPr>
          <w:rFonts w:ascii="宋体" w:hAnsi="宋体" w:hint="eastAsia"/>
          <w:color w:val="000000" w:themeColor="text1"/>
          <w:sz w:val="24"/>
          <w:szCs w:val="24"/>
        </w:rPr>
        <w:t>三、质量保证期（质保期）</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质量保证期（质保期）：整体系统通过最终验收合格之日起计，连续正常使用累计满捌年。质保期内中标人应确保系统运行正常，并负责免费保修，排除故障，无偿更换或修复功能失效或损坏的部件。</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软件免费升级服务期为整体系统通过最终验收合格之日起计捌年。</w:t>
      </w:r>
    </w:p>
    <w:p>
      <w:pPr>
        <w:spacing w:line="360" w:lineRule="auto"/>
        <w:ind w:firstLine="420" w:firstLineChars="200"/>
        <w:rPr>
          <w:rFonts w:ascii="宋体" w:hAnsi="宋体" w:cs="宋体" w:hint="eastAsia"/>
          <w:color w:val="000000" w:themeColor="text1"/>
          <w:szCs w:val="21"/>
        </w:rPr>
      </w:pPr>
      <w:r>
        <w:rPr>
          <w:rFonts w:ascii="宋体" w:hAnsi="宋体" w:hint="eastAsia"/>
          <w:szCs w:val="21"/>
        </w:rPr>
        <w:t>3.</w:t>
      </w:r>
      <w:r>
        <w:rPr>
          <w:rFonts w:ascii="宋体" w:hAnsi="宋体"/>
          <w:szCs w:val="21"/>
        </w:rPr>
        <w:t>质保期内，中标人必须配备一支稳定的专业技术服务队伍，并配备足够的交通工具、通信工具、检测仪器及维修设备，负责设备的一切维护工作。</w:t>
      </w:r>
    </w:p>
    <w:p>
      <w:pPr>
        <w:spacing w:line="360" w:lineRule="auto"/>
        <w:outlineLvl w:val="0"/>
        <w:rPr>
          <w:rFonts w:ascii="宋体" w:hAnsi="宋体" w:hint="eastAsia"/>
          <w:color w:val="000000" w:themeColor="text1"/>
        </w:rPr>
      </w:pPr>
      <w:r>
        <w:rPr>
          <w:rFonts w:ascii="宋体" w:hAnsi="宋体" w:hint="eastAsia"/>
          <w:color w:val="000000" w:themeColor="text1"/>
          <w:sz w:val="24"/>
          <w:szCs w:val="24"/>
        </w:rPr>
        <w:t>四、售后服务要求</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本项目中标人须按招标文件文件的要求提供合格的产品，承诺自初验收合格之日起设备（含软件）质保期为≥</w:t>
      </w:r>
      <w:r>
        <w:rPr>
          <w:rFonts w:ascii="宋体" w:hAnsi="宋体" w:hint="eastAsia"/>
          <w:szCs w:val="21"/>
        </w:rPr>
        <w:t>8</w:t>
      </w:r>
      <w:r>
        <w:rPr>
          <w:rFonts w:ascii="宋体" w:hAnsi="宋体"/>
          <w:szCs w:val="21"/>
        </w:rPr>
        <w:t>年。质保期内，须按合同条款提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szCs w:val="21"/>
        </w:rPr>
        <w:t>中标人须提供常设7天×24小时热线服务和长期的免费技术支持，对采购人的服务通知，中标人在接报后2小时内响应，6小时内到达现场，24小时内处理完毕；如在检修24小时后仍无法排除故障，则中标人应在12小时内提供不低于故障设备规格、型号、性能的备用设备供采购人使用，直至故障设备修复。</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定期巡检：中标人需派遣维修技术人员定期进行巡检、走访，听取客户意见，为客户解决疑难问题，指导操作人员进行正确操作和保养，质保期内定期巡视时间周期为年均不少于两次。</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szCs w:val="21"/>
        </w:rPr>
        <w:t>中标人应负责系统运行的稳定性。负责免费更换硬件故障部件或修改出错的软件系统。</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szCs w:val="21"/>
        </w:rPr>
        <w:t>中标人必须承诺提供长期的咨询和技术支持服务。</w:t>
      </w:r>
    </w:p>
    <w:p>
      <w:pPr>
        <w:spacing w:line="360" w:lineRule="auto"/>
        <w:ind w:firstLine="420"/>
        <w:outlineLvl w:val="0"/>
        <w:rPr>
          <w:rFonts w:ascii="宋体" w:hAnsi="宋体" w:cs="宋体" w:hint="eastAsia"/>
          <w:color w:val="000000" w:themeColor="text1"/>
          <w:szCs w:val="21"/>
        </w:rPr>
      </w:pPr>
      <w:r>
        <w:rPr>
          <w:rFonts w:ascii="宋体" w:hAnsi="宋体" w:hint="eastAsia"/>
          <w:szCs w:val="21"/>
        </w:rPr>
        <w:t>7.</w:t>
      </w:r>
      <w:r>
        <w:rPr>
          <w:rFonts w:ascii="宋体" w:hAnsi="宋体"/>
          <w:szCs w:val="21"/>
        </w:rPr>
        <w:t>中标人需为本项目提供自动化火箭发射系统的备件和工具。</w:t>
      </w:r>
    </w:p>
    <w:p>
      <w:pPr>
        <w:spacing w:line="360" w:lineRule="auto"/>
        <w:outlineLvl w:val="0"/>
        <w:rPr>
          <w:rFonts w:ascii="宋体" w:hAnsi="宋体" w:hint="eastAsia"/>
          <w:color w:val="000000" w:themeColor="text1"/>
        </w:rPr>
      </w:pPr>
      <w:r>
        <w:rPr>
          <w:rFonts w:ascii="宋体" w:hAnsi="宋体" w:hint="eastAsia"/>
          <w:color w:val="000000" w:themeColor="text1"/>
          <w:sz w:val="24"/>
          <w:szCs w:val="24"/>
        </w:rPr>
        <w:t>五、培训要求</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1.</w:t>
      </w:r>
      <w:r>
        <w:rPr>
          <w:rFonts w:cs="宋体" w:hint="eastAsia"/>
          <w:color w:val="000000" w:themeColor="text1"/>
          <w:szCs w:val="21"/>
        </w:rPr>
        <w:t>中标人必须在其投标文件中列出培训课程大纲，同时提出培训计划。</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2.培训在采购人指定的地点进行。</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3.中标人应提供日常操作，保养与管理，常见故障排除，紧急情况处理等专业培训。</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4.培训应采取现场讲解和操作训练相结合的方法。</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5.所有的培训课程和示范均应由有资质的人员亲自进行，培训人员不仅须具备该领域的专长，同时还须具备与受训人员之间进行简明有效的沟通的能力。采购人将监督培训计划的实施。</w:t>
      </w:r>
    </w:p>
    <w:p>
      <w:pPr>
        <w:pStyle w:val="2"/>
        <w:keepNext w:val="0"/>
        <w:keepLines w:val="0"/>
        <w:numPr>
          <w:ilvl w:val="0"/>
          <w:numId w:val="0"/>
        </w:numPr>
        <w:spacing w:before="120" w:after="0" w:line="360" w:lineRule="auto"/>
        <w:ind w:firstLine="357" w:firstLineChars="170"/>
        <w:outlineLvl w:val="9"/>
        <w:rPr>
          <w:rFonts w:cs="宋体" w:hint="eastAsia"/>
          <w:color w:themeColor="text1"/>
          <w:spacing w:val="-4"/>
          <w:szCs w:val="21"/>
        </w:rPr>
      </w:pPr>
      <w:r>
        <w:rPr>
          <w:rFonts w:cs="宋体" w:hint="eastAsia"/>
          <w:color w:val="000000" w:themeColor="text1"/>
          <w:spacing w:val="-4"/>
          <w:szCs w:val="21"/>
        </w:rPr>
        <w:t>6.培训资料和手册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1)中标人应编制和提供本招标文件中描述的培训工作所需的所有培训手册。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2)中标人应根据参加各项培训课程人员的数目，向每一个参加人员提供全部有关的培训手册。</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3)培训课程使用中标人提供的有关文件，并且在培训班开始之前完成有关文件认可后的最终稿。</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4)除采购人另有认可外，最终文件应于开始任何培训课至少15 个工作日之前提交采购人确认。</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5)中标人应提交包括所有培训手册的完整的电子文件。</w:t>
      </w:r>
    </w:p>
    <w:p>
      <w:pPr>
        <w:spacing w:line="360" w:lineRule="auto"/>
        <w:ind w:left="845" w:hanging="425" w:leftChars="200"/>
        <w:rPr>
          <w:rFonts w:ascii="宋体" w:hAnsi="宋体" w:cs="宋体" w:hint="eastAsia"/>
          <w:color w:val="000000" w:themeColor="text1"/>
          <w:spacing w:val="-4"/>
          <w:szCs w:val="21"/>
        </w:rPr>
      </w:pPr>
      <w:r>
        <w:rPr>
          <w:rFonts w:ascii="宋体" w:hAnsi="宋体" w:cs="宋体" w:hint="eastAsia"/>
          <w:color w:val="000000" w:themeColor="text1"/>
          <w:spacing w:val="-4"/>
          <w:szCs w:val="21"/>
        </w:rPr>
        <w:t>6)中标人应提供培训所需的所有消耗品、测试设备和任何其他材料。</w:t>
      </w:r>
    </w:p>
    <w:p>
      <w:pPr>
        <w:spacing w:line="360" w:lineRule="auto"/>
        <w:ind w:firstLine="420"/>
        <w:rPr>
          <w:rFonts w:ascii="宋体" w:hAnsi="宋体" w:cs="宋体" w:hint="eastAsia"/>
        </w:rPr>
      </w:pPr>
      <w:r>
        <w:rPr>
          <w:rFonts w:ascii="宋体" w:hAnsi="宋体" w:cs="宋体" w:hint="eastAsia"/>
          <w:color w:val="000000" w:themeColor="text1"/>
          <w:spacing w:val="-4"/>
          <w:szCs w:val="21"/>
        </w:rPr>
        <w:t>7)采购人有权使用其摄像、录音等设备记录所有的培训课程。</w:t>
      </w:r>
    </w:p>
    <w:p>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1" w:name="_Toc27624"/>
      <w:r>
        <w:rPr>
          <w:rFonts w:ascii="黑体" w:hAnsi="黑体" w:hint="eastAsia"/>
          <w:b w:val="0"/>
          <w:bCs w:val="0"/>
          <w:sz w:val="28"/>
          <w:szCs w:val="28"/>
        </w:rPr>
        <w:t>第二节 政府采购合同通用条款</w:t>
      </w:r>
      <w:bookmarkEnd w:id="71"/>
    </w:p>
    <w:p>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2"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2"/>
      <w:r>
        <w:rPr>
          <w:rFonts w:ascii="宋体" w:hAnsi="宋体" w:hint="eastAsia"/>
          <w:szCs w:val="21"/>
        </w:rPr>
        <w:t>。</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hint="eastAsia"/>
          <w:b/>
          <w:bCs/>
          <w:sz w:val="24"/>
          <w:szCs w:val="24"/>
        </w:rPr>
      </w:pPr>
      <w:r>
        <w:rPr>
          <w:rFonts w:ascii="宋体" w:hAnsi="宋体" w:hint="eastAsia"/>
          <w:b/>
          <w:bCs/>
          <w:sz w:val="24"/>
          <w:szCs w:val="24"/>
        </w:rPr>
        <w:t>13. 履约保证金</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hint="eastAsia"/>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szCs w:val="21"/>
        </w:rPr>
        <w:t>2</w:t>
      </w:r>
      <w:r>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3" w:name="_Toc20313"/>
    </w:p>
    <w:p>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rPr>
                <w:rFonts w:ascii="宋体" w:hAnsi="宋体" w:hint="eastAsia"/>
                <w:szCs w:val="21"/>
              </w:rPr>
            </w:pPr>
            <w:r>
              <w:rPr>
                <w:rFonts w:ascii="宋体" w:hAnsi="宋体" w:hint="eastAsia"/>
                <w:szCs w:val="21"/>
              </w:rPr>
              <w:t>第6.1款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hint="eastAsia"/>
                <w:szCs w:val="21"/>
              </w:rPr>
            </w:pPr>
          </w:p>
        </w:tc>
        <w:tc>
          <w:tcPr>
            <w:tcW w:w="1742" w:type="dxa"/>
            <w:vAlign w:val="center"/>
          </w:tcPr>
          <w:p>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货物质量缺陷</w:t>
            </w:r>
          </w:p>
          <w:p>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hint="eastAsia"/>
                <w:szCs w:val="21"/>
              </w:rPr>
            </w:pPr>
            <w:r>
              <w:rPr>
                <w:rFonts w:ascii="宋体" w:hAnsi="宋体" w:cs="宋体" w:hint="eastAsia"/>
                <w:szCs w:val="21"/>
              </w:rPr>
              <w:t>第二节</w:t>
            </w:r>
          </w:p>
          <w:p>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hint="eastAsia"/>
                <w:szCs w:val="21"/>
              </w:rPr>
            </w:pPr>
          </w:p>
        </w:tc>
      </w:tr>
    </w:tbl>
    <w:p/>
    <w:p>
      <w:pPr>
        <w:spacing w:line="360" w:lineRule="auto"/>
        <w:ind w:firstLine="420" w:firstLineChars="200"/>
        <w:rPr>
          <w:bCs/>
        </w:rPr>
      </w:pPr>
    </w:p>
    <w:p/>
    <w:p>
      <w:pPr>
        <w:spacing w:line="360" w:lineRule="auto"/>
        <w:ind w:firstLine="3066" w:firstLineChars="1460"/>
        <w:jc w:val="left"/>
        <w:rPr>
          <w:b/>
          <w:bCs/>
          <w:szCs w:val="21"/>
        </w:rPr>
      </w:pPr>
    </w:p>
    <w:p/>
    <w:p w:rsidR="00A77B3E"/>
    <w:p>
      <w:pPr>
        <w:spacing w:line="360" w:lineRule="auto"/>
        <w:ind w:firstLine="3066" w:firstLineChars="1460"/>
        <w:jc w:val="left"/>
        <w:rPr>
          <w:b/>
          <w:bCs/>
          <w:szCs w:val="21"/>
          <w:highlight w:val="none"/>
        </w:rPr>
      </w:pPr>
      <w:bookmarkEnd w:id="68"/>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方正小标宋简体">
    <w:altName w:val="方正舒体"/>
    <w:panose1 w:val="00000000000000000000"/>
    <w:charset w:val="86"/>
    <w:family w:val="auto"/>
    <w:pitch w:val="default"/>
    <w:sig w:usb0="00000000" w:usb1="0000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3120"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DDECD3BC"/>
    <w:multiLevelType w:val="singleLevel"/>
    <w:tmpl w:val="DDECD3BC"/>
    <w:lvl w:ilvl="0">
      <w:start w:val="6"/>
      <w:numFmt w:val="decimal"/>
      <w:suff w:val="space"/>
      <w:lvlText w:val="%1."/>
      <w:lvlJc w:val="left"/>
    </w:lvl>
  </w:abstractNum>
  <w:abstractNum w:abstractNumId="2">
    <w:nsid w:val="DE759F4B"/>
    <w:multiLevelType w:val="singleLevel"/>
    <w:tmpl w:val="DE759F4B"/>
    <w:lvl w:ilvl="0">
      <w:start w:val="2"/>
      <w:numFmt w:val="decimal"/>
      <w:suff w:val="space"/>
      <w:lvlText w:val="%1."/>
      <w:lvlJc w:val="left"/>
    </w:lvl>
  </w:abstractNum>
  <w:abstractNum w:abstractNumId="3">
    <w:nsid w:val="DEABE1DB"/>
    <w:multiLevelType w:val="singleLevel"/>
    <w:tmpl w:val="DEABE1DB"/>
    <w:lvl w:ilvl="0">
      <w:start w:val="23"/>
      <w:numFmt w:val="decimal"/>
      <w:suff w:val="space"/>
      <w:lvlText w:val="%1."/>
      <w:lvlJc w:val="left"/>
    </w:lvl>
  </w:abstractNum>
  <w:abstractNum w:abstractNumId="4">
    <w:nsid w:val="F1DB563B"/>
    <w:multiLevelType w:val="singleLevel"/>
    <w:tmpl w:val="F1DB563B"/>
    <w:lvl w:ilvl="0">
      <w:start w:val="5"/>
      <w:numFmt w:val="chineseCounting"/>
      <w:suff w:val="nothing"/>
      <w:lvlText w:val="%1、"/>
      <w:lvlJc w:val="left"/>
      <w:rPr>
        <w:rFonts w:hint="eastAsia"/>
      </w:rPr>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4"/>
  </w:num>
  <w:num w:numId="5">
    <w:abstractNumId w:val="11"/>
  </w:num>
  <w:num w:numId="6">
    <w:abstractNumId w:val="12"/>
  </w:num>
  <w:num w:numId="7">
    <w:abstractNumId w:val="5"/>
  </w:num>
  <w:num w:numId="8">
    <w:abstractNumId w:val="2"/>
  </w:num>
  <w:num w:numId="9">
    <w:abstractNumId w:val="1"/>
  </w:num>
  <w:num w:numId="10">
    <w:abstractNumId w:val="10"/>
  </w:num>
  <w:num w:numId="11">
    <w:abstractNumId w:val="0"/>
  </w:num>
  <w:num w:numId="12">
    <w:abstractNumId w:val="3"/>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