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甘肃省人工影响天气水资源保障工程-省级卫星通信保障系统及多源融合网格高时空分辨率实况分析组件项目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甘肃省人工影响天气办公室</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甘肃省人工影响天气水资源保障工程-省级卫星通信保障系统及多源融合网格高时空分辨率实况分析组件项目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甘肃兰州</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2026年07月09日 00:00:00</w:t>
      </w:r>
      <w:bookmarkEnd w:id="26"/>
      <w:r>
        <w:rPr>
          <w:rFonts w:ascii="宋体" w:hint="eastAsia"/>
          <w:szCs w:val="21"/>
          <w:highlight w:val="none"/>
        </w:rPr>
        <w:t>至</w:t>
      </w:r>
      <w:bookmarkStart w:id="27" w:name="项目公告_signUpLastTime"/>
      <w:r>
        <w:rPr>
          <w:rFonts w:ascii="宋体" w:hint="eastAsia"/>
          <w:szCs w:val="21"/>
          <w:highlight w:val="none"/>
        </w:rPr>
        <w:t>2026年07月16日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2026年07月30日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北京市海淀区中关村南大街46号中国气象局北区7号楼2层小会议室（科技大楼前草坪西侧），届时投标人的法定代表人或其授权的投标人授权代表无需到场参加。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甘肃省人工影响天气办公室</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0931-2402492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甘肃省兰州市榆中县和平镇和平大道7号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甘肃省人工影响天气办公室</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，属于 软件和信息技术服务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投标人具有ISO27001信息安全管理体系认证、ISO20000信息技术服务管理体系认证，每提供1个得1分，最高得2分。 (投标人须提供证书复印件并加盖投标人公章。)</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(4)</w:t>
            </w:r>
          </w:p>
        </w:tc>
        <w:tc>
          <w:tcPr/>
          <w:p>
            <w:r>
              <w:t>评审标准：</w:t>
            </w:r>
          </w:p>
          <w:p>
            <w:r>
              <w:t>提供相关销售合同，每提供1份合同得1分，最多得4分。否则不得分。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交货期保证（客观分）</w:t>
            </w:r>
          </w:p>
        </w:tc>
        <w:tc>
          <w:tcPr/>
          <w:p>
            <w:r>
              <w:t>勾选打分</w:t>
            </w:r>
            <w:r>
              <w:t>(2)</w:t>
            </w:r>
          </w:p>
        </w:tc>
        <w:tc>
          <w:tcPr/>
          <w:p>
            <w:r>
              <w:t>评审标准：</w:t>
            </w:r>
          </w:p>
          <w:p>
            <w:r>
              <w:t>针对本项目的相关产品，承诺每提前10天交货的得1分，最多得2分。否则不得分。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(3)</w:t>
            </w:r>
          </w:p>
        </w:tc>
        <w:tc>
          <w:tcPr/>
          <w:p>
            <w:r>
              <w:t>评审标准：</w:t>
            </w:r>
          </w:p>
          <w:p>
            <w:r>
              <w:t>提供相关项目的客户满意度证明，每提供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区间打分</w:t>
            </w:r>
            <w:r>
              <w:t>(5)</w:t>
            </w:r>
          </w:p>
        </w:tc>
        <w:tc>
          <w:tcPr/>
          <w:p>
            <w:r>
              <w:t>评审标准：</w:t>
            </w:r>
          </w:p>
          <w:p>
            <w:r>
              <w:t xml:space="preserve">1、项目经理具有信息系统项目管理师证书，得3分，不提供不得分。 </w:t>
              <w:cr/>
              <w:t xml:space="preserve">2、项目团队成员每有1人（不包括项目经理）具有系统集成项目管理工程师证书得1分，最高得2分。 </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需提供技术文档。响应且满足招标文件第七章详细技术指标要求，标注#的重要指标需提供软件功能说明书/第三方软件测试报告/产品说明书/操作要求。</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根据投标人提供的技术方案和能证明投标产品技术性能的软件功能说明书/第三方软件测试报告/产品说明书/操作要求等进行评分，具体评分标准如下：</w:t>
              <w:cr/>
              <w:t>一档：未提供技术方案，或者投标产品综合性能不能满足采购文件要求。</w:t>
              <w:cr/>
              <w:t>二档：技术方案能按照招标文件的格式进行响应，技术响应比较浅显，缺乏针对性，投标产品综合性能满足采购文件要求。</w:t>
              <w:cr/>
              <w:t xml:space="preserve">三档：技术方案基本能按照招标文件的要求进行响应，有一定针对性，基本满足采购文件的需求，投标产品综合性能满足且部分优于采购文件要求。 </w:t>
              <w:cr/>
              <w:t>四档：技术方案能按照招标文件的要求进行响应，详细具体，针对性强，与项目实际情况相契合，完全满足采购文件的需求，投标产品综合性能满足且总体上优于采购文件要求。</w:t>
              <w:cr/>
              <w:t>注：应提供能证明投标产品技术性能（包括但不限于标注#的重要指标）的软件功能说明书、第三方软件测试报告（包括测试内容、测试方法、测试结论等）、产品说明书、操作要求等，并加盖投标人公章。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12</w:t>
            </w:r>
          </w:p>
        </w:tc>
        <w:tc>
          <w:tcPr>
            <w:vMerge/>
          </w:tcPr>
          <w:p>
            <w:r>
              <w:t>技术部分</w:t>
            </w:r>
          </w:p>
        </w:tc>
        <w:tc>
          <w:tcPr/>
          <w:p>
            <w:r>
              <w:t>投标产品软件兼容性（客观分）</w:t>
            </w:r>
          </w:p>
        </w:tc>
        <w:tc>
          <w:tcPr/>
          <w:p>
            <w:r>
              <w:t>勾选打分</w:t>
            </w:r>
            <w:r>
              <w:t>(2)</w:t>
            </w:r>
          </w:p>
        </w:tc>
        <w:tc>
          <w:tcPr/>
          <w:p>
            <w:r>
              <w:t>评审标准：</w:t>
            </w:r>
          </w:p>
          <w:p>
            <w:r>
              <w:t>投标产品数据兼容性强，能接入采购人现有气象数据平台得2分。否则不得分。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hint="eastAsia"/>
          <w:szCs w:val="21"/>
        </w:rPr>
        <w:t>采购需求以采购单位编制的采购需求为准，以下内容仅供参考。</w:t>
      </w:r>
      <w:r>
        <w:rPr>
          <w:rFonts w:ascii="宋体" w:hAnsi="宋体" w:hint="eastAsia"/>
          <w:szCs w:val="21"/>
        </w:rPr>
        <w:t>（采购单位可以把第七章单独成册，作为招标文件附件）。</w:t>
      </w:r>
    </w:p>
    <w:p>
      <w:pPr>
        <w:spacing w:line="360" w:lineRule="auto"/>
        <w:ind w:firstLine="420" w:firstLineChars="200"/>
        <w:rPr>
          <w:rFonts w:ascii="宋体" w:hAnsi="宋体" w:hint="eastAsia"/>
          <w:szCs w:val="21"/>
        </w:rPr>
      </w:pPr>
      <w:r>
        <w:rPr>
          <w:rFonts w:ascii="宋体" w:hAnsi="宋体" w:hint="eastAsia"/>
          <w:szCs w:val="21"/>
        </w:rPr>
        <w:t>鉴于本章内容是合同文件的组成之一，建议应包括以下内容。</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szCs w:val="21"/>
        </w:rPr>
        <w:t>本项目基于人工影响天气防灾减灾救灾应用场景，立足全面贯彻新发展理念，全力推动气象科技创新赋能</w:t>
      </w:r>
      <w:r>
        <w:rPr>
          <w:rFonts w:ascii="宋体" w:hAnsi="宋体" w:hint="eastAsia"/>
          <w:szCs w:val="21"/>
        </w:rPr>
        <w:t>，通过卫星通信保障强化数据传输能力，通过网络安全升级筑牢风险防控防线，</w:t>
      </w:r>
      <w:r>
        <w:rPr>
          <w:rFonts w:ascii="宋体" w:hAnsi="宋体"/>
          <w:szCs w:val="21"/>
        </w:rPr>
        <w:t>基于多源数据融合分析技术，开展集约化的功能建设，配置实时生成高分辨率实况分析产品的功能组件，实时加工处理生成实况分析产品</w:t>
      </w:r>
      <w:r>
        <w:rPr>
          <w:rFonts w:ascii="宋体" w:hAnsi="宋体" w:hint="eastAsia"/>
          <w:szCs w:val="21"/>
        </w:rPr>
        <w:t>，为项目建设的方案设计、实施落地提供明确依据。</w:t>
      </w:r>
    </w:p>
    <w:p>
      <w:pPr>
        <w:spacing w:line="360" w:lineRule="auto"/>
        <w:ind w:firstLine="420" w:firstLineChars="200"/>
        <w:rPr>
          <w:rFonts w:ascii="宋体" w:hAnsi="宋体" w:hint="eastAsia"/>
          <w:szCs w:val="21"/>
        </w:rPr>
      </w:pPr>
      <w:r>
        <w:rPr>
          <w:rFonts w:ascii="宋体" w:hAnsi="宋体" w:hint="eastAsia"/>
          <w:szCs w:val="21"/>
        </w:rPr>
        <w:t>1.通讯能力提升</w:t>
      </w:r>
    </w:p>
    <w:p>
      <w:pPr>
        <w:spacing w:line="360" w:lineRule="auto"/>
        <w:ind w:firstLine="420" w:firstLineChars="200"/>
        <w:rPr>
          <w:rFonts w:ascii="宋体" w:hAnsi="宋体"/>
          <w:szCs w:val="21"/>
        </w:rPr>
      </w:pPr>
      <w:r>
        <w:rPr>
          <w:rFonts w:ascii="宋体" w:hAnsi="宋体" w:hint="eastAsia"/>
          <w:szCs w:val="21"/>
        </w:rPr>
        <w:t>通过卫星通信保障系统，接收国家级通过高通量、北斗、天通等卫星收集的人影作业点、应急指挥的卫星通信数据，将卫星通信数据处理入库到我省气象大数据云平台，并按照卫星通信通信协议封装接口对接服务人工影响天气“天工”平台，同时同步到互联网区处理入库后提供给人影指挥调度APP使用，要求具备各类卫星数据的实时收集处理入库、高效存储检索、历史数据备份管理、卫星通信流程备份、监控管理等功能。支持通过卫星通信发送省级应急指令至人影作业点。最终要求实现通过卫星通讯的人影作业指挥调度。</w:t>
      </w:r>
    </w:p>
    <w:p>
      <w:pPr>
        <w:spacing w:line="360" w:lineRule="auto"/>
        <w:ind w:firstLine="420" w:firstLineChars="200"/>
        <w:rPr>
          <w:rFonts w:ascii="宋体" w:hAnsi="宋体" w:hint="eastAsia"/>
          <w:color w:val="000000"/>
          <w:szCs w:val="21"/>
        </w:rPr>
      </w:pPr>
      <w:r>
        <w:rPr>
          <w:rFonts w:ascii="宋体" w:hAnsi="宋体" w:hint="eastAsia"/>
          <w:szCs w:val="21"/>
        </w:rPr>
        <w:t>2.</w:t>
      </w:r>
      <w:r>
        <w:rPr>
          <w:rFonts w:ascii="宋体" w:hAnsi="宋体" w:cs="宋体"/>
          <w:color w:val="EE0000"/>
          <w:szCs w:val="21"/>
        </w:rPr>
        <w:t xml:space="preserve"> </w:t>
      </w:r>
      <w:r>
        <w:rPr>
          <w:rFonts w:ascii="宋体" w:hAnsi="宋体" w:cs="宋体"/>
          <w:color w:val="000000"/>
          <w:szCs w:val="21"/>
        </w:rPr>
        <w:t>多源融合网格高时空分辨率实况分析</w:t>
      </w:r>
    </w:p>
    <w:p>
      <w:pPr>
        <w:spacing w:line="360" w:lineRule="auto"/>
        <w:ind w:firstLine="420" w:firstLineChars="200"/>
        <w:rPr>
          <w:rFonts w:ascii="宋体" w:hAnsi="宋体"/>
          <w:szCs w:val="21"/>
        </w:rPr>
      </w:pPr>
      <w:r>
        <w:rPr>
          <w:rFonts w:ascii="宋体" w:hAnsi="宋体"/>
          <w:szCs w:val="21"/>
        </w:rPr>
        <w:t>充分利用卫星、雷达、数值模式、地面自动观测等多源多维观测信息，基于多源数据融合分析技术，开展集约化的功能建设，配置实时生成高分辨率实况分析产品的功能组件，实时加工处理生成实况分析产品。项目建设主要包括 1km/1h 分辨率实况分析子系统、1km/10min 分辨率实况分析子系统、100m/5min 分辨率实况分析子系统，实现多源降水融合实况分析、近地面气温湿度风多源实况融合分析，生成不同分辨率的多源融合实况分析产品。多源融合实况分析系统在本省天擎大数据云平台本地化部署运行，应用于省级业务，为政府和防灾部门预防预警、快速响应及应急救援夯实气象科技支撑。</w:t>
      </w:r>
    </w:p>
    <w:p>
      <w:pPr>
        <w:spacing w:line="360" w:lineRule="auto"/>
        <w:ind w:firstLine="420" w:firstLineChars="200"/>
        <w:rPr>
          <w:rFonts w:ascii="宋体" w:hAnsi="宋体" w:hint="eastAsia"/>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p>
      <w:pPr>
        <w:spacing w:line="360" w:lineRule="auto"/>
        <w:ind w:firstLine="420" w:firstLineChars="200"/>
        <w:rPr>
          <w:rFonts w:ascii="宋体" w:hAnsi="宋体"/>
          <w:szCs w:val="21"/>
        </w:rPr>
      </w:pPr>
    </w:p>
    <w:tbl>
      <w:tblPr>
        <w:tblStyle w:val="TableNormal"/>
        <w:tblW w:w="5000" w:type="pct"/>
        <w:tblInd w:w="0" w:type="dxa"/>
        <w:tblCellMar>
          <w:top w:w="0" w:type="dxa"/>
          <w:left w:w="108" w:type="dxa"/>
          <w:bottom w:w="0" w:type="dxa"/>
          <w:right w:w="108" w:type="dxa"/>
        </w:tblCellMar>
      </w:tblPr>
      <w:tblGrid>
        <w:gridCol w:w="837"/>
        <w:gridCol w:w="1822"/>
        <w:gridCol w:w="4721"/>
        <w:gridCol w:w="460"/>
        <w:gridCol w:w="682"/>
      </w:tblGrid>
      <w:tr>
        <w:tblPrEx>
          <w:tblW w:w="5000" w:type="pct"/>
          <w:tblInd w:w="0" w:type="dxa"/>
          <w:tblCellMar>
            <w:top w:w="0" w:type="dxa"/>
            <w:left w:w="108" w:type="dxa"/>
            <w:bottom w:w="0" w:type="dxa"/>
            <w:right w:w="108" w:type="dxa"/>
          </w:tblCellMar>
        </w:tblPrEx>
        <w:trPr>
          <w:trHeight w:val="403"/>
        </w:trPr>
        <w:tc>
          <w:tcPr>
            <w:tcW w:w="491" w:type="pc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b/>
                <w:bCs/>
                <w:color w:val="000000"/>
                <w:sz w:val="22"/>
              </w:rPr>
            </w:pPr>
            <w:r>
              <w:rPr>
                <w:rFonts w:ascii="宋体" w:hAnsi="宋体" w:cs="宋体"/>
                <w:b/>
                <w:bCs/>
                <w:color w:val="000000"/>
                <w:sz w:val="22"/>
                <w:szCs w:val="22"/>
              </w:rPr>
              <w:t>序号</w:t>
            </w:r>
          </w:p>
        </w:tc>
        <w:tc>
          <w:tcPr>
            <w:tcW w:w="1069" w:type="pc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b/>
                <w:bCs/>
                <w:color w:val="000000"/>
                <w:sz w:val="22"/>
              </w:rPr>
            </w:pPr>
            <w:r>
              <w:rPr>
                <w:rFonts w:ascii="宋体" w:hAnsi="宋体" w:cs="宋体" w:hint="eastAsia"/>
                <w:b/>
                <w:bCs/>
                <w:color w:val="000000"/>
                <w:sz w:val="22"/>
                <w:szCs w:val="22"/>
              </w:rPr>
              <w:t>产品</w:t>
            </w:r>
            <w:r>
              <w:rPr>
                <w:rFonts w:ascii="宋体" w:hAnsi="宋体" w:cs="宋体"/>
                <w:b/>
                <w:bCs/>
                <w:color w:val="000000"/>
                <w:sz w:val="22"/>
                <w:szCs w:val="22"/>
              </w:rPr>
              <w:t>名称</w:t>
            </w:r>
          </w:p>
        </w:tc>
        <w:tc>
          <w:tcPr>
            <w:tcW w:w="2770" w:type="pc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b/>
                <w:bCs/>
                <w:color w:val="000000"/>
                <w:sz w:val="22"/>
              </w:rPr>
            </w:pPr>
            <w:r>
              <w:rPr>
                <w:rFonts w:ascii="宋体" w:hAnsi="宋体" w:cs="宋体" w:hint="eastAsia"/>
                <w:b/>
                <w:bCs/>
                <w:color w:val="000000"/>
                <w:sz w:val="22"/>
                <w:szCs w:val="22"/>
              </w:rPr>
              <w:t>主要技术性能</w:t>
            </w:r>
            <w:r>
              <w:rPr>
                <w:rFonts w:ascii="宋体" w:hAnsi="宋体" w:cs="宋体"/>
                <w:b/>
                <w:bCs/>
                <w:color w:val="000000"/>
                <w:sz w:val="22"/>
                <w:szCs w:val="22"/>
              </w:rPr>
              <w:t>指标</w:t>
            </w:r>
          </w:p>
        </w:tc>
        <w:tc>
          <w:tcPr>
            <w:tcW w:w="270" w:type="pc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b/>
                <w:bCs/>
                <w:color w:val="000000"/>
                <w:sz w:val="22"/>
              </w:rPr>
            </w:pPr>
            <w:r>
              <w:rPr>
                <w:rFonts w:ascii="宋体" w:hAnsi="宋体" w:cs="宋体"/>
                <w:b/>
                <w:bCs/>
                <w:color w:val="000000"/>
                <w:sz w:val="22"/>
                <w:szCs w:val="22"/>
              </w:rPr>
              <w:t>数量</w:t>
            </w:r>
          </w:p>
        </w:tc>
        <w:tc>
          <w:tcPr>
            <w:tcW w:w="400" w:type="pc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b/>
                <w:bCs/>
                <w:color w:val="000000"/>
                <w:sz w:val="22"/>
              </w:rPr>
            </w:pPr>
            <w:r>
              <w:rPr>
                <w:rFonts w:ascii="宋体" w:hAnsi="宋体" w:cs="宋体"/>
                <w:b/>
                <w:bCs/>
                <w:color w:val="000000"/>
                <w:sz w:val="22"/>
                <w:szCs w:val="22"/>
              </w:rPr>
              <w:t>单位</w:t>
            </w:r>
          </w:p>
        </w:tc>
      </w:tr>
      <w:tr>
        <w:tblPrEx>
          <w:tblW w:w="5000" w:type="pct"/>
          <w:tblInd w:w="0" w:type="dxa"/>
          <w:tblCellMar>
            <w:top w:w="0" w:type="dxa"/>
            <w:left w:w="108" w:type="dxa"/>
            <w:bottom w:w="0" w:type="dxa"/>
            <w:right w:w="108" w:type="dxa"/>
          </w:tblCellMar>
        </w:tblPrEx>
        <w:trPr>
          <w:trHeight w:val="403"/>
        </w:trPr>
        <w:tc>
          <w:tcPr>
            <w:tcW w:w="491" w:type="pct"/>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color w:val="000000"/>
                <w:sz w:val="22"/>
              </w:rPr>
            </w:pPr>
          </w:p>
        </w:tc>
        <w:tc>
          <w:tcPr>
            <w:tcW w:w="1069" w:type="pc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color w:val="000000"/>
                <w:sz w:val="22"/>
              </w:rPr>
            </w:pPr>
            <w:r>
              <w:rPr>
                <w:rFonts w:ascii="宋体" w:hAnsi="宋体" w:cs="宋体"/>
                <w:color w:val="000000"/>
                <w:kern w:val="0"/>
                <w:sz w:val="22"/>
                <w:szCs w:val="22"/>
              </w:rPr>
              <w:t>合计</w:t>
            </w:r>
          </w:p>
        </w:tc>
        <w:tc>
          <w:tcPr>
            <w:tcW w:w="2770" w:type="pct"/>
            <w:tcBorders>
              <w:top w:val="single" w:sz="4" w:space="0" w:color="000000"/>
              <w:left w:val="single" w:sz="4" w:space="0" w:color="000000"/>
              <w:bottom w:val="single" w:sz="4" w:space="0" w:color="000000"/>
              <w:right w:val="single" w:sz="4" w:space="0" w:color="000000"/>
            </w:tcBorders>
            <w:noWrap w:val="0"/>
            <w:vAlign w:val="center"/>
          </w:tcPr>
          <w:p>
            <w:pPr>
              <w:rPr>
                <w:rFonts w:ascii="宋体" w:hAnsi="宋体" w:cs="宋体"/>
                <w:color w:val="000000"/>
                <w:sz w:val="22"/>
              </w:rPr>
            </w:pPr>
          </w:p>
        </w:tc>
        <w:tc>
          <w:tcPr>
            <w:tcW w:w="270" w:type="pct"/>
            <w:tcBorders>
              <w:top w:val="single" w:sz="4" w:space="0" w:color="000000"/>
              <w:left w:val="single" w:sz="4" w:space="0" w:color="000000"/>
              <w:bottom w:val="single" w:sz="4" w:space="0" w:color="000000"/>
              <w:right w:val="single" w:sz="4" w:space="0" w:color="000000"/>
            </w:tcBorders>
            <w:noWrap w:val="0"/>
            <w:vAlign w:val="center"/>
          </w:tcPr>
          <w:p>
            <w:pPr>
              <w:rPr>
                <w:rFonts w:ascii="宋体" w:hAnsi="宋体" w:cs="宋体"/>
                <w:color w:val="000000"/>
                <w:sz w:val="22"/>
              </w:rPr>
            </w:pPr>
            <w:r>
              <w:rPr>
                <w:rFonts w:ascii="宋体" w:hAnsi="宋体" w:cs="宋体"/>
                <w:color w:val="000000"/>
                <w:sz w:val="22"/>
                <w:szCs w:val="22"/>
              </w:rPr>
              <w:t>1</w:t>
            </w:r>
          </w:p>
        </w:tc>
        <w:tc>
          <w:tcPr>
            <w:tcW w:w="400" w:type="pct"/>
            <w:tcBorders>
              <w:top w:val="single" w:sz="4" w:space="0" w:color="000000"/>
              <w:left w:val="single" w:sz="4" w:space="0" w:color="000000"/>
              <w:bottom w:val="single" w:sz="4" w:space="0" w:color="000000"/>
              <w:right w:val="single" w:sz="4" w:space="0" w:color="000000"/>
            </w:tcBorders>
            <w:noWrap w:val="0"/>
            <w:vAlign w:val="center"/>
          </w:tcPr>
          <w:p>
            <w:pPr>
              <w:rPr>
                <w:rFonts w:ascii="宋体" w:hAnsi="宋体" w:cs="宋体"/>
                <w:color w:val="000000"/>
                <w:sz w:val="22"/>
              </w:rPr>
            </w:pPr>
            <w:r>
              <w:rPr>
                <w:rFonts w:ascii="宋体" w:hAnsi="宋体" w:cs="宋体"/>
                <w:color w:val="000000"/>
                <w:sz w:val="22"/>
                <w:szCs w:val="22"/>
              </w:rPr>
              <w:t>套</w:t>
            </w:r>
          </w:p>
        </w:tc>
      </w:tr>
      <w:tr>
        <w:tblPrEx>
          <w:tblW w:w="5000" w:type="pct"/>
          <w:tblInd w:w="0" w:type="dxa"/>
          <w:tblCellMar>
            <w:top w:w="0" w:type="dxa"/>
            <w:left w:w="108" w:type="dxa"/>
            <w:bottom w:w="0" w:type="dxa"/>
            <w:right w:w="108" w:type="dxa"/>
          </w:tblCellMar>
        </w:tblPrEx>
        <w:trPr>
          <w:trHeight w:val="403"/>
        </w:trPr>
        <w:tc>
          <w:tcPr>
            <w:tcW w:w="491" w:type="pc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color w:val="000000"/>
                <w:sz w:val="22"/>
              </w:rPr>
            </w:pPr>
            <w:r>
              <w:rPr>
                <w:rFonts w:ascii="宋体" w:hAnsi="宋体" w:cs="宋体"/>
                <w:color w:val="000000"/>
                <w:kern w:val="0"/>
                <w:sz w:val="22"/>
                <w:szCs w:val="22"/>
              </w:rPr>
              <w:t>一</w:t>
            </w:r>
          </w:p>
        </w:tc>
        <w:tc>
          <w:tcPr>
            <w:tcW w:w="1069"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color w:val="000000"/>
                <w:sz w:val="22"/>
              </w:rPr>
            </w:pPr>
            <w:r>
              <w:rPr>
                <w:rFonts w:ascii="宋体" w:hAnsi="宋体" w:cs="宋体"/>
                <w:color w:val="000000"/>
                <w:szCs w:val="21"/>
              </w:rPr>
              <w:t>卫星通信保障系统</w:t>
            </w:r>
          </w:p>
        </w:tc>
        <w:tc>
          <w:tcPr>
            <w:tcW w:w="2770" w:type="pct"/>
            <w:tcBorders>
              <w:top w:val="single" w:sz="4" w:space="0" w:color="000000"/>
              <w:left w:val="single" w:sz="4" w:space="0" w:color="000000"/>
              <w:bottom w:val="single" w:sz="4" w:space="0" w:color="000000"/>
              <w:right w:val="single" w:sz="4" w:space="0" w:color="000000"/>
            </w:tcBorders>
            <w:noWrap w:val="0"/>
            <w:vAlign w:val="center"/>
          </w:tcPr>
          <w:p>
            <w:pPr>
              <w:jc w:val="left"/>
              <w:rPr>
                <w:rFonts w:ascii="宋体" w:hAnsi="宋体" w:cs="宋体" w:hint="eastAsia"/>
                <w:color w:val="000000"/>
                <w:sz w:val="22"/>
              </w:rPr>
            </w:pPr>
            <w:r>
              <w:rPr>
                <w:rFonts w:ascii="宋体" w:hAnsi="宋体" w:cs="宋体" w:hint="eastAsia"/>
                <w:color w:val="000000"/>
                <w:sz w:val="22"/>
                <w:szCs w:val="22"/>
              </w:rPr>
              <w:t>#（1）卫星通信数据接收模块</w:t>
            </w:r>
          </w:p>
          <w:p>
            <w:pPr>
              <w:jc w:val="left"/>
              <w:rPr>
                <w:rFonts w:ascii="宋体" w:hAnsi="宋体" w:cs="宋体" w:hint="eastAsia"/>
                <w:color w:val="000000"/>
                <w:sz w:val="22"/>
              </w:rPr>
            </w:pPr>
            <w:r>
              <w:rPr>
                <w:rFonts w:ascii="宋体" w:hAnsi="宋体" w:cs="宋体" w:hint="eastAsia"/>
                <w:color w:val="000000"/>
                <w:sz w:val="22"/>
                <w:szCs w:val="22"/>
              </w:rPr>
              <w:t>统一接收卫星通信数据，根据卫星数据的特征进行数据格式校验、数据完整性校验，保障入库数据的完整性和时效性。</w:t>
            </w:r>
          </w:p>
          <w:p>
            <w:pPr>
              <w:jc w:val="left"/>
              <w:rPr>
                <w:rFonts w:ascii="宋体" w:hAnsi="宋体" w:cs="宋体" w:hint="eastAsia"/>
                <w:color w:val="000000"/>
                <w:sz w:val="22"/>
              </w:rPr>
            </w:pPr>
            <w:r>
              <w:rPr>
                <w:rFonts w:ascii="宋体" w:hAnsi="宋体" w:cs="宋体" w:hint="eastAsia"/>
                <w:color w:val="000000"/>
                <w:sz w:val="22"/>
                <w:szCs w:val="22"/>
              </w:rPr>
              <w:t>#（2）卫星通信数据处理模块</w:t>
            </w:r>
          </w:p>
          <w:p>
            <w:pPr>
              <w:jc w:val="left"/>
              <w:rPr>
                <w:rFonts w:ascii="宋体" w:hAnsi="宋体" w:cs="宋体" w:hint="eastAsia"/>
                <w:color w:val="000000"/>
                <w:sz w:val="22"/>
              </w:rPr>
            </w:pPr>
            <w:r>
              <w:rPr>
                <w:rFonts w:ascii="宋体" w:hAnsi="宋体" w:cs="宋体" w:hint="eastAsia"/>
                <w:color w:val="000000"/>
                <w:sz w:val="22"/>
                <w:szCs w:val="22"/>
              </w:rPr>
              <w:t>对接收的卫星通信数据进行数据清洗、标准化规范处理、分类解析，具备类似特征的数据进行关联；处理完成后，形成质量评估报告。</w:t>
            </w:r>
          </w:p>
          <w:p>
            <w:pPr>
              <w:jc w:val="left"/>
              <w:rPr>
                <w:rFonts w:ascii="宋体" w:hAnsi="宋体" w:cs="宋体" w:hint="eastAsia"/>
                <w:color w:val="000000"/>
                <w:sz w:val="22"/>
              </w:rPr>
            </w:pPr>
            <w:r>
              <w:rPr>
                <w:rFonts w:ascii="宋体" w:hAnsi="宋体" w:cs="宋体" w:hint="eastAsia"/>
                <w:color w:val="000000"/>
                <w:sz w:val="22"/>
                <w:szCs w:val="22"/>
              </w:rPr>
              <w:t>#（3）卫星通信数据入库模块</w:t>
            </w:r>
          </w:p>
          <w:p>
            <w:pPr>
              <w:jc w:val="left"/>
              <w:rPr>
                <w:rFonts w:ascii="宋体" w:hAnsi="宋体" w:cs="宋体" w:hint="eastAsia"/>
                <w:color w:val="000000"/>
                <w:sz w:val="22"/>
              </w:rPr>
            </w:pPr>
            <w:r>
              <w:rPr>
                <w:rFonts w:ascii="宋体" w:hAnsi="宋体" w:cs="宋体" w:hint="eastAsia"/>
                <w:color w:val="000000"/>
                <w:sz w:val="22"/>
                <w:szCs w:val="22"/>
              </w:rPr>
              <w:t>支持数据单条及批量入库，根据数据的属性创建索引，记录每次入库的过程日志。</w:t>
            </w:r>
          </w:p>
          <w:p>
            <w:pPr>
              <w:jc w:val="left"/>
              <w:rPr>
                <w:rFonts w:ascii="宋体" w:hAnsi="宋体" w:cs="宋体" w:hint="eastAsia"/>
                <w:color w:val="000000"/>
                <w:sz w:val="22"/>
              </w:rPr>
            </w:pPr>
            <w:r>
              <w:rPr>
                <w:rFonts w:ascii="宋体" w:hAnsi="宋体" w:cs="宋体" w:hint="eastAsia"/>
                <w:color w:val="000000"/>
                <w:sz w:val="22"/>
                <w:szCs w:val="22"/>
              </w:rPr>
              <w:t>#（4）数据同步模块</w:t>
            </w:r>
          </w:p>
          <w:p>
            <w:pPr>
              <w:jc w:val="left"/>
              <w:rPr>
                <w:rFonts w:ascii="宋体" w:hAnsi="宋体" w:cs="宋体" w:hint="eastAsia"/>
                <w:color w:val="000000"/>
                <w:sz w:val="22"/>
              </w:rPr>
            </w:pPr>
            <w:r>
              <w:rPr>
                <w:rFonts w:ascii="宋体" w:hAnsi="宋体" w:cs="宋体" w:hint="eastAsia"/>
                <w:color w:val="000000"/>
                <w:sz w:val="22"/>
                <w:szCs w:val="22"/>
              </w:rPr>
              <w:t>支持将数据从内网环境推送至互联网环境；支持内网环境从互联网环境拉取数据；内网与互联网间实现数据传输；记录数据传输过程信息；对数据同步状态进行监控。</w:t>
            </w:r>
          </w:p>
          <w:p>
            <w:pPr>
              <w:jc w:val="left"/>
              <w:rPr>
                <w:rFonts w:ascii="宋体" w:hAnsi="宋体" w:cs="宋体" w:hint="eastAsia"/>
                <w:color w:val="000000"/>
                <w:sz w:val="22"/>
              </w:rPr>
            </w:pPr>
            <w:r>
              <w:rPr>
                <w:rFonts w:ascii="宋体" w:hAnsi="宋体" w:cs="宋体" w:hint="eastAsia"/>
                <w:color w:val="000000"/>
                <w:sz w:val="22"/>
                <w:szCs w:val="22"/>
              </w:rPr>
              <w:t>（5）人影指挥调度支撑模块</w:t>
            </w:r>
          </w:p>
          <w:p>
            <w:pPr>
              <w:jc w:val="left"/>
              <w:rPr>
                <w:rFonts w:ascii="宋体" w:hAnsi="宋体" w:cs="宋体" w:hint="eastAsia"/>
                <w:color w:val="000000"/>
                <w:sz w:val="22"/>
              </w:rPr>
            </w:pPr>
            <w:r>
              <w:rPr>
                <w:rFonts w:ascii="宋体" w:hAnsi="宋体" w:cs="宋体" w:hint="eastAsia"/>
                <w:color w:val="000000"/>
                <w:sz w:val="22"/>
                <w:szCs w:val="22"/>
              </w:rPr>
              <w:t>提供符合人影指挥调度的卫星数据服务接口，主动推送通知给人影指挥调度，支持失败重推等机制，支持缓存频繁访问的数据。</w:t>
            </w:r>
          </w:p>
          <w:p>
            <w:pPr>
              <w:jc w:val="left"/>
              <w:rPr>
                <w:rFonts w:ascii="宋体" w:hAnsi="宋体" w:cs="宋体" w:hint="eastAsia"/>
                <w:color w:val="000000"/>
                <w:sz w:val="22"/>
              </w:rPr>
            </w:pPr>
            <w:r>
              <w:rPr>
                <w:rFonts w:ascii="宋体" w:hAnsi="宋体" w:cs="宋体" w:hint="eastAsia"/>
                <w:color w:val="000000"/>
                <w:sz w:val="22"/>
                <w:szCs w:val="22"/>
              </w:rPr>
              <w:t>#（6）数据存储与检索模块</w:t>
            </w:r>
          </w:p>
          <w:p>
            <w:pPr>
              <w:jc w:val="left"/>
              <w:rPr>
                <w:rFonts w:ascii="宋体" w:hAnsi="宋体" w:cs="宋体" w:hint="eastAsia"/>
                <w:color w:val="000000"/>
                <w:sz w:val="22"/>
              </w:rPr>
            </w:pPr>
            <w:r>
              <w:rPr>
                <w:rFonts w:ascii="宋体" w:hAnsi="宋体" w:cs="宋体" w:hint="eastAsia"/>
                <w:color w:val="000000"/>
                <w:sz w:val="22"/>
                <w:szCs w:val="22"/>
              </w:rPr>
              <w:t>使用分布式可扩展的存储结构，确保随着数据量不断增长，系统仍可高效存储数据；支持多维度的数据检索、模糊检索。</w:t>
            </w:r>
          </w:p>
          <w:p>
            <w:pPr>
              <w:jc w:val="left"/>
              <w:rPr>
                <w:rFonts w:ascii="宋体" w:hAnsi="宋体" w:cs="宋体" w:hint="eastAsia"/>
                <w:color w:val="000000"/>
                <w:sz w:val="22"/>
              </w:rPr>
            </w:pPr>
            <w:r>
              <w:rPr>
                <w:rFonts w:ascii="宋体" w:hAnsi="宋体" w:cs="宋体" w:hint="eastAsia"/>
                <w:color w:val="000000"/>
                <w:sz w:val="22"/>
                <w:szCs w:val="22"/>
              </w:rPr>
              <w:t>（7）历史数据备份模块</w:t>
            </w:r>
          </w:p>
          <w:p>
            <w:pPr>
              <w:jc w:val="left"/>
              <w:rPr>
                <w:rFonts w:ascii="宋体" w:hAnsi="宋体" w:cs="宋体" w:hint="eastAsia"/>
                <w:color w:val="000000"/>
                <w:sz w:val="22"/>
              </w:rPr>
            </w:pPr>
            <w:r>
              <w:rPr>
                <w:rFonts w:ascii="宋体" w:hAnsi="宋体" w:cs="宋体" w:hint="eastAsia"/>
                <w:color w:val="000000"/>
                <w:sz w:val="22"/>
                <w:szCs w:val="22"/>
              </w:rPr>
              <w:t>设定备份策略，支持对卫星历史数据进行备份；对备份数据可进行完整性验证，确保备份数据可靠；支持根据备份数据进行恢复；支持清除历史某个时间点备份数据。</w:t>
            </w:r>
          </w:p>
          <w:p>
            <w:pPr>
              <w:jc w:val="left"/>
              <w:rPr>
                <w:rFonts w:ascii="宋体" w:hAnsi="宋体" w:cs="宋体" w:hint="eastAsia"/>
                <w:color w:val="000000"/>
                <w:sz w:val="22"/>
              </w:rPr>
            </w:pPr>
            <w:r>
              <w:rPr>
                <w:rFonts w:ascii="宋体" w:hAnsi="宋体" w:cs="宋体" w:hint="eastAsia"/>
                <w:color w:val="000000"/>
                <w:sz w:val="22"/>
                <w:szCs w:val="22"/>
              </w:rPr>
              <w:t>#（8）卫星通信流程备份管理模块</w:t>
            </w:r>
          </w:p>
          <w:p>
            <w:pPr>
              <w:jc w:val="left"/>
              <w:rPr>
                <w:rFonts w:ascii="宋体" w:hAnsi="宋体" w:cs="宋体" w:hint="eastAsia"/>
                <w:color w:val="000000"/>
                <w:sz w:val="22"/>
              </w:rPr>
            </w:pPr>
            <w:r>
              <w:rPr>
                <w:rFonts w:ascii="宋体" w:hAnsi="宋体" w:cs="宋体" w:hint="eastAsia"/>
                <w:color w:val="000000"/>
                <w:sz w:val="22"/>
                <w:szCs w:val="22"/>
              </w:rPr>
              <w:t>设定流程备份策略，支持对卫星通信流程进行备份；对备份数据可进行完整性验证，确保备份数据可靠；支持根据备份数据进行卫星通信流程恢复。</w:t>
            </w:r>
          </w:p>
          <w:p>
            <w:pPr>
              <w:jc w:val="left"/>
              <w:rPr>
                <w:rFonts w:ascii="宋体" w:hAnsi="宋体" w:cs="宋体" w:hint="eastAsia"/>
                <w:color w:val="000000"/>
                <w:sz w:val="22"/>
              </w:rPr>
            </w:pPr>
            <w:r>
              <w:rPr>
                <w:rFonts w:ascii="宋体" w:hAnsi="宋体" w:cs="宋体" w:hint="eastAsia"/>
                <w:color w:val="000000"/>
                <w:sz w:val="22"/>
                <w:szCs w:val="22"/>
              </w:rPr>
              <w:t>（9）监控管理模块</w:t>
            </w:r>
          </w:p>
          <w:p>
            <w:pPr>
              <w:jc w:val="left"/>
              <w:rPr>
                <w:rFonts w:ascii="宋体" w:hAnsi="宋体" w:cs="宋体" w:hint="eastAsia"/>
                <w:color w:val="000000"/>
                <w:sz w:val="22"/>
              </w:rPr>
            </w:pPr>
            <w:r>
              <w:rPr>
                <w:rFonts w:ascii="宋体" w:hAnsi="宋体" w:cs="宋体" w:hint="eastAsia"/>
                <w:color w:val="000000"/>
                <w:sz w:val="22"/>
                <w:szCs w:val="22"/>
              </w:rPr>
              <w:t>对卫星数据通信过程进行监控，包括系统软硬件资源、接口权限管理、接口访问信息、接口性能监测等。</w:t>
            </w:r>
          </w:p>
          <w:p>
            <w:pPr>
              <w:jc w:val="left"/>
              <w:rPr>
                <w:rFonts w:ascii="宋体" w:hAnsi="宋体" w:cs="宋体" w:hint="eastAsia"/>
                <w:color w:val="000000"/>
                <w:sz w:val="22"/>
              </w:rPr>
            </w:pPr>
            <w:r>
              <w:rPr>
                <w:rFonts w:ascii="宋体" w:hAnsi="宋体" w:cs="宋体" w:hint="eastAsia"/>
                <w:color w:val="000000"/>
                <w:sz w:val="22"/>
                <w:szCs w:val="22"/>
              </w:rPr>
              <w:t>#（10）应急指令发送模块</w:t>
            </w:r>
          </w:p>
          <w:p>
            <w:pPr>
              <w:jc w:val="left"/>
              <w:rPr>
                <w:rFonts w:ascii="宋体" w:hAnsi="宋体" w:cs="宋体" w:hint="eastAsia"/>
                <w:color w:val="000000"/>
                <w:sz w:val="22"/>
              </w:rPr>
            </w:pPr>
            <w:r>
              <w:rPr>
                <w:rFonts w:ascii="宋体" w:hAnsi="宋体" w:cs="宋体" w:hint="eastAsia"/>
                <w:color w:val="000000"/>
                <w:sz w:val="22"/>
                <w:szCs w:val="22"/>
              </w:rPr>
              <w:t>支持通过可视化界面及终端编辑应急指令、发送应急指令，操作过程中，确保指令内容准确完整；可接收人影作业点对应急指令接收的反馈信息；支持对外提供卫星通信数据访问接口服务。</w:t>
            </w:r>
          </w:p>
          <w:p>
            <w:pPr>
              <w:jc w:val="left"/>
              <w:rPr>
                <w:rFonts w:ascii="宋体" w:hAnsi="宋体" w:cs="宋体" w:hint="eastAsia"/>
                <w:color w:val="000000"/>
                <w:sz w:val="22"/>
              </w:rPr>
            </w:pPr>
            <w:r>
              <w:rPr>
                <w:rFonts w:ascii="宋体" w:hAnsi="宋体" w:cs="宋体" w:hint="eastAsia"/>
                <w:color w:val="000000"/>
                <w:sz w:val="22"/>
                <w:szCs w:val="22"/>
              </w:rPr>
              <w:t>2.非功能性指标要求</w:t>
            </w:r>
          </w:p>
          <w:p>
            <w:pPr>
              <w:jc w:val="left"/>
              <w:rPr>
                <w:rFonts w:ascii="宋体" w:hAnsi="宋体" w:cs="宋体" w:hint="eastAsia"/>
                <w:color w:val="000000"/>
                <w:sz w:val="22"/>
              </w:rPr>
            </w:pPr>
            <w:r>
              <w:rPr>
                <w:rFonts w:ascii="宋体" w:hAnsi="宋体" w:cs="宋体" w:hint="eastAsia"/>
                <w:color w:val="000000"/>
                <w:sz w:val="22"/>
                <w:szCs w:val="22"/>
              </w:rPr>
              <w:t>（1）服务接口</w:t>
            </w:r>
          </w:p>
          <w:p>
            <w:pPr>
              <w:jc w:val="left"/>
              <w:rPr>
                <w:rFonts w:ascii="宋体" w:hAnsi="宋体" w:cs="宋体" w:hint="eastAsia"/>
                <w:color w:val="000000"/>
                <w:sz w:val="22"/>
              </w:rPr>
            </w:pPr>
            <w:r>
              <w:rPr>
                <w:rFonts w:ascii="宋体" w:hAnsi="宋体" w:cs="宋体" w:hint="eastAsia"/>
                <w:color w:val="000000"/>
                <w:sz w:val="22"/>
                <w:szCs w:val="22"/>
              </w:rPr>
              <w:t>APP服务接口支持每秒100并发；</w:t>
            </w:r>
          </w:p>
          <w:p>
            <w:pPr>
              <w:jc w:val="left"/>
              <w:rPr>
                <w:rFonts w:ascii="宋体" w:hAnsi="宋体" w:cs="宋体" w:hint="eastAsia"/>
                <w:color w:val="000000"/>
                <w:sz w:val="22"/>
              </w:rPr>
            </w:pPr>
            <w:r>
              <w:rPr>
                <w:rFonts w:ascii="宋体" w:hAnsi="宋体" w:cs="宋体" w:hint="eastAsia"/>
                <w:color w:val="000000"/>
                <w:sz w:val="22"/>
                <w:szCs w:val="22"/>
              </w:rPr>
              <w:t>（2）系统界面</w:t>
            </w:r>
          </w:p>
          <w:p>
            <w:pPr>
              <w:jc w:val="left"/>
              <w:rPr>
                <w:rFonts w:ascii="宋体" w:hAnsi="宋体" w:cs="宋体" w:hint="eastAsia"/>
                <w:color w:val="000000"/>
                <w:sz w:val="22"/>
              </w:rPr>
            </w:pPr>
            <w:r>
              <w:rPr>
                <w:rFonts w:ascii="宋体" w:hAnsi="宋体" w:cs="宋体" w:hint="eastAsia"/>
                <w:color w:val="000000"/>
                <w:sz w:val="22"/>
                <w:szCs w:val="22"/>
              </w:rPr>
              <w:t>系统界面可视化效率低于3秒；</w:t>
            </w:r>
          </w:p>
          <w:p>
            <w:pPr>
              <w:jc w:val="left"/>
              <w:rPr>
                <w:rFonts w:ascii="宋体" w:hAnsi="宋体" w:cs="宋体" w:hint="eastAsia"/>
                <w:color w:val="000000"/>
                <w:sz w:val="22"/>
              </w:rPr>
            </w:pPr>
            <w:r>
              <w:rPr>
                <w:rFonts w:ascii="宋体" w:hAnsi="宋体" w:cs="宋体" w:hint="eastAsia"/>
                <w:color w:val="000000"/>
                <w:sz w:val="22"/>
                <w:szCs w:val="22"/>
              </w:rPr>
              <w:t>（3）实时收集处理</w:t>
            </w:r>
          </w:p>
          <w:p>
            <w:pPr>
              <w:jc w:val="left"/>
              <w:rPr>
                <w:rFonts w:ascii="宋体" w:hAnsi="宋体" w:cs="宋体" w:hint="eastAsia"/>
                <w:color w:val="000000"/>
                <w:sz w:val="22"/>
              </w:rPr>
            </w:pPr>
            <w:r>
              <w:rPr>
                <w:rFonts w:ascii="宋体" w:hAnsi="宋体" w:cs="宋体" w:hint="eastAsia"/>
                <w:color w:val="000000"/>
                <w:sz w:val="22"/>
                <w:szCs w:val="22"/>
              </w:rPr>
              <w:t>对于各类卫星（高通量、北斗、天通等）传来的人影作业点、应急指挥等卫星通信数据，要求从数据接收到完成处理入库的时间延迟控制在 60秒以内，以确保数据能近乎实时地被后续平台和应用使用。</w:t>
            </w:r>
          </w:p>
          <w:p>
            <w:pPr>
              <w:jc w:val="left"/>
              <w:rPr>
                <w:rFonts w:ascii="宋体" w:hAnsi="宋体" w:cs="宋体" w:hint="eastAsia"/>
                <w:color w:val="000000"/>
                <w:sz w:val="22"/>
              </w:rPr>
            </w:pPr>
            <w:r>
              <w:rPr>
                <w:rFonts w:ascii="宋体" w:hAnsi="宋体" w:cs="宋体" w:hint="eastAsia"/>
                <w:color w:val="000000"/>
                <w:sz w:val="22"/>
                <w:szCs w:val="22"/>
              </w:rPr>
              <w:t>（4）高效存储检索</w:t>
            </w:r>
          </w:p>
          <w:p>
            <w:pPr>
              <w:jc w:val="left"/>
              <w:rPr>
                <w:rFonts w:ascii="宋体" w:hAnsi="宋体" w:cs="宋体" w:hint="eastAsia"/>
                <w:color w:val="000000"/>
                <w:sz w:val="22"/>
              </w:rPr>
            </w:pPr>
            <w:r>
              <w:rPr>
                <w:rFonts w:ascii="宋体" w:hAnsi="宋体" w:cs="宋体" w:hint="eastAsia"/>
                <w:color w:val="000000"/>
                <w:sz w:val="22"/>
                <w:szCs w:val="22"/>
              </w:rPr>
              <w:t>对于入库到省级气象大数据云平台的数据，单个数据查询响应时间应控制在3秒以内，支持海量历史数据的快速定位与获取，支持复杂条件的检索操作。</w:t>
            </w:r>
          </w:p>
          <w:p>
            <w:pPr>
              <w:jc w:val="left"/>
              <w:rPr>
                <w:rFonts w:ascii="宋体" w:hAnsi="宋体" w:cs="宋体" w:hint="eastAsia"/>
                <w:color w:val="000000"/>
                <w:sz w:val="22"/>
              </w:rPr>
            </w:pPr>
            <w:r>
              <w:rPr>
                <w:rFonts w:ascii="宋体" w:hAnsi="宋体" w:cs="宋体" w:hint="eastAsia"/>
                <w:color w:val="000000"/>
                <w:sz w:val="22"/>
                <w:szCs w:val="22"/>
              </w:rPr>
              <w:t>（5）应急指令发送时效性</w:t>
            </w:r>
          </w:p>
          <w:p>
            <w:pPr>
              <w:jc w:val="left"/>
              <w:rPr>
                <w:rFonts w:ascii="宋体" w:hAnsi="宋体" w:cs="宋体" w:hint="eastAsia"/>
                <w:color w:val="000000"/>
                <w:sz w:val="22"/>
              </w:rPr>
            </w:pPr>
            <w:r>
              <w:rPr>
                <w:rFonts w:ascii="宋体" w:hAnsi="宋体" w:cs="宋体" w:hint="eastAsia"/>
                <w:color w:val="000000"/>
                <w:sz w:val="22"/>
                <w:szCs w:val="22"/>
              </w:rPr>
              <w:t>省级应急指令通过卫星通信发送至人影作业点，整个发送过程应在 1分钟内完成，保障应急指令能及时传达。</w:t>
            </w:r>
          </w:p>
          <w:p>
            <w:pPr>
              <w:jc w:val="left"/>
              <w:rPr>
                <w:rFonts w:ascii="宋体" w:hAnsi="宋体" w:cs="宋体" w:hint="eastAsia"/>
                <w:color w:val="000000"/>
                <w:sz w:val="22"/>
              </w:rPr>
            </w:pPr>
            <w:r>
              <w:rPr>
                <w:rFonts w:ascii="宋体" w:hAnsi="宋体" w:cs="宋体" w:hint="eastAsia"/>
                <w:color w:val="000000"/>
                <w:sz w:val="22"/>
                <w:szCs w:val="22"/>
              </w:rPr>
              <w:t>（6）数据吞吐量</w:t>
            </w:r>
          </w:p>
          <w:p>
            <w:pPr>
              <w:jc w:val="left"/>
              <w:rPr>
                <w:rFonts w:ascii="宋体" w:hAnsi="宋体" w:cs="宋体" w:hint="eastAsia"/>
                <w:color w:val="000000"/>
                <w:sz w:val="22"/>
              </w:rPr>
            </w:pPr>
            <w:r>
              <w:rPr>
                <w:rFonts w:ascii="宋体" w:hAnsi="宋体" w:cs="宋体" w:hint="eastAsia"/>
                <w:color w:val="000000"/>
                <w:sz w:val="22"/>
                <w:szCs w:val="22"/>
              </w:rPr>
              <w:t>系统需具备足够的带宽和处理能力，满足同时接收来自多颗卫星的数据流量要求，预估系统在高峰时段要能稳定处理每秒 10兆字节的数据量，避免出现数据积压和传输阻塞的情况。</w:t>
            </w:r>
          </w:p>
          <w:p>
            <w:pPr>
              <w:jc w:val="left"/>
              <w:rPr>
                <w:rFonts w:ascii="宋体" w:hAnsi="宋体" w:cs="宋体" w:hint="eastAsia"/>
                <w:color w:val="000000"/>
                <w:sz w:val="22"/>
              </w:rPr>
            </w:pPr>
            <w:r>
              <w:rPr>
                <w:rFonts w:ascii="宋体" w:hAnsi="宋体" w:cs="宋体" w:hint="eastAsia"/>
                <w:color w:val="000000"/>
                <w:sz w:val="22"/>
                <w:szCs w:val="22"/>
              </w:rPr>
              <w:t>（7）系统稳定可靠性</w:t>
            </w:r>
          </w:p>
          <w:p>
            <w:pPr>
              <w:jc w:val="left"/>
              <w:rPr>
                <w:rFonts w:ascii="宋体" w:hAnsi="宋体" w:cs="宋体" w:hint="eastAsia"/>
                <w:color w:val="000000"/>
                <w:sz w:val="22"/>
              </w:rPr>
            </w:pPr>
            <w:r>
              <w:rPr>
                <w:rFonts w:ascii="宋体" w:hAnsi="宋体" w:cs="宋体" w:hint="eastAsia"/>
                <w:color w:val="000000"/>
                <w:sz w:val="22"/>
                <w:szCs w:val="22"/>
              </w:rPr>
              <w:t>系统业务运行应稳定可靠，整体需具备高可用性，要求全年可用时间占比达到99.9% 以上，最大限度减少因硬件故障、软件异常、网络问题等导致的系统停机时间，确保人影作业、应急指挥等相关业务的连续性。</w:t>
            </w:r>
          </w:p>
          <w:p>
            <w:pPr>
              <w:jc w:val="left"/>
              <w:rPr>
                <w:rFonts w:ascii="宋体" w:hAnsi="宋体" w:cs="宋体" w:hint="eastAsia"/>
                <w:color w:val="000000"/>
                <w:sz w:val="22"/>
              </w:rPr>
            </w:pPr>
            <w:r>
              <w:rPr>
                <w:rFonts w:ascii="宋体" w:hAnsi="宋体" w:cs="宋体" w:hint="eastAsia"/>
                <w:color w:val="000000"/>
                <w:sz w:val="22"/>
                <w:szCs w:val="22"/>
              </w:rPr>
              <w:t>（8）存储容量可扩展性</w:t>
            </w:r>
          </w:p>
          <w:p>
            <w:pPr>
              <w:jc w:val="left"/>
              <w:rPr>
                <w:rFonts w:ascii="宋体" w:hAnsi="宋体" w:cs="宋体"/>
                <w:color w:val="000000"/>
                <w:sz w:val="22"/>
              </w:rPr>
            </w:pPr>
            <w:r>
              <w:rPr>
                <w:rFonts w:ascii="宋体" w:hAnsi="宋体" w:cs="宋体" w:hint="eastAsia"/>
                <w:color w:val="000000"/>
                <w:sz w:val="22"/>
                <w:szCs w:val="22"/>
              </w:rPr>
              <w:t>系统存储应具备良好的扩展性，初始配置能满足未来3年业务增长所需的存储容量，预估每年数据增长量后，规划好相应的存储资源扩容机制，可通过增加存储节点、扩展存储阵列等方式实现平滑扩扩容，避免因存储不足影响系统正常运行</w:t>
            </w:r>
          </w:p>
        </w:tc>
        <w:tc>
          <w:tcPr>
            <w:tcW w:w="270" w:type="pct"/>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color w:val="000000"/>
                <w:sz w:val="22"/>
              </w:rPr>
            </w:pPr>
            <w:r>
              <w:rPr>
                <w:rFonts w:ascii="宋体" w:hAnsi="宋体" w:cs="宋体"/>
                <w:color w:val="000000"/>
                <w:sz w:val="22"/>
                <w:szCs w:val="22"/>
              </w:rPr>
              <w:t>1</w:t>
            </w:r>
          </w:p>
        </w:tc>
        <w:tc>
          <w:tcPr>
            <w:tcW w:w="400" w:type="pct"/>
            <w:tcBorders>
              <w:top w:val="single" w:sz="4" w:space="0" w:color="000000"/>
              <w:left w:val="single" w:sz="4" w:space="0" w:color="000000"/>
              <w:bottom w:val="single" w:sz="4" w:space="0" w:color="000000"/>
              <w:right w:val="single" w:sz="4" w:space="0" w:color="000000"/>
            </w:tcBorders>
            <w:noWrap w:val="0"/>
            <w:vAlign w:val="center"/>
          </w:tcPr>
          <w:p>
            <w:pPr>
              <w:rPr>
                <w:rFonts w:ascii="宋体" w:hAnsi="宋体" w:cs="宋体"/>
                <w:color w:val="000000"/>
                <w:sz w:val="22"/>
              </w:rPr>
            </w:pPr>
            <w:r>
              <w:rPr>
                <w:rFonts w:ascii="宋体" w:hAnsi="宋体" w:cs="宋体"/>
                <w:color w:val="000000"/>
                <w:sz w:val="22"/>
                <w:szCs w:val="22"/>
              </w:rPr>
              <w:t>套</w:t>
            </w:r>
          </w:p>
        </w:tc>
      </w:tr>
      <w:tr>
        <w:tblPrEx>
          <w:tblW w:w="5000" w:type="pct"/>
          <w:tblInd w:w="0" w:type="dxa"/>
          <w:tblCellMar>
            <w:top w:w="0" w:type="dxa"/>
            <w:left w:w="108" w:type="dxa"/>
            <w:bottom w:w="0" w:type="dxa"/>
            <w:right w:w="108" w:type="dxa"/>
          </w:tblCellMar>
        </w:tblPrEx>
        <w:trPr>
          <w:trHeight w:val="403"/>
        </w:trPr>
        <w:tc>
          <w:tcPr>
            <w:tcW w:w="491" w:type="pc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color w:val="000000"/>
                <w:kern w:val="0"/>
                <w:sz w:val="22"/>
              </w:rPr>
            </w:pPr>
            <w:r>
              <w:rPr>
                <w:rFonts w:ascii="宋体" w:hAnsi="宋体" w:cs="宋体" w:hint="eastAsia"/>
                <w:color w:val="000000"/>
                <w:kern w:val="0"/>
                <w:sz w:val="22"/>
                <w:szCs w:val="22"/>
              </w:rPr>
              <w:t>二</w:t>
            </w:r>
          </w:p>
        </w:tc>
        <w:tc>
          <w:tcPr>
            <w:tcW w:w="1069"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color w:val="000000"/>
                <w:szCs w:val="21"/>
              </w:rPr>
            </w:pPr>
            <w:r>
              <w:rPr>
                <w:rFonts w:ascii="宋体" w:hAnsi="宋体" w:cs="宋体"/>
                <w:color w:val="000000"/>
                <w:szCs w:val="21"/>
              </w:rPr>
              <w:t>多源融合网格高时空分辨率实况分析组件</w:t>
            </w:r>
          </w:p>
        </w:tc>
        <w:tc>
          <w:tcPr>
            <w:tcW w:w="2770" w:type="pct"/>
            <w:tcBorders>
              <w:top w:val="single" w:sz="4" w:space="0" w:color="000000"/>
              <w:left w:val="single" w:sz="4" w:space="0" w:color="000000"/>
              <w:bottom w:val="single" w:sz="4" w:space="0" w:color="000000"/>
              <w:right w:val="single" w:sz="4" w:space="0" w:color="000000"/>
            </w:tcBorders>
            <w:noWrap w:val="0"/>
            <w:vAlign w:val="center"/>
          </w:tcPr>
          <w:p>
            <w:pPr>
              <w:jc w:val="left"/>
              <w:rPr>
                <w:rFonts w:ascii="宋体" w:hAnsi="宋体" w:cs="宋体" w:hint="eastAsia"/>
                <w:color w:val="000000"/>
                <w:sz w:val="22"/>
              </w:rPr>
            </w:pPr>
            <w:r>
              <w:rPr>
                <w:rFonts w:ascii="宋体" w:hAnsi="宋体" w:cs="宋体" w:hint="eastAsia"/>
                <w:color w:val="000000"/>
                <w:sz w:val="22"/>
                <w:szCs w:val="22"/>
              </w:rPr>
              <w:t>多源融合网格高时空分辨率实况分析组件主要包括 1km/1h 分辨率实况分析子系统、1km/10min 分辨率实况分析子系统、100m/5min 分辨率实况分析子系统，实现多源降水融合实况分析、近地面气温湿度风多源实况融合分析，生成不同分辨率的多源融合实况分析产品。</w:t>
            </w:r>
          </w:p>
          <w:p>
            <w:pPr>
              <w:jc w:val="left"/>
              <w:rPr>
                <w:rFonts w:ascii="宋体" w:hAnsi="宋体" w:cs="宋体" w:hint="eastAsia"/>
                <w:color w:val="000000"/>
                <w:sz w:val="22"/>
              </w:rPr>
            </w:pPr>
            <w:r>
              <w:rPr>
                <w:rFonts w:ascii="宋体" w:hAnsi="宋体" w:cs="宋体" w:hint="eastAsia"/>
                <w:color w:val="000000"/>
                <w:sz w:val="22"/>
                <w:szCs w:val="22"/>
              </w:rPr>
              <w:t>#1. 1km/1h 分辨率实况分析子系统实现在本省天擎大数据云平台本地化部署运行，应用于省级业务，多源融合实况分析产品要素种类包括气温、降水、湿度、风等4类。</w:t>
            </w:r>
          </w:p>
          <w:p>
            <w:pPr>
              <w:jc w:val="left"/>
              <w:rPr>
                <w:rFonts w:ascii="宋体" w:hAnsi="宋体" w:cs="宋体" w:hint="eastAsia"/>
                <w:color w:val="000000"/>
                <w:sz w:val="22"/>
              </w:rPr>
            </w:pPr>
            <w:r>
              <w:rPr>
                <w:rFonts w:ascii="宋体" w:hAnsi="宋体" w:cs="宋体" w:hint="eastAsia"/>
                <w:color w:val="000000"/>
                <w:sz w:val="22"/>
                <w:szCs w:val="22"/>
              </w:rPr>
              <w:t>1）功能要求</w:t>
            </w:r>
          </w:p>
          <w:p>
            <w:pPr>
              <w:jc w:val="left"/>
              <w:rPr>
                <w:rFonts w:ascii="宋体" w:hAnsi="宋体" w:cs="宋体" w:hint="eastAsia"/>
                <w:color w:val="000000"/>
                <w:sz w:val="22"/>
              </w:rPr>
            </w:pPr>
            <w:r>
              <w:rPr>
                <w:rFonts w:ascii="宋体" w:hAnsi="宋体" w:cs="宋体" w:hint="eastAsia"/>
                <w:color w:val="000000"/>
                <w:sz w:val="22"/>
                <w:szCs w:val="22"/>
              </w:rPr>
              <w:t>（1）小时数据获取模块</w:t>
            </w:r>
          </w:p>
          <w:p>
            <w:pPr>
              <w:jc w:val="left"/>
              <w:rPr>
                <w:rFonts w:ascii="宋体" w:hAnsi="宋体" w:cs="宋体" w:hint="eastAsia"/>
                <w:color w:val="000000"/>
                <w:sz w:val="22"/>
              </w:rPr>
            </w:pPr>
            <w:r>
              <w:rPr>
                <w:rFonts w:ascii="宋体" w:hAnsi="宋体" w:cs="宋体" w:hint="eastAsia"/>
                <w:color w:val="000000"/>
                <w:sz w:val="22"/>
                <w:szCs w:val="22"/>
              </w:rPr>
              <w:t>通过本省天擎大数据平台数据访问接口，收集地面自动站小时观测数据、模式数值预报资料、风云四号B星降水估计产品、雷达QPE小时降水产品等多类数据资料，按照目录进行数据存储。</w:t>
            </w:r>
          </w:p>
          <w:p>
            <w:pPr>
              <w:jc w:val="left"/>
              <w:rPr>
                <w:rFonts w:ascii="宋体" w:hAnsi="宋体" w:cs="宋体" w:hint="eastAsia"/>
                <w:color w:val="000000"/>
                <w:sz w:val="22"/>
              </w:rPr>
            </w:pPr>
            <w:r>
              <w:rPr>
                <w:rFonts w:ascii="宋体" w:hAnsi="宋体" w:cs="宋体" w:hint="eastAsia"/>
                <w:color w:val="000000"/>
                <w:sz w:val="22"/>
                <w:szCs w:val="22"/>
              </w:rPr>
              <w:t>（2）小时数据预处理模块</w:t>
            </w:r>
          </w:p>
          <w:p>
            <w:pPr>
              <w:jc w:val="left"/>
              <w:rPr>
                <w:rFonts w:ascii="宋体" w:hAnsi="宋体" w:cs="宋体" w:hint="eastAsia"/>
                <w:color w:val="000000"/>
                <w:sz w:val="22"/>
              </w:rPr>
            </w:pPr>
            <w:r>
              <w:rPr>
                <w:rFonts w:ascii="宋体" w:hAnsi="宋体" w:cs="宋体" w:hint="eastAsia"/>
                <w:color w:val="000000"/>
                <w:sz w:val="22"/>
                <w:szCs w:val="22"/>
              </w:rPr>
              <w:t>对数据获取功能下载存储的地面自动站小时观测数据、模式数值预报资料、风云四号B星降水估计产品、雷达QPE小时降水产品等多类数据资料进行数据预处理，形成降水融合及近地面气温湿度风融合所需的观测场、背景场资料，并按照融合计算所需数据格式及数据目录进行存储。</w:t>
            </w:r>
          </w:p>
          <w:p>
            <w:pPr>
              <w:jc w:val="left"/>
              <w:rPr>
                <w:rFonts w:ascii="宋体" w:hAnsi="宋体" w:cs="宋体" w:hint="eastAsia"/>
                <w:color w:val="000000"/>
                <w:sz w:val="22"/>
              </w:rPr>
            </w:pPr>
            <w:r>
              <w:rPr>
                <w:rFonts w:ascii="宋体" w:hAnsi="宋体" w:cs="宋体" w:hint="eastAsia"/>
                <w:color w:val="000000"/>
                <w:sz w:val="22"/>
                <w:szCs w:val="22"/>
              </w:rPr>
              <w:t>（3）小时数据融合模块</w:t>
            </w:r>
          </w:p>
          <w:p>
            <w:pPr>
              <w:jc w:val="left"/>
              <w:rPr>
                <w:rFonts w:ascii="宋体" w:hAnsi="宋体" w:cs="宋体" w:hint="eastAsia"/>
                <w:color w:val="000000"/>
                <w:sz w:val="22"/>
              </w:rPr>
            </w:pPr>
            <w:r>
              <w:rPr>
                <w:rFonts w:ascii="宋体" w:hAnsi="宋体" w:cs="宋体" w:hint="eastAsia"/>
                <w:color w:val="000000"/>
                <w:sz w:val="22"/>
                <w:szCs w:val="22"/>
              </w:rPr>
              <w:t>在数据预处理形成各类观测场和背景场数据的基础上，基于多重网格变分同化、OI最优插值算法，生成1km/1h分辨率地面精细化气温、湿度、风、降水等实况分析产品。</w:t>
            </w:r>
          </w:p>
          <w:p>
            <w:pPr>
              <w:jc w:val="left"/>
              <w:rPr>
                <w:rFonts w:ascii="宋体" w:hAnsi="宋体" w:cs="宋体" w:hint="eastAsia"/>
                <w:color w:val="000000"/>
                <w:sz w:val="22"/>
              </w:rPr>
            </w:pPr>
            <w:r>
              <w:rPr>
                <w:rFonts w:ascii="宋体" w:hAnsi="宋体" w:cs="宋体" w:hint="eastAsia"/>
                <w:color w:val="000000"/>
                <w:sz w:val="22"/>
                <w:szCs w:val="22"/>
              </w:rPr>
              <w:t>2）非功能要求</w:t>
            </w:r>
          </w:p>
          <w:p>
            <w:pPr>
              <w:jc w:val="left"/>
              <w:rPr>
                <w:rFonts w:ascii="宋体" w:hAnsi="宋体" w:cs="宋体" w:hint="eastAsia"/>
                <w:color w:val="000000"/>
                <w:sz w:val="22"/>
              </w:rPr>
            </w:pPr>
            <w:r>
              <w:rPr>
                <w:rFonts w:ascii="宋体" w:hAnsi="宋体" w:cs="宋体" w:hint="eastAsia"/>
                <w:color w:val="000000"/>
                <w:sz w:val="22"/>
                <w:szCs w:val="22"/>
              </w:rPr>
              <w:t>1km/1h 分辨率实况分析子系统在本省天擎大数据云平台本地化部署运行；产品滞后时效在10分钟之内。</w:t>
            </w:r>
          </w:p>
          <w:p>
            <w:pPr>
              <w:jc w:val="left"/>
              <w:rPr>
                <w:rFonts w:ascii="宋体" w:hAnsi="宋体" w:cs="宋体" w:hint="eastAsia"/>
                <w:color w:val="000000"/>
                <w:sz w:val="22"/>
              </w:rPr>
            </w:pPr>
            <w:r>
              <w:rPr>
                <w:rFonts w:ascii="宋体" w:hAnsi="宋体" w:cs="宋体" w:hint="eastAsia"/>
                <w:color w:val="000000"/>
                <w:sz w:val="22"/>
                <w:szCs w:val="22"/>
              </w:rPr>
              <w:t>#2. 1km/10min 分辨率实况分析子系统实现在本省天擎大数据云平台本地化部署运行，应用于省级业务，多源融合实况分析产品要素种类包括气温、降水、湿度、风等4类。</w:t>
            </w:r>
          </w:p>
          <w:p>
            <w:pPr>
              <w:jc w:val="left"/>
              <w:rPr>
                <w:rFonts w:ascii="宋体" w:hAnsi="宋体" w:cs="宋体" w:hint="eastAsia"/>
                <w:color w:val="000000"/>
                <w:sz w:val="22"/>
              </w:rPr>
            </w:pPr>
            <w:r>
              <w:rPr>
                <w:rFonts w:ascii="宋体" w:hAnsi="宋体" w:cs="宋体" w:hint="eastAsia"/>
                <w:color w:val="000000"/>
                <w:sz w:val="22"/>
                <w:szCs w:val="22"/>
              </w:rPr>
              <w:t>1）功能要求</w:t>
            </w:r>
          </w:p>
          <w:p>
            <w:pPr>
              <w:jc w:val="left"/>
              <w:rPr>
                <w:rFonts w:ascii="宋体" w:hAnsi="宋体" w:cs="宋体" w:hint="eastAsia"/>
                <w:color w:val="000000"/>
                <w:sz w:val="22"/>
              </w:rPr>
            </w:pPr>
            <w:r>
              <w:rPr>
                <w:rFonts w:ascii="宋体" w:hAnsi="宋体" w:cs="宋体" w:hint="eastAsia"/>
                <w:color w:val="000000"/>
                <w:sz w:val="22"/>
                <w:szCs w:val="22"/>
              </w:rPr>
              <w:t>（1）分钟数据获取模块</w:t>
            </w:r>
          </w:p>
          <w:p>
            <w:pPr>
              <w:jc w:val="left"/>
              <w:rPr>
                <w:rFonts w:ascii="宋体" w:hAnsi="宋体" w:cs="宋体" w:hint="eastAsia"/>
                <w:color w:val="000000"/>
                <w:sz w:val="22"/>
              </w:rPr>
            </w:pPr>
            <w:r>
              <w:rPr>
                <w:rFonts w:ascii="宋体" w:hAnsi="宋体" w:cs="宋体" w:hint="eastAsia"/>
                <w:color w:val="000000"/>
                <w:sz w:val="22"/>
                <w:szCs w:val="22"/>
              </w:rPr>
              <w:t>通过本省天擎大数据平台数据访问接口，收集地面自动站分钟观测数据、模式数值预报资料、雷达10分钟降水估测产品等多类数据资料，按照目录进行数据存储。</w:t>
            </w:r>
          </w:p>
          <w:p>
            <w:pPr>
              <w:jc w:val="left"/>
              <w:rPr>
                <w:rFonts w:ascii="宋体" w:hAnsi="宋体" w:cs="宋体" w:hint="eastAsia"/>
                <w:color w:val="000000"/>
                <w:sz w:val="22"/>
              </w:rPr>
            </w:pPr>
            <w:r>
              <w:rPr>
                <w:rFonts w:ascii="宋体" w:hAnsi="宋体" w:cs="宋体" w:hint="eastAsia"/>
                <w:color w:val="000000"/>
                <w:sz w:val="22"/>
                <w:szCs w:val="22"/>
              </w:rPr>
              <w:t>（2）10分钟数据预处理模块</w:t>
            </w:r>
          </w:p>
          <w:p>
            <w:pPr>
              <w:jc w:val="left"/>
              <w:rPr>
                <w:rFonts w:ascii="宋体" w:hAnsi="宋体" w:cs="宋体" w:hint="eastAsia"/>
                <w:color w:val="000000"/>
                <w:sz w:val="22"/>
              </w:rPr>
            </w:pPr>
            <w:r>
              <w:rPr>
                <w:rFonts w:ascii="宋体" w:hAnsi="宋体" w:cs="宋体" w:hint="eastAsia"/>
                <w:color w:val="000000"/>
                <w:sz w:val="22"/>
                <w:szCs w:val="22"/>
              </w:rPr>
              <w:t>对数据获取功能下载存储的地面自动站分钟观测数据、模式数值预报资料、雷达降水估测产品、卫星降水估测产品等多类数据资料进行数据预处理，经PDF、RQI 等技术处理形成降水融合及近地面气温湿度风融合所需的观测场、背景场资料，并按照融合计算所需数据格式及数据目录进行存储。</w:t>
            </w:r>
          </w:p>
          <w:p>
            <w:pPr>
              <w:jc w:val="left"/>
              <w:rPr>
                <w:rFonts w:ascii="宋体" w:hAnsi="宋体" w:cs="宋体" w:hint="eastAsia"/>
                <w:color w:val="000000"/>
                <w:sz w:val="22"/>
              </w:rPr>
            </w:pPr>
            <w:r>
              <w:rPr>
                <w:rFonts w:ascii="宋体" w:hAnsi="宋体" w:cs="宋体" w:hint="eastAsia"/>
                <w:color w:val="000000"/>
                <w:sz w:val="22"/>
                <w:szCs w:val="22"/>
              </w:rPr>
              <w:t>（3）10分钟数据融合模块</w:t>
            </w:r>
          </w:p>
          <w:p>
            <w:pPr>
              <w:jc w:val="left"/>
              <w:rPr>
                <w:rFonts w:ascii="宋体" w:hAnsi="宋体" w:cs="宋体" w:hint="eastAsia"/>
                <w:color w:val="000000"/>
                <w:sz w:val="22"/>
              </w:rPr>
            </w:pPr>
            <w:r>
              <w:rPr>
                <w:rFonts w:ascii="宋体" w:hAnsi="宋体" w:cs="宋体" w:hint="eastAsia"/>
                <w:color w:val="000000"/>
                <w:sz w:val="22"/>
                <w:szCs w:val="22"/>
              </w:rPr>
              <w:t>在数据预处理形成各类观测场和背景场数据的基础上，基于多重网格变分同化、OI最优插值算法，生成1km/10min分辨率地面精细化气温、湿度、风、降水等实况分析产品。</w:t>
            </w:r>
          </w:p>
          <w:p>
            <w:pPr>
              <w:jc w:val="left"/>
              <w:rPr>
                <w:rFonts w:ascii="宋体" w:hAnsi="宋体" w:cs="宋体" w:hint="eastAsia"/>
                <w:color w:val="000000"/>
                <w:sz w:val="22"/>
              </w:rPr>
            </w:pPr>
            <w:r>
              <w:rPr>
                <w:rFonts w:ascii="宋体" w:hAnsi="宋体" w:cs="宋体" w:hint="eastAsia"/>
                <w:color w:val="000000"/>
                <w:sz w:val="22"/>
                <w:szCs w:val="22"/>
              </w:rPr>
              <w:t>2）非功能要求</w:t>
            </w:r>
          </w:p>
          <w:p>
            <w:pPr>
              <w:jc w:val="left"/>
              <w:rPr>
                <w:rFonts w:ascii="宋体" w:hAnsi="宋体" w:cs="宋体" w:hint="eastAsia"/>
                <w:color w:val="000000"/>
                <w:sz w:val="22"/>
              </w:rPr>
            </w:pPr>
            <w:r>
              <w:rPr>
                <w:rFonts w:ascii="宋体" w:hAnsi="宋体" w:cs="宋体" w:hint="eastAsia"/>
                <w:color w:val="000000"/>
                <w:sz w:val="22"/>
                <w:szCs w:val="22"/>
              </w:rPr>
              <w:t>1km/10min 分辨率实况分析子系统在本省天擎大数据云平台本地化部署运行；产品滞后时效在10分钟之内。</w:t>
            </w:r>
          </w:p>
          <w:p>
            <w:pPr>
              <w:jc w:val="left"/>
              <w:rPr>
                <w:rFonts w:ascii="宋体" w:hAnsi="宋体" w:cs="宋体" w:hint="eastAsia"/>
                <w:color w:val="000000"/>
                <w:sz w:val="22"/>
              </w:rPr>
            </w:pPr>
            <w:r>
              <w:rPr>
                <w:rFonts w:ascii="宋体" w:hAnsi="宋体" w:cs="宋体" w:hint="eastAsia"/>
                <w:color w:val="000000"/>
                <w:sz w:val="22"/>
                <w:szCs w:val="22"/>
              </w:rPr>
              <w:t>#3. 100m/5min分辨率实况分析子系统实现在本省天擎大数据云平台本地化部署运行，应用于省级业务，多源融合实况分析产品要素种类包括气温、降水、湿度、风等4类。</w:t>
            </w:r>
          </w:p>
          <w:p>
            <w:pPr>
              <w:jc w:val="left"/>
              <w:rPr>
                <w:rFonts w:ascii="宋体" w:hAnsi="宋体" w:cs="宋体" w:hint="eastAsia"/>
                <w:color w:val="000000"/>
                <w:sz w:val="22"/>
              </w:rPr>
            </w:pPr>
            <w:r>
              <w:rPr>
                <w:rFonts w:ascii="宋体" w:hAnsi="宋体" w:cs="宋体" w:hint="eastAsia"/>
                <w:color w:val="000000"/>
                <w:sz w:val="22"/>
                <w:szCs w:val="22"/>
              </w:rPr>
              <w:t>1）功能要求</w:t>
            </w:r>
          </w:p>
          <w:p>
            <w:pPr>
              <w:jc w:val="left"/>
              <w:rPr>
                <w:rFonts w:ascii="宋体" w:hAnsi="宋体" w:cs="宋体" w:hint="eastAsia"/>
                <w:color w:val="000000"/>
                <w:sz w:val="22"/>
              </w:rPr>
            </w:pPr>
            <w:r>
              <w:rPr>
                <w:rFonts w:ascii="宋体" w:hAnsi="宋体" w:cs="宋体" w:hint="eastAsia"/>
                <w:color w:val="000000"/>
                <w:sz w:val="22"/>
                <w:szCs w:val="22"/>
              </w:rPr>
              <w:t>（1）分钟数据获取模块</w:t>
            </w:r>
          </w:p>
          <w:p>
            <w:pPr>
              <w:jc w:val="left"/>
              <w:rPr>
                <w:rFonts w:ascii="宋体" w:hAnsi="宋体" w:cs="宋体" w:hint="eastAsia"/>
                <w:color w:val="000000"/>
                <w:sz w:val="22"/>
              </w:rPr>
            </w:pPr>
            <w:r>
              <w:rPr>
                <w:rFonts w:ascii="宋体" w:hAnsi="宋体" w:cs="宋体" w:hint="eastAsia"/>
                <w:color w:val="000000"/>
                <w:sz w:val="22"/>
                <w:szCs w:val="22"/>
              </w:rPr>
              <w:t>通过本省天擎大数据平台数据访问接口，收集地面自动站分钟观测数据、雷达分钟降水估测产品等多类数据资料，按照目录进行数据存储，同时获取本项目系统生成的1km/1h分辨率实况分析产品。</w:t>
            </w:r>
          </w:p>
          <w:p>
            <w:pPr>
              <w:jc w:val="left"/>
              <w:rPr>
                <w:rFonts w:ascii="宋体" w:hAnsi="宋体" w:cs="宋体" w:hint="eastAsia"/>
                <w:color w:val="000000"/>
                <w:sz w:val="22"/>
              </w:rPr>
            </w:pPr>
            <w:r>
              <w:rPr>
                <w:rFonts w:ascii="宋体" w:hAnsi="宋体" w:cs="宋体" w:hint="eastAsia"/>
                <w:color w:val="000000"/>
                <w:sz w:val="22"/>
                <w:szCs w:val="22"/>
              </w:rPr>
              <w:t>（2）5分钟数据预处理模块</w:t>
            </w:r>
          </w:p>
          <w:p>
            <w:pPr>
              <w:jc w:val="left"/>
              <w:rPr>
                <w:rFonts w:ascii="宋体" w:hAnsi="宋体" w:cs="宋体" w:hint="eastAsia"/>
                <w:color w:val="000000"/>
                <w:sz w:val="22"/>
              </w:rPr>
            </w:pPr>
            <w:r>
              <w:rPr>
                <w:rFonts w:ascii="宋体" w:hAnsi="宋体" w:cs="宋体" w:hint="eastAsia"/>
                <w:color w:val="000000"/>
                <w:sz w:val="22"/>
                <w:szCs w:val="22"/>
              </w:rPr>
              <w:t>对数据获取功能下载存储的地面自动站分钟观测数据、雷达分钟降水估测产品、小时实况分析产品等多类数据资料进行数据处理，形成降水融合及近地面气温湿度风融合所需的观测场、背景场资料，并按照融合计算所需数据格式及数据目录进行存储。</w:t>
            </w:r>
          </w:p>
          <w:p>
            <w:pPr>
              <w:jc w:val="left"/>
              <w:rPr>
                <w:rFonts w:ascii="宋体" w:hAnsi="宋体" w:cs="宋体" w:hint="eastAsia"/>
                <w:color w:val="000000"/>
                <w:sz w:val="22"/>
              </w:rPr>
            </w:pPr>
            <w:r>
              <w:rPr>
                <w:rFonts w:ascii="宋体" w:hAnsi="宋体" w:cs="宋体" w:hint="eastAsia"/>
                <w:color w:val="000000"/>
                <w:sz w:val="22"/>
                <w:szCs w:val="22"/>
              </w:rPr>
              <w:t>（3）5分钟数据融合模块</w:t>
            </w:r>
          </w:p>
          <w:p>
            <w:pPr>
              <w:jc w:val="left"/>
              <w:rPr>
                <w:rFonts w:ascii="宋体" w:hAnsi="宋体" w:cs="宋体" w:hint="eastAsia"/>
                <w:color w:val="000000"/>
                <w:sz w:val="22"/>
              </w:rPr>
            </w:pPr>
            <w:r>
              <w:rPr>
                <w:rFonts w:ascii="宋体" w:hAnsi="宋体" w:cs="宋体" w:hint="eastAsia"/>
                <w:color w:val="000000"/>
                <w:sz w:val="22"/>
                <w:szCs w:val="22"/>
              </w:rPr>
              <w:t>在数据预处理形成各类观测场和背景场数据的基础上，基于多重网格变分同化、OI最优插值等融合算法，生成100m/5min分辨率地面精细化气温、湿度、风、降水等实况分析产品。</w:t>
            </w:r>
          </w:p>
          <w:p>
            <w:pPr>
              <w:jc w:val="left"/>
              <w:rPr>
                <w:rFonts w:ascii="宋体" w:hAnsi="宋体" w:cs="宋体" w:hint="eastAsia"/>
                <w:color w:val="000000"/>
                <w:sz w:val="22"/>
              </w:rPr>
            </w:pPr>
            <w:r>
              <w:rPr>
                <w:rFonts w:ascii="宋体" w:hAnsi="宋体" w:cs="宋体" w:hint="eastAsia"/>
                <w:color w:val="000000"/>
                <w:sz w:val="22"/>
                <w:szCs w:val="22"/>
              </w:rPr>
              <w:t>2）非功能要求</w:t>
            </w:r>
          </w:p>
          <w:p>
            <w:pPr>
              <w:jc w:val="left"/>
              <w:rPr>
                <w:rFonts w:ascii="宋体" w:hAnsi="宋体" w:cs="宋体" w:hint="eastAsia"/>
                <w:color w:val="000000"/>
                <w:sz w:val="22"/>
              </w:rPr>
            </w:pPr>
            <w:r>
              <w:rPr>
                <w:rFonts w:ascii="宋体" w:hAnsi="宋体" w:cs="宋体" w:hint="eastAsia"/>
                <w:color w:val="000000"/>
                <w:sz w:val="22"/>
                <w:szCs w:val="22"/>
              </w:rPr>
              <w:t>100m/5min分辨率实况分析子系统在本省天擎大数据云平台本地化部署运行，产品滞后时效在10分钟之内。</w:t>
            </w:r>
          </w:p>
        </w:tc>
        <w:tc>
          <w:tcPr>
            <w:tcW w:w="270" w:type="pct"/>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color w:val="000000"/>
                <w:sz w:val="22"/>
              </w:rPr>
            </w:pPr>
            <w:r>
              <w:rPr>
                <w:rFonts w:ascii="宋体" w:hAnsi="宋体" w:cs="宋体"/>
                <w:color w:val="000000"/>
                <w:sz w:val="22"/>
                <w:szCs w:val="22"/>
              </w:rPr>
              <w:t>1</w:t>
            </w:r>
          </w:p>
        </w:tc>
        <w:tc>
          <w:tcPr>
            <w:tcW w:w="400" w:type="pct"/>
            <w:tcBorders>
              <w:top w:val="single" w:sz="4" w:space="0" w:color="000000"/>
              <w:left w:val="single" w:sz="4" w:space="0" w:color="000000"/>
              <w:bottom w:val="single" w:sz="4" w:space="0" w:color="000000"/>
              <w:right w:val="single" w:sz="4" w:space="0" w:color="000000"/>
            </w:tcBorders>
            <w:noWrap w:val="0"/>
            <w:vAlign w:val="center"/>
          </w:tcPr>
          <w:p>
            <w:pPr>
              <w:rPr>
                <w:rFonts w:ascii="宋体" w:hAnsi="宋体" w:cs="宋体"/>
                <w:color w:val="000000"/>
                <w:sz w:val="22"/>
              </w:rPr>
            </w:pPr>
            <w:r>
              <w:rPr>
                <w:rFonts w:ascii="宋体" w:hAnsi="宋体" w:cs="宋体"/>
                <w:color w:val="000000"/>
                <w:sz w:val="22"/>
                <w:szCs w:val="22"/>
              </w:rPr>
              <w:t>套</w:t>
            </w:r>
          </w:p>
        </w:tc>
      </w:tr>
    </w:tbl>
    <w:p>
      <w:pPr>
        <w:spacing w:line="360" w:lineRule="auto"/>
        <w:ind w:firstLine="420" w:firstLineChars="200"/>
        <w:rPr>
          <w:rFonts w:ascii="宋体" w:hAnsi="宋体"/>
          <w:szCs w:val="21"/>
        </w:rPr>
      </w:pPr>
    </w:p>
    <w:p>
      <w:pPr>
        <w:spacing w:line="360" w:lineRule="auto"/>
        <w:ind w:firstLine="420" w:firstLineChars="200"/>
        <w:rPr>
          <w:rFonts w:ascii="宋体" w:hAnsi="宋体" w:hint="eastAsia"/>
          <w:szCs w:val="21"/>
        </w:rPr>
      </w:pPr>
      <w:r>
        <w:rPr>
          <w:rFonts w:ascii="宋体" w:hAnsi="宋体" w:hint="eastAsia"/>
          <w:szCs w:val="21"/>
        </w:rPr>
        <w:t>四、检验考核要求</w:t>
      </w:r>
    </w:p>
    <w:p>
      <w:pPr>
        <w:spacing w:line="360" w:lineRule="auto"/>
        <w:ind w:firstLine="420" w:firstLineChars="200"/>
        <w:rPr>
          <w:rFonts w:ascii="宋体" w:hAnsi="宋体" w:hint="eastAsia"/>
          <w:szCs w:val="21"/>
        </w:rPr>
      </w:pPr>
      <w:r>
        <w:rPr>
          <w:rFonts w:ascii="宋体" w:hAnsi="宋体" w:hint="eastAsia"/>
          <w:szCs w:val="21"/>
        </w:rPr>
        <w:t>采购人应对合同设备在考核中应达到的技术性能考核指标进行规定，并可根据合同设备的 实际情况，规定可以接受的合同设备的最低技术性能考核指标。</w:t>
      </w:r>
    </w:p>
    <w:p>
      <w:pPr>
        <w:spacing w:line="360" w:lineRule="auto"/>
        <w:ind w:firstLine="420" w:firstLineChars="200"/>
        <w:rPr>
          <w:rFonts w:ascii="宋体" w:hAnsi="宋体" w:hint="eastAsia"/>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hint="eastAsia"/>
          <w:szCs w:val="21"/>
        </w:rPr>
        <w:t>1．技术服务要求</w:t>
      </w:r>
    </w:p>
    <w:p>
      <w:pPr>
        <w:spacing w:line="360" w:lineRule="auto"/>
        <w:ind w:firstLine="420" w:firstLineChars="200"/>
        <w:rPr>
          <w:rFonts w:ascii="宋体" w:hAnsi="宋体"/>
          <w:szCs w:val="21"/>
        </w:rPr>
      </w:pPr>
      <w:r>
        <w:rPr>
          <w:rFonts w:ascii="宋体" w:hAnsi="宋体" w:hint="eastAsia"/>
          <w:szCs w:val="21"/>
        </w:rPr>
        <w:t>（1）投标人须选派技术能力达标、具备相应岗位胜任力的技术人员进驻施工现场，向采购人提供符合合同约定标准的技术服务。</w:t>
      </w:r>
    </w:p>
    <w:p>
      <w:pPr>
        <w:spacing w:line="360" w:lineRule="auto"/>
        <w:ind w:firstLine="420" w:firstLineChars="200"/>
        <w:rPr>
          <w:rFonts w:ascii="宋体" w:hAnsi="宋体"/>
          <w:szCs w:val="21"/>
        </w:rPr>
      </w:pPr>
      <w:r>
        <w:rPr>
          <w:rFonts w:ascii="宋体" w:hAnsi="宋体" w:hint="eastAsia"/>
          <w:szCs w:val="21"/>
        </w:rPr>
        <w:t>（2）采购人应为投标人驻场人员无偿提供基本工作保障，涵盖办公场地、资料获取及进出场许可等必要条件。除专用合同条款另有约定外，投标人自行承担其人员的交通及食宿费用。</w:t>
      </w:r>
    </w:p>
    <w:p>
      <w:pPr>
        <w:spacing w:line="360" w:lineRule="auto"/>
        <w:ind w:firstLine="420" w:firstLineChars="200"/>
        <w:rPr>
          <w:rFonts w:ascii="宋体" w:hAnsi="宋体"/>
          <w:szCs w:val="21"/>
        </w:rPr>
      </w:pPr>
      <w:r>
        <w:rPr>
          <w:rFonts w:ascii="宋体" w:hAnsi="宋体" w:hint="eastAsia"/>
          <w:szCs w:val="21"/>
        </w:rPr>
        <w:t>（3）投标人驻场人员须严格遵守采购人施工现场既有的各项规章制度与安全操作规程，并积极配合采购人现场管理人员的统一协调与调度。</w:t>
      </w:r>
    </w:p>
    <w:p>
      <w:pPr>
        <w:spacing w:line="360" w:lineRule="auto"/>
        <w:ind w:left="0" w:firstLine="420" w:leftChars="0" w:firstLineChars="200"/>
        <w:rPr>
          <w:rFonts w:ascii="宋体" w:hAnsi="宋体" w:hint="eastAsia"/>
          <w:szCs w:val="21"/>
        </w:rPr>
      </w:pPr>
      <w:r>
        <w:rPr>
          <w:rFonts w:ascii="宋体" w:hAnsi="宋体" w:hint="eastAsia"/>
          <w:szCs w:val="21"/>
        </w:rPr>
        <w:t>（4）采购人有权对能力或表现不满足要求的驻场人员提出撤换，撤换产生的全部费用由投标人承担。在不影响服务正常进行且经采购人书面同意的前提下，投标人亦可自费更换人员，但替换者的资质条件不得低于被替换人员原有水平。</w:t>
      </w:r>
    </w:p>
    <w:p>
      <w:pPr>
        <w:spacing w:line="360" w:lineRule="auto"/>
        <w:ind w:firstLine="420" w:firstLineChars="200"/>
        <w:rPr>
          <w:rFonts w:ascii="宋体" w:hAnsi="宋体" w:hint="eastAsia"/>
          <w:szCs w:val="21"/>
        </w:rPr>
      </w:pPr>
      <w:r>
        <w:rPr>
          <w:rFonts w:ascii="宋体" w:hAnsi="宋体" w:hint="eastAsia"/>
          <w:szCs w:val="21"/>
        </w:rPr>
        <w:t>2.质保期服务要求</w:t>
      </w:r>
    </w:p>
    <w:p>
      <w:pPr>
        <w:spacing w:line="360" w:lineRule="auto"/>
        <w:ind w:firstLine="420" w:firstLineChars="200"/>
        <w:rPr>
          <w:rFonts w:ascii="宋体" w:hAnsi="宋体"/>
          <w:szCs w:val="21"/>
        </w:rPr>
      </w:pPr>
      <w:r>
        <w:rPr>
          <w:rFonts w:ascii="宋体" w:hAnsi="宋体" w:hint="eastAsia"/>
          <w:szCs w:val="21"/>
        </w:rPr>
        <w:t>（1）投标人须为质保期服务配备充裕的技术人员、专用工具及备品备件，并确保通信联络渠道全天候有效。除合同文件另有约定外，投标人自接到采购人通知起24小时内须予以响应；确需现场处置的，应在48小时内抵达，并于到达后7日内完成一般性故障排除（重大故障除外）。若投标人逾期未响应或处理，采购人有权自行或委托第三方实施故障排查与修复，相关全部费用由投标人承担。</w:t>
      </w:r>
    </w:p>
    <w:p>
      <w:pPr>
        <w:spacing w:line="360" w:lineRule="auto"/>
        <w:ind w:firstLine="420" w:firstLineChars="200"/>
        <w:rPr>
          <w:rFonts w:ascii="宋体" w:hAnsi="宋体" w:hint="eastAsia"/>
          <w:szCs w:val="21"/>
        </w:rPr>
      </w:pPr>
      <w:r>
        <w:rPr>
          <w:rFonts w:ascii="宋体" w:hAnsi="宋体" w:hint="eastAsia"/>
          <w:szCs w:val="21"/>
        </w:rPr>
        <w:t>（2）除合同另有约定外，投标人对现场质保服务全过程须做好书面日志记录，详实载明设备故障发生时间、故障原因分析及具体处置措施，日志须经采购人现场代表签字确认，并于质保期届满后汇总移交采购人归档留存。</w:t>
      </w:r>
    </w:p>
    <w:p>
      <w:pPr>
        <w:spacing w:line="360" w:lineRule="auto"/>
        <w:ind w:firstLine="420" w:firstLineChars="200"/>
        <w:rPr>
          <w:rFonts w:ascii="宋体" w:hAnsi="宋体" w:hint="eastAsia"/>
          <w:szCs w:val="21"/>
        </w:rPr>
      </w:pPr>
      <w:r>
        <w:rPr>
          <w:rFonts w:ascii="宋体" w:hAnsi="宋体" w:hint="eastAsia"/>
          <w:szCs w:val="21"/>
          <w:lang w:val="en-US" w:eastAsia="zh-CN"/>
        </w:rPr>
        <w:t>六、</w:t>
      </w:r>
      <w:r>
        <w:rPr>
          <w:rFonts w:ascii="宋体" w:hAnsi="宋体" w:hint="eastAsia"/>
          <w:szCs w:val="21"/>
        </w:rPr>
        <w:t>团队要求</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1</w:t>
      </w:r>
      <w:r>
        <w:rPr>
          <w:rFonts w:ascii="宋体" w:hAnsi="宋体" w:hint="eastAsia"/>
          <w:szCs w:val="21"/>
          <w:lang w:eastAsia="zh-CN"/>
        </w:rPr>
        <w:t>）</w:t>
      </w:r>
      <w:r>
        <w:rPr>
          <w:rFonts w:ascii="宋体" w:hAnsi="宋体" w:hint="eastAsia"/>
          <w:szCs w:val="21"/>
        </w:rPr>
        <w:t>根据本项目特点，需完成卫星通信保障系统，接收国家级通过高通量、北斗、天通等卫星收集的人影作业点、应急指挥的卫星通信数据，将卫星通信数据处理入库到我省气象大数据云平台。同时，完成1km/1h 分辨率实况分析子系统、1km/10min 分辨率实况分析子系统、100m/5min 分辨率实况分析子系统，实现多源降水融合实况分析、近地面气温湿度风多源实况融合分析，生成不同分辨率的多源融合实况分析产品。</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2</w:t>
      </w:r>
      <w:r>
        <w:rPr>
          <w:rFonts w:ascii="宋体" w:hAnsi="宋体" w:hint="eastAsia"/>
          <w:szCs w:val="21"/>
          <w:lang w:eastAsia="zh-CN"/>
        </w:rPr>
        <w:t>）</w:t>
      </w:r>
      <w:r>
        <w:rPr>
          <w:rFonts w:ascii="宋体" w:hAnsi="宋体" w:hint="eastAsia"/>
          <w:szCs w:val="21"/>
        </w:rPr>
        <w:t>项目规模较大，专业性和技术性强，供应商应具有一定的专业技术资质资格和业绩条件，主要面向于软件和信息技术服务业，需要组成专门服务团队，有能力完成项目的建设并保证后续的运行维护和系统升级服务。需要一定的技术团队实力，项目经理和团队人员都需要具有一定的经验和技术能力。投标人应确保服务于本项目的核心技术人员及主要开发人员稳定，团队组织结构清晰，建立健全保障设计、开发工作顺利实施的各项管理制度和质量保证体系，未经甲方允许不得调整核心团队成员，甲方有权要求更换投标人项目团队成员。</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3</w:t>
      </w:r>
      <w:r>
        <w:rPr>
          <w:rFonts w:ascii="宋体" w:hAnsi="宋体" w:hint="eastAsia"/>
          <w:szCs w:val="21"/>
          <w:lang w:eastAsia="zh-CN"/>
        </w:rPr>
        <w:t>）</w:t>
      </w:r>
      <w:r>
        <w:rPr>
          <w:rFonts w:ascii="宋体" w:hAnsi="宋体" w:hint="eastAsia"/>
          <w:szCs w:val="21"/>
        </w:rPr>
        <w:t>项目经理和技术负责人都应具有3年以上软件管理或开发的经验，负责并完成过至少3个相关类型软件集成设计的经验。技术人员必须具有两年以上相关项目软件设计和集成经验，能够与用户进行良好的沟通。</w:t>
      </w:r>
    </w:p>
    <w:p>
      <w:pPr>
        <w:spacing w:line="360" w:lineRule="auto"/>
        <w:rPr>
          <w:rFonts w:ascii="宋体" w:hAnsi="宋体" w:hint="eastAsia"/>
          <w:szCs w:val="21"/>
        </w:rPr>
      </w:pPr>
      <w:r>
        <w:rPr>
          <w:rFonts w:ascii="宋体" w:hAnsi="宋体" w:hint="eastAsia"/>
          <w:szCs w:val="21"/>
        </w:rPr>
        <w:t>第七章 采购需求 附表</w:t>
      </w:r>
    </w:p>
    <w:p>
      <w:pPr>
        <w:spacing w:line="360" w:lineRule="auto"/>
        <w:jc w:val="center"/>
        <w:rPr>
          <w:rFonts w:ascii="宋体" w:hAnsi="宋体" w:hint="eastAsia"/>
          <w:szCs w:val="21"/>
        </w:rPr>
      </w:pPr>
      <w:r>
        <w:rPr>
          <w:rFonts w:ascii="宋体" w:hAnsi="宋体" w:hint="eastAsia"/>
          <w:szCs w:val="21"/>
        </w:rPr>
        <w:t>设备需求总表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76"/>
        <w:gridCol w:w="2857"/>
        <w:gridCol w:w="878"/>
        <w:gridCol w:w="878"/>
        <w:gridCol w:w="1478"/>
        <w:gridCol w:w="1298"/>
        <w:gridCol w:w="55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0" w:type="auto"/>
            <w:noWrap w:val="0"/>
            <w:vAlign w:val="top"/>
          </w:tcPr>
          <w:p>
            <w:pPr>
              <w:autoSpaceDE w:val="0"/>
              <w:jc w:val="center"/>
              <w:rPr>
                <w:rFonts w:ascii="宋体" w:hAnsi="宋体" w:cs="宋体"/>
                <w:kern w:val="0"/>
                <w:szCs w:val="21"/>
              </w:rPr>
            </w:pPr>
            <w:bookmarkStart w:id="60" w:name="货物一览表_index"/>
            <w:r>
              <w:rPr>
                <w:rFonts w:ascii="宋体" w:hAnsi="宋体" w:cs="宋体" w:hint="eastAsia"/>
                <w:kern w:val="0"/>
                <w:szCs w:val="21"/>
              </w:rPr>
              <w:t>序号</w:t>
            </w:r>
            <w:bookmarkEnd w:id="60"/>
          </w:p>
        </w:tc>
        <w:tc>
          <w:tcPr>
            <w:tcW w:w="0" w:type="auto"/>
            <w:noWrap w:val="0"/>
            <w:vAlign w:val="top"/>
          </w:tcPr>
          <w:p>
            <w:pPr>
              <w:autoSpaceDE w:val="0"/>
              <w:jc w:val="center"/>
              <w:rPr>
                <w:rFonts w:ascii="宋体" w:hAnsi="宋体" w:cs="宋体"/>
                <w:kern w:val="0"/>
                <w:szCs w:val="21"/>
              </w:rPr>
            </w:pPr>
            <w:bookmarkStart w:id="61" w:name="货物一览表_goodsName"/>
            <w:r>
              <w:rPr>
                <w:rFonts w:ascii="宋体" w:hAnsi="宋体" w:cs="宋体" w:hint="eastAsia"/>
                <w:kern w:val="0"/>
                <w:szCs w:val="21"/>
              </w:rPr>
              <w:t>设备名称</w:t>
            </w:r>
            <w:bookmarkEnd w:id="61"/>
          </w:p>
        </w:tc>
        <w:tc>
          <w:tcPr>
            <w:tcW w:w="0" w:type="auto"/>
            <w:noWrap w:val="0"/>
            <w:vAlign w:val="top"/>
          </w:tcPr>
          <w:p>
            <w:pPr>
              <w:autoSpaceDE w:val="0"/>
              <w:jc w:val="center"/>
              <w:rPr>
                <w:rFonts w:ascii="宋体" w:hAnsi="宋体" w:cs="宋体"/>
                <w:kern w:val="0"/>
                <w:szCs w:val="21"/>
              </w:rPr>
            </w:pPr>
            <w:bookmarkStart w:id="62" w:name="货物一览表_nums"/>
            <w:r>
              <w:rPr>
                <w:rFonts w:ascii="宋体" w:hAnsi="宋体" w:cs="宋体" w:hint="eastAsia"/>
                <w:kern w:val="0"/>
                <w:szCs w:val="21"/>
              </w:rPr>
              <w:t>采购数量</w:t>
            </w:r>
            <w:bookmarkEnd w:id="62"/>
          </w:p>
        </w:tc>
        <w:tc>
          <w:tcPr>
            <w:tcW w:w="0" w:type="auto"/>
            <w:noWrap w:val="0"/>
            <w:vAlign w:val="top"/>
          </w:tcPr>
          <w:p>
            <w:pPr>
              <w:autoSpaceDE w:val="0"/>
              <w:jc w:val="center"/>
              <w:rPr>
                <w:rFonts w:ascii="宋体" w:hAnsi="宋体" w:cs="宋体"/>
                <w:kern w:val="0"/>
                <w:szCs w:val="21"/>
              </w:rPr>
            </w:pPr>
            <w:bookmarkStart w:id="63" w:name="货物一览表_units"/>
            <w:r>
              <w:rPr>
                <w:rFonts w:ascii="宋体" w:hAnsi="宋体" w:cs="宋体" w:hint="eastAsia"/>
                <w:kern w:val="0"/>
                <w:szCs w:val="21"/>
              </w:rPr>
              <w:t>计量单位</w:t>
            </w:r>
            <w:bookmarkEnd w:id="63"/>
          </w:p>
        </w:tc>
        <w:tc>
          <w:tcPr>
            <w:tcW w:w="0" w:type="auto"/>
            <w:noWrap w:val="0"/>
            <w:vAlign w:val="top"/>
          </w:tcPr>
          <w:p>
            <w:pPr>
              <w:autoSpaceDE w:val="0"/>
              <w:jc w:val="center"/>
              <w:rPr>
                <w:rFonts w:ascii="宋体" w:hAnsi="宋体" w:cs="宋体"/>
                <w:kern w:val="0"/>
                <w:szCs w:val="21"/>
              </w:rPr>
            </w:pPr>
            <w:bookmarkStart w:id="64" w:name="货物一览表_procurementBudget"/>
            <w:r>
              <w:rPr>
                <w:rFonts w:ascii="宋体" w:hAnsi="宋体" w:cs="宋体" w:hint="eastAsia"/>
                <w:kern w:val="0"/>
                <w:szCs w:val="21"/>
              </w:rPr>
              <w:t>采购预算（元）</w:t>
            </w:r>
            <w:bookmarkEnd w:id="64"/>
          </w:p>
        </w:tc>
        <w:tc>
          <w:tcPr>
            <w:tcW w:w="0" w:type="auto"/>
            <w:noWrap w:val="0"/>
            <w:vAlign w:val="top"/>
          </w:tcPr>
          <w:p>
            <w:pPr>
              <w:autoSpaceDE w:val="0"/>
              <w:jc w:val="center"/>
              <w:rPr>
                <w:rFonts w:ascii="宋体" w:hAnsi="宋体" w:cs="宋体"/>
                <w:kern w:val="0"/>
                <w:szCs w:val="21"/>
              </w:rPr>
            </w:pPr>
            <w:bookmarkStart w:id="65" w:name="货物一览表_supplyMaterialDate"/>
            <w:r>
              <w:rPr>
                <w:rFonts w:ascii="宋体" w:hAnsi="宋体" w:cs="宋体" w:hint="eastAsia"/>
                <w:kern w:val="0"/>
                <w:szCs w:val="21"/>
              </w:rPr>
              <w:t>交货期（天）</w:t>
            </w:r>
            <w:bookmarkEnd w:id="65"/>
          </w:p>
        </w:tc>
        <w:tc>
          <w:tcPr>
            <w:tcW w:w="0" w:type="auto"/>
            <w:noWrap w:val="0"/>
            <w:vAlign w:val="top"/>
          </w:tcPr>
          <w:p>
            <w:pPr>
              <w:autoSpaceDE w:val="0"/>
              <w:autoSpaceDN w:val="0"/>
              <w:adjustRightInd w:val="0"/>
              <w:spacing w:before="48"/>
              <w:ind w:right="-20"/>
              <w:jc w:val="center"/>
              <w:rPr>
                <w:rFonts w:ascii="宋体" w:hAnsi="宋体" w:cs="宋体"/>
                <w:kern w:val="0"/>
                <w:szCs w:val="21"/>
              </w:rPr>
            </w:pPr>
            <w:bookmarkStart w:id="66" w:name="货物一览表_remark"/>
            <w:r>
              <w:rPr>
                <w:rFonts w:ascii="宋体" w:hAnsi="宋体" w:cs="宋体" w:hint="eastAsia"/>
                <w:kern w:val="0"/>
                <w:szCs w:val="21"/>
              </w:rPr>
              <w:t>备注</w:t>
            </w:r>
            <w:bookmarkEnd w:id="66"/>
          </w:p>
        </w:tc>
      </w:tr>
      <w:tr>
        <w:tblPrEx>
          <w:tblW w:w="0" w:type="auto"/>
          <w:jc w:val="center"/>
          <w:tblCellMar>
            <w:top w:w="0" w:type="dxa"/>
            <w:left w:w="108" w:type="dxa"/>
            <w:bottom w:w="0" w:type="dxa"/>
            <w:right w:w="108" w:type="dxa"/>
          </w:tblCellMar>
        </w:tblPrEx>
        <w:trPr>
          <w:jc w:val="center"/>
        </w:trPr>
        <w:tc>
          <w:tcPr>
            <w:tcW w:w="0" w:type="auto"/>
            <w:noWrap w:val="0"/>
            <w:vAlign w:val="top"/>
          </w:tcPr>
          <w:p>
            <w:pPr>
              <w:autoSpaceDE w:val="0"/>
              <w:jc w:val="center"/>
              <w:rPr>
                <w:rFonts w:ascii="宋体" w:hAnsi="宋体" w:cs="宋体"/>
                <w:kern w:val="0"/>
                <w:szCs w:val="21"/>
              </w:rPr>
            </w:pPr>
            <w:r>
              <w:rPr>
                <w:rFonts w:ascii="Calibri" w:hAnsi="Calibri"/>
                <w:szCs w:val="22"/>
              </w:rPr>
              <w:t>1</w:t>
            </w:r>
          </w:p>
        </w:tc>
        <w:tc>
          <w:tcPr>
            <w:tcW w:w="0" w:type="auto"/>
            <w:noWrap w:val="0"/>
            <w:vAlign w:val="top"/>
          </w:tcPr>
          <w:p>
            <w:pPr>
              <w:autoSpaceDE w:val="0"/>
              <w:jc w:val="center"/>
              <w:rPr>
                <w:rFonts w:ascii="宋体" w:hAnsi="宋体" w:cs="宋体"/>
                <w:kern w:val="0"/>
                <w:szCs w:val="21"/>
              </w:rPr>
            </w:pPr>
            <w:r>
              <w:rPr>
                <w:rFonts w:ascii="Calibri" w:hAnsi="Calibri" w:hint="eastAsia"/>
                <w:szCs w:val="22"/>
              </w:rPr>
              <w:t>卫星通信保障系统</w:t>
            </w:r>
          </w:p>
        </w:tc>
        <w:tc>
          <w:tcPr>
            <w:tcW w:w="0" w:type="auto"/>
            <w:noWrap w:val="0"/>
            <w:vAlign w:val="top"/>
          </w:tcPr>
          <w:p>
            <w:pPr>
              <w:autoSpaceDE w:val="0"/>
              <w:jc w:val="center"/>
              <w:rPr>
                <w:rFonts w:ascii="宋体" w:hAnsi="宋体" w:cs="宋体"/>
                <w:kern w:val="0"/>
                <w:szCs w:val="21"/>
              </w:rPr>
            </w:pPr>
            <w:r>
              <w:rPr>
                <w:rFonts w:ascii="宋体" w:hAnsi="宋体" w:cs="宋体" w:hint="eastAsia"/>
                <w:kern w:val="0"/>
                <w:szCs w:val="21"/>
              </w:rPr>
              <w:t>1</w:t>
            </w:r>
          </w:p>
        </w:tc>
        <w:tc>
          <w:tcPr>
            <w:tcW w:w="0" w:type="auto"/>
            <w:noWrap w:val="0"/>
            <w:vAlign w:val="top"/>
          </w:tcPr>
          <w:p>
            <w:pPr>
              <w:autoSpaceDE w:val="0"/>
              <w:jc w:val="center"/>
              <w:rPr>
                <w:rFonts w:ascii="宋体" w:hAnsi="宋体" w:cs="宋体"/>
                <w:kern w:val="0"/>
                <w:szCs w:val="21"/>
              </w:rPr>
            </w:pPr>
            <w:r>
              <w:rPr>
                <w:rFonts w:ascii="Calibri" w:hAnsi="Calibri" w:hint="eastAsia"/>
                <w:szCs w:val="22"/>
              </w:rPr>
              <w:t>套</w:t>
            </w:r>
          </w:p>
        </w:tc>
        <w:tc>
          <w:tcPr>
            <w:tcW w:w="0" w:type="auto"/>
            <w:noWrap w:val="0"/>
            <w:vAlign w:val="top"/>
          </w:tcPr>
          <w:p>
            <w:pPr>
              <w:autoSpaceDE w:val="0"/>
              <w:jc w:val="center"/>
              <w:rPr>
                <w:rFonts w:ascii="宋体" w:hAnsi="宋体" w:cs="宋体" w:hint="eastAsia"/>
                <w:kern w:val="0"/>
                <w:szCs w:val="21"/>
              </w:rPr>
            </w:pPr>
            <w:r>
              <w:rPr>
                <w:rFonts w:ascii="宋体" w:hAnsi="宋体" w:cs="宋体" w:hint="eastAsia"/>
                <w:kern w:val="0"/>
                <w:szCs w:val="21"/>
              </w:rPr>
              <w:t>3000000</w:t>
            </w:r>
          </w:p>
        </w:tc>
        <w:tc>
          <w:tcPr>
            <w:tcW w:w="0" w:type="auto"/>
            <w:noWrap w:val="0"/>
            <w:vAlign w:val="top"/>
          </w:tcPr>
          <w:p>
            <w:pPr>
              <w:autoSpaceDE w:val="0"/>
              <w:jc w:val="center"/>
              <w:rPr>
                <w:rFonts w:ascii="宋体" w:hAnsi="宋体" w:cs="宋体" w:hint="default"/>
                <w:kern w:val="0"/>
                <w:szCs w:val="21"/>
              </w:rPr>
            </w:pPr>
            <w:r>
              <w:rPr>
                <w:rFonts w:ascii="宋体" w:hAnsi="宋体" w:cs="宋体" w:hint="eastAsia"/>
                <w:kern w:val="0"/>
                <w:szCs w:val="21"/>
                <w:lang w:val="en-US" w:eastAsia="zh-CN"/>
              </w:rPr>
              <w:t>90</w:t>
            </w:r>
          </w:p>
        </w:tc>
        <w:tc>
          <w:tcPr>
            <w:tcW w:w="0" w:type="auto"/>
            <w:noWrap w:val="0"/>
            <w:vAlign w:val="top"/>
          </w:tcPr>
          <w:p>
            <w:pPr>
              <w:autoSpaceDE w:val="0"/>
              <w:autoSpaceDN w:val="0"/>
              <w:adjustRightInd w:val="0"/>
              <w:spacing w:before="48"/>
              <w:ind w:right="-20"/>
              <w:jc w:val="center"/>
              <w:rPr>
                <w:rFonts w:ascii="宋体" w:hAnsi="宋体" w:cs="宋体"/>
                <w:kern w:val="0"/>
                <w:szCs w:val="21"/>
              </w:rPr>
            </w:pPr>
          </w:p>
        </w:tc>
      </w:tr>
      <w:tr>
        <w:tblPrEx>
          <w:tblW w:w="0" w:type="auto"/>
          <w:jc w:val="center"/>
          <w:tblCellMar>
            <w:top w:w="0" w:type="dxa"/>
            <w:left w:w="108" w:type="dxa"/>
            <w:bottom w:w="0" w:type="dxa"/>
            <w:right w:w="108" w:type="dxa"/>
          </w:tblCellMar>
        </w:tblPrEx>
        <w:trPr>
          <w:jc w:val="center"/>
        </w:trPr>
        <w:tc>
          <w:tcPr>
            <w:tcW w:w="0" w:type="auto"/>
            <w:noWrap w:val="0"/>
            <w:vAlign w:val="top"/>
          </w:tcPr>
          <w:p>
            <w:pPr>
              <w:autoSpaceDE w:val="0"/>
              <w:jc w:val="center"/>
              <w:rPr>
                <w:rFonts w:ascii="宋体" w:hAnsi="宋体" w:cs="宋体"/>
                <w:kern w:val="0"/>
                <w:szCs w:val="21"/>
              </w:rPr>
            </w:pPr>
            <w:r>
              <w:rPr>
                <w:rFonts w:ascii="Calibri" w:hAnsi="Calibri"/>
                <w:szCs w:val="22"/>
              </w:rPr>
              <w:t>2</w:t>
            </w:r>
          </w:p>
        </w:tc>
        <w:tc>
          <w:tcPr>
            <w:tcW w:w="0" w:type="auto"/>
            <w:noWrap w:val="0"/>
            <w:vAlign w:val="top"/>
          </w:tcPr>
          <w:p>
            <w:pPr>
              <w:autoSpaceDE w:val="0"/>
              <w:jc w:val="center"/>
              <w:rPr>
                <w:rFonts w:ascii="宋体" w:hAnsi="宋体" w:cs="宋体"/>
                <w:kern w:val="0"/>
                <w:szCs w:val="21"/>
              </w:rPr>
            </w:pPr>
            <w:r>
              <w:rPr>
                <w:rFonts w:ascii="宋体" w:hAnsi="宋体" w:cs="宋体" w:hint="eastAsia"/>
                <w:sz w:val="20"/>
              </w:rPr>
              <w:t>多源融合网格高时空分辨率实况分析组件</w:t>
            </w:r>
          </w:p>
        </w:tc>
        <w:tc>
          <w:tcPr>
            <w:tcW w:w="0" w:type="auto"/>
            <w:noWrap w:val="0"/>
            <w:vAlign w:val="top"/>
          </w:tcPr>
          <w:p>
            <w:pPr>
              <w:autoSpaceDE w:val="0"/>
              <w:jc w:val="center"/>
              <w:rPr>
                <w:rFonts w:ascii="宋体" w:hAnsi="宋体" w:cs="宋体"/>
                <w:kern w:val="0"/>
                <w:szCs w:val="21"/>
              </w:rPr>
            </w:pPr>
            <w:r>
              <w:rPr>
                <w:rFonts w:ascii="宋体" w:hAnsi="宋体" w:cs="宋体" w:hint="eastAsia"/>
                <w:kern w:val="0"/>
                <w:szCs w:val="21"/>
              </w:rPr>
              <w:t>1</w:t>
            </w:r>
          </w:p>
        </w:tc>
        <w:tc>
          <w:tcPr>
            <w:tcW w:w="0" w:type="auto"/>
            <w:noWrap w:val="0"/>
            <w:vAlign w:val="top"/>
          </w:tcPr>
          <w:p>
            <w:pPr>
              <w:autoSpaceDE w:val="0"/>
              <w:jc w:val="center"/>
              <w:rPr>
                <w:rFonts w:ascii="宋体" w:hAnsi="宋体" w:cs="宋体"/>
                <w:kern w:val="0"/>
                <w:szCs w:val="21"/>
              </w:rPr>
            </w:pPr>
            <w:r>
              <w:rPr>
                <w:rFonts w:ascii="Calibri" w:hAnsi="Calibri" w:hint="eastAsia"/>
                <w:szCs w:val="22"/>
              </w:rPr>
              <w:t>套</w:t>
            </w:r>
          </w:p>
        </w:tc>
        <w:tc>
          <w:tcPr>
            <w:tcW w:w="0" w:type="auto"/>
            <w:noWrap w:val="0"/>
            <w:vAlign w:val="top"/>
          </w:tcPr>
          <w:p>
            <w:pPr>
              <w:autoSpaceDE w:val="0"/>
              <w:jc w:val="center"/>
              <w:rPr>
                <w:rFonts w:ascii="宋体" w:hAnsi="宋体" w:cs="宋体" w:hint="eastAsia"/>
                <w:kern w:val="0"/>
                <w:szCs w:val="21"/>
              </w:rPr>
            </w:pPr>
            <w:r>
              <w:rPr>
                <w:rFonts w:ascii="宋体" w:hAnsi="宋体" w:cs="宋体" w:hint="eastAsia"/>
                <w:kern w:val="0"/>
                <w:szCs w:val="21"/>
              </w:rPr>
              <w:t>1000000</w:t>
            </w:r>
          </w:p>
        </w:tc>
        <w:tc>
          <w:tcPr>
            <w:tcW w:w="0" w:type="auto"/>
            <w:noWrap w:val="0"/>
            <w:vAlign w:val="top"/>
          </w:tcPr>
          <w:p>
            <w:pPr>
              <w:autoSpaceDE w:val="0"/>
              <w:jc w:val="center"/>
              <w:rPr>
                <w:rFonts w:ascii="宋体" w:hAnsi="宋体" w:cs="宋体" w:hint="default"/>
                <w:kern w:val="0"/>
                <w:szCs w:val="21"/>
              </w:rPr>
            </w:pPr>
            <w:r>
              <w:rPr>
                <w:rFonts w:ascii="宋体" w:hAnsi="宋体" w:cs="宋体" w:hint="eastAsia"/>
                <w:kern w:val="0"/>
                <w:szCs w:val="21"/>
                <w:lang w:val="en-US" w:eastAsia="zh-CN"/>
              </w:rPr>
              <w:t>90</w:t>
            </w:r>
          </w:p>
        </w:tc>
        <w:tc>
          <w:tcPr>
            <w:tcW w:w="0" w:type="auto"/>
            <w:noWrap w:val="0"/>
            <w:vAlign w:val="top"/>
          </w:tcPr>
          <w:p>
            <w:pPr>
              <w:autoSpaceDE w:val="0"/>
              <w:autoSpaceDN w:val="0"/>
              <w:adjustRightInd w:val="0"/>
              <w:spacing w:before="48"/>
              <w:ind w:right="-20"/>
              <w:jc w:val="center"/>
              <w:rPr>
                <w:rFonts w:ascii="宋体" w:hAnsi="宋体" w:cs="宋体"/>
                <w:kern w:val="0"/>
                <w:szCs w:val="21"/>
              </w:rPr>
            </w:pPr>
          </w:p>
        </w:tc>
      </w:tr>
      <w:tr>
        <w:tblPrEx>
          <w:tblW w:w="0" w:type="auto"/>
          <w:jc w:val="center"/>
          <w:tblCellMar>
            <w:top w:w="0" w:type="dxa"/>
            <w:left w:w="108" w:type="dxa"/>
            <w:bottom w:w="0" w:type="dxa"/>
            <w:right w:w="108" w:type="dxa"/>
          </w:tblCellMar>
        </w:tblPrEx>
        <w:trPr>
          <w:jc w:val="center"/>
        </w:trPr>
        <w:tc>
          <w:tcPr>
            <w:tcW w:w="0" w:type="auto"/>
            <w:noWrap w:val="0"/>
            <w:vAlign w:val="top"/>
          </w:tcPr>
          <w:p>
            <w:pPr>
              <w:autoSpaceDE w:val="0"/>
              <w:jc w:val="center"/>
              <w:rPr>
                <w:rFonts w:ascii="宋体" w:hAnsi="宋体" w:cs="宋体"/>
                <w:kern w:val="0"/>
                <w:szCs w:val="21"/>
              </w:rPr>
            </w:pPr>
            <w:r>
              <w:rPr>
                <w:rFonts w:ascii="Calibri" w:hAnsi="Calibri"/>
                <w:szCs w:val="22"/>
              </w:rPr>
              <w:t>合计</w:t>
            </w:r>
          </w:p>
        </w:tc>
        <w:tc>
          <w:tcPr>
            <w:tcW w:w="0" w:type="auto"/>
            <w:gridSpan w:val="6"/>
            <w:noWrap w:val="0"/>
            <w:vAlign w:val="top"/>
          </w:tcPr>
          <w:p>
            <w:pPr>
              <w:autoSpaceDE w:val="0"/>
              <w:jc w:val="center"/>
              <w:rPr>
                <w:rFonts w:ascii="宋体" w:hAnsi="宋体" w:cs="宋体"/>
                <w:kern w:val="0"/>
                <w:szCs w:val="21"/>
              </w:rPr>
            </w:pPr>
          </w:p>
        </w:tc>
      </w:tr>
    </w:tbl>
    <w:p>
      <w:pPr>
        <w:spacing w:line="360" w:lineRule="auto"/>
        <w:ind w:firstLine="420" w:firstLineChars="200"/>
        <w:rPr>
          <w:rFonts w:ascii="宋体" w:hAnsi="宋体" w:hint="eastAsia"/>
          <w:szCs w:val="21"/>
        </w:rPr>
      </w:pPr>
      <w:r>
        <w:rPr>
          <w:rFonts w:ascii="宋体" w:hAnsi="宋体" w:hint="eastAsia"/>
          <w:szCs w:val="21"/>
        </w:rPr>
        <w:t>注：交货期从采购合同签订之日起计算。</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60"/>
        <w:gridCol w:w="2204"/>
        <w:gridCol w:w="591"/>
        <w:gridCol w:w="821"/>
        <w:gridCol w:w="936"/>
        <w:gridCol w:w="3299"/>
        <w:gridCol w:w="35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7" w:name="货物一览表_index_0"/>
            <w:r>
              <w:rPr>
                <w:rFonts w:asciiTheme="minorEastAsia" w:eastAsiaTheme="minorEastAsia" w:hAnsiTheme="minorEastAsia" w:cstheme="minorEastAsia" w:hint="eastAsia"/>
                <w:kern w:val="0"/>
                <w:szCs w:val="21"/>
              </w:rPr>
              <w:t>序号</w:t>
            </w:r>
            <w:bookmarkEnd w:id="67"/>
          </w:p>
        </w:tc>
        <w:tc>
          <w:tcPr>
            <w:tcW w:w="1135" w:type="dxa"/>
          </w:tcPr>
          <w:p>
            <w:pPr>
              <w:autoSpaceDE w:val="0"/>
              <w:jc w:val="center"/>
              <w:rPr>
                <w:rFonts w:asciiTheme="minorEastAsia" w:hAnsiTheme="minorEastAsia" w:cstheme="minorEastAsia"/>
                <w:kern w:val="0"/>
                <w:szCs w:val="21"/>
              </w:rPr>
            </w:pPr>
            <w:bookmarkStart w:id="68" w:name="货物一览表_goodsName_0"/>
            <w:r>
              <w:rPr>
                <w:rFonts w:asciiTheme="minorEastAsia" w:eastAsiaTheme="minorEastAsia" w:hAnsiTheme="minorEastAsia" w:cstheme="minorEastAsia" w:hint="eastAsia"/>
                <w:kern w:val="0"/>
                <w:szCs w:val="21"/>
              </w:rPr>
              <w:t>设备名称</w:t>
            </w:r>
            <w:bookmarkEnd w:id="68"/>
          </w:p>
        </w:tc>
        <w:tc>
          <w:tcPr>
            <w:tcW w:w="965" w:type="dxa"/>
          </w:tcPr>
          <w:p>
            <w:pPr>
              <w:autoSpaceDE w:val="0"/>
              <w:jc w:val="center"/>
              <w:rPr>
                <w:rFonts w:asciiTheme="minorEastAsia" w:hAnsiTheme="minorEastAsia" w:cstheme="minorEastAsia"/>
                <w:kern w:val="0"/>
                <w:szCs w:val="21"/>
              </w:rPr>
            </w:pPr>
            <w:bookmarkStart w:id="69" w:name="货物一览表_nums_0"/>
            <w:r>
              <w:rPr>
                <w:rFonts w:asciiTheme="minorEastAsia" w:eastAsiaTheme="minorEastAsia" w:hAnsiTheme="minorEastAsia" w:cstheme="minorEastAsia" w:hint="eastAsia"/>
                <w:kern w:val="0"/>
                <w:szCs w:val="21"/>
              </w:rPr>
              <w:t>采购数量</w:t>
            </w:r>
            <w:bookmarkEnd w:id="69"/>
          </w:p>
        </w:tc>
        <w:tc>
          <w:tcPr>
            <w:tcW w:w="1062" w:type="dxa"/>
          </w:tcPr>
          <w:p>
            <w:pPr>
              <w:autoSpaceDE w:val="0"/>
              <w:jc w:val="center"/>
              <w:rPr>
                <w:rFonts w:asciiTheme="minorEastAsia" w:hAnsiTheme="minorEastAsia" w:cstheme="minorEastAsia"/>
                <w:kern w:val="0"/>
                <w:szCs w:val="21"/>
              </w:rPr>
            </w:pPr>
            <w:bookmarkStart w:id="70" w:name="货物一览表_units_0"/>
            <w:r>
              <w:rPr>
                <w:rFonts w:asciiTheme="minorEastAsia" w:eastAsiaTheme="minorEastAsia" w:hAnsiTheme="minorEastAsia" w:cstheme="minorEastAsia" w:hint="eastAsia"/>
                <w:kern w:val="0"/>
                <w:szCs w:val="21"/>
              </w:rPr>
              <w:t>计量单位</w:t>
            </w:r>
            <w:bookmarkEnd w:id="70"/>
          </w:p>
        </w:tc>
        <w:tc>
          <w:tcPr>
            <w:tcW w:w="1220" w:type="dxa"/>
          </w:tcPr>
          <w:p>
            <w:pPr>
              <w:autoSpaceDE w:val="0"/>
              <w:jc w:val="center"/>
              <w:rPr>
                <w:rFonts w:asciiTheme="minorEastAsia" w:hAnsiTheme="minorEastAsia" w:cstheme="minorEastAsia"/>
                <w:kern w:val="0"/>
                <w:szCs w:val="21"/>
              </w:rPr>
            </w:pPr>
            <w:bookmarkStart w:id="71" w:name="货物一览表_procurementBudget_0"/>
            <w:r>
              <w:rPr>
                <w:rFonts w:asciiTheme="minorEastAsia" w:eastAsiaTheme="minorEastAsia" w:hAnsiTheme="minorEastAsia" w:cstheme="minorEastAsia" w:hint="eastAsia"/>
                <w:kern w:val="0"/>
                <w:szCs w:val="21"/>
              </w:rPr>
              <w:t>采购预算（元）</w:t>
            </w:r>
            <w:bookmarkEnd w:id="71"/>
          </w:p>
        </w:tc>
        <w:tc>
          <w:tcPr>
            <w:tcW w:w="1329" w:type="dxa"/>
          </w:tcPr>
          <w:p>
            <w:pPr>
              <w:autoSpaceDE w:val="0"/>
              <w:jc w:val="center"/>
              <w:rPr>
                <w:rFonts w:asciiTheme="minorEastAsia" w:hAnsiTheme="minorEastAsia" w:cstheme="minorEastAsia" w:hint="eastAsia"/>
                <w:kern w:val="0"/>
                <w:szCs w:val="21"/>
              </w:rPr>
            </w:pPr>
            <w:bookmarkStart w:id="72" w:name="货物一览表_supplyMaterialDate_0"/>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3" w:name="货物一览表_remark_0"/>
            <w:r>
              <w:rPr>
                <w:rFonts w:asciiTheme="minorEastAsia" w:eastAsiaTheme="minorEastAsia" w:hAnsiTheme="minorEastAsia" w:cstheme="minorEastAsia" w:hint="eastAsia"/>
                <w:kern w:val="0"/>
                <w:szCs w:val="21"/>
              </w:rPr>
              <w:t>备注</w:t>
            </w:r>
            <w:bookmarkEnd w:id="7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多源融合网格高时空分辨率实况分析组件</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1,000,000.00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省级卫星通信保障系统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3,000,000.00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5"/>
        <w:gridCol w:w="1870"/>
        <w:gridCol w:w="2725"/>
        <w:gridCol w:w="445"/>
        <w:gridCol w:w="1015"/>
        <w:gridCol w:w="846"/>
        <w:gridCol w:w="730"/>
        <w:gridCol w:w="44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作业指挥室(001056007002)</w:t>
            </w:r>
          </w:p>
        </w:tc>
        <w:tc>
          <w:tcPr/>
          <w:p>
            <w:r>
              <w:t>多源融合网格高时空分辨率实况分析组件</w:t>
            </w:r>
          </w:p>
        </w:tc>
        <w:tc>
          <w:tcPr/>
          <w:p>
            <w:r>
              <w:t>1</w:t>
            </w:r>
          </w:p>
        </w:tc>
        <w:tc>
          <w:tcPr/>
          <w:p>
            <w:r>
              <w:t>1000000.00</w:t>
            </w:r>
          </w:p>
        </w:tc>
        <w:tc>
          <w:tcPr>
            <w:vMerge w:val="restart"/>
          </w:tcPr>
          <w:p>
            <w:r>
              <w:t xml:space="preserve">4000000.00  </w:t>
            </w:r>
          </w:p>
        </w:tc>
        <w:tc>
          <w:tcPr/>
          <w:p/>
        </w:tc>
        <w:tc>
          <w:tcPr/>
          <w:p/>
        </w:tc>
      </w:tr>
      <w:tr>
        <w:tblPrEx>
          <w:tblW w:w="5000" w:type="pct"/>
          <w:tblCellMar>
            <w:left w:w="108" w:type="dxa"/>
            <w:right w:w="108" w:type="dxa"/>
          </w:tblCellMar>
        </w:tblPrEx>
        <w:tc>
          <w:tcPr/>
          <w:p>
            <w:r>
              <w:t>2</w:t>
            </w:r>
          </w:p>
        </w:tc>
        <w:tc>
          <w:tcPr>
            <w:vMerge/>
          </w:tcPr>
          <w:p>
            <w:r>
              <w:t>作业指挥室(001056007002)</w:t>
            </w:r>
          </w:p>
        </w:tc>
        <w:tc>
          <w:tcPr/>
          <w:p>
            <w:r>
              <w:t>省级卫星通信保障系统</w:t>
            </w:r>
          </w:p>
        </w:tc>
        <w:tc>
          <w:tcPr/>
          <w:p>
            <w:r>
              <w:t>1</w:t>
            </w:r>
          </w:p>
        </w:tc>
        <w:tc>
          <w:tcPr/>
          <w:p>
            <w:r>
              <w:t>3000000.00</w:t>
            </w:r>
          </w:p>
        </w:tc>
        <w:tc>
          <w:tcPr>
            <w:vMerge/>
          </w:tcPr>
          <w:p>
            <w:r>
              <w:t xml:space="preserve">4000000.00  </w:t>
            </w:r>
          </w:p>
        </w:tc>
        <w:tc>
          <w:tcPr/>
          <w:p/>
        </w:tc>
        <w:tc>
          <w:tcPr/>
          <w:p/>
        </w:tc>
      </w:tr>
    </w:tbl>
    <w:p w:rsidR="00A77B3E"/>
    <w:p>
      <w:pPr>
        <w:spacing w:line="360" w:lineRule="auto"/>
        <w:rPr>
          <w:rFonts w:ascii="宋体" w:hAnsi="宋体"/>
          <w:szCs w:val="21"/>
        </w:rPr>
      </w:pPr>
      <w:bookmarkEnd w:id="7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E21DB3">
      <w:pPr>
        <w:tabs>
          <w:tab w:val="left" w:pos="1573"/>
        </w:tabs>
        <w:adjustRightInd w:val="0"/>
        <w:snapToGrid w:val="0"/>
        <w:spacing w:line="360" w:lineRule="auto"/>
        <w:jc w:val="center"/>
        <w:outlineLvl w:val="1"/>
        <w:rPr>
          <w:b/>
          <w:bCs/>
          <w:sz w:val="30"/>
          <w:szCs w:val="30"/>
        </w:rPr>
      </w:pPr>
      <w:bookmarkStart w:id="7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E21DB3">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F1F0D">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E21DB3">
            <w:pPr>
              <w:rPr>
                <w:sz w:val="18"/>
                <w:szCs w:val="18"/>
              </w:rPr>
            </w:pPr>
            <w:r>
              <w:rPr>
                <w:rFonts w:hint="eastAsia"/>
                <w:sz w:val="18"/>
                <w:szCs w:val="18"/>
              </w:rPr>
              <w:t>序号</w:t>
            </w:r>
          </w:p>
        </w:tc>
        <w:tc>
          <w:tcPr>
            <w:tcW w:w="898" w:type="dxa"/>
            <w:vAlign w:val="center"/>
          </w:tcPr>
          <w:p w:rsidR="00E21DB3">
            <w:pPr>
              <w:jc w:val="center"/>
              <w:rPr>
                <w:sz w:val="18"/>
                <w:szCs w:val="18"/>
              </w:rPr>
            </w:pPr>
            <w:r>
              <w:rPr>
                <w:rFonts w:hint="eastAsia"/>
                <w:sz w:val="18"/>
                <w:szCs w:val="18"/>
              </w:rPr>
              <w:t>对应</w:t>
            </w:r>
          </w:p>
          <w:p w:rsidR="00E21DB3">
            <w:pPr>
              <w:jc w:val="center"/>
              <w:rPr>
                <w:sz w:val="18"/>
                <w:szCs w:val="18"/>
              </w:rPr>
            </w:pPr>
            <w:r>
              <w:rPr>
                <w:rFonts w:hint="eastAsia"/>
                <w:sz w:val="18"/>
                <w:szCs w:val="18"/>
              </w:rPr>
              <w:t>条款号</w:t>
            </w:r>
          </w:p>
        </w:tc>
        <w:tc>
          <w:tcPr>
            <w:tcW w:w="7347" w:type="dxa"/>
            <w:vAlign w:val="center"/>
          </w:tcPr>
          <w:p w:rsidR="00E21DB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F1F0D">
        <w:tblPrEx>
          <w:tblW w:w="8789" w:type="dxa"/>
          <w:tblLayout w:type="fixed"/>
          <w:tblLook w:val="04A0"/>
        </w:tblPrEx>
        <w:trPr>
          <w:cantSplit/>
        </w:trPr>
        <w:tc>
          <w:tcPr>
            <w:tcW w:w="8789" w:type="dxa"/>
            <w:gridSpan w:val="3"/>
            <w:vAlign w:val="center"/>
          </w:tcPr>
          <w:p w:rsidR="00E21DB3">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F1F0D">
        <w:tblPrEx>
          <w:tblW w:w="8789" w:type="dxa"/>
          <w:tblLayout w:type="fixed"/>
          <w:tblLook w:val="04A0"/>
        </w:tblPrEx>
        <w:trPr>
          <w:cantSplit/>
        </w:trPr>
        <w:tc>
          <w:tcPr>
            <w:tcW w:w="544" w:type="dxa"/>
            <w:vAlign w:val="center"/>
          </w:tcPr>
          <w:p w:rsidR="00E21DB3">
            <w:pPr>
              <w:numPr>
                <w:ilvl w:val="0"/>
                <w:numId w:val="13"/>
              </w:numPr>
              <w:rPr>
                <w:rFonts w:ascii="宋体" w:hAnsi="宋体"/>
                <w:sz w:val="18"/>
                <w:szCs w:val="18"/>
              </w:rPr>
            </w:pPr>
          </w:p>
        </w:tc>
        <w:tc>
          <w:tcPr>
            <w:tcW w:w="898" w:type="dxa"/>
            <w:vAlign w:val="center"/>
          </w:tcPr>
          <w:p w:rsidR="00E21DB3">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E21DB3">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kern w:val="0"/>
                <w:sz w:val="18"/>
                <w:szCs w:val="18"/>
              </w:rPr>
              <w:t>无</w:t>
            </w:r>
          </w:p>
        </w:tc>
      </w:tr>
      <w:tr w:rsidTr="00EF1F0D">
        <w:tblPrEx>
          <w:tblW w:w="8789" w:type="dxa"/>
          <w:tblLayout w:type="fixed"/>
          <w:tblLook w:val="04A0"/>
        </w:tblPrEx>
        <w:trPr>
          <w:cantSplit/>
        </w:trPr>
        <w:tc>
          <w:tcPr>
            <w:tcW w:w="8789" w:type="dxa"/>
            <w:gridSpan w:val="3"/>
            <w:vAlign w:val="center"/>
          </w:tcPr>
          <w:p w:rsidR="00E21DB3">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F1F0D">
        <w:tblPrEx>
          <w:tblW w:w="8789" w:type="dxa"/>
          <w:tblLayout w:type="fixed"/>
          <w:tblLook w:val="04A0"/>
        </w:tblPrEx>
        <w:trPr>
          <w:cantSplit/>
        </w:trPr>
        <w:tc>
          <w:tcPr>
            <w:tcW w:w="544" w:type="dxa"/>
            <w:vAlign w:val="center"/>
          </w:tcPr>
          <w:p w:rsidR="00E21DB3">
            <w:pPr>
              <w:numPr>
                <w:ilvl w:val="0"/>
                <w:numId w:val="13"/>
              </w:numPr>
              <w:rPr>
                <w:rFonts w:ascii="宋体" w:hAnsi="宋体"/>
                <w:sz w:val="18"/>
                <w:szCs w:val="18"/>
              </w:rPr>
            </w:pPr>
          </w:p>
        </w:tc>
        <w:tc>
          <w:tcPr>
            <w:tcW w:w="898" w:type="dxa"/>
            <w:vAlign w:val="center"/>
          </w:tcPr>
          <w:p w:rsidR="00E21DB3">
            <w:pPr>
              <w:jc w:val="center"/>
              <w:rPr>
                <w:rFonts w:ascii="宋体" w:hAnsi="宋体"/>
                <w:sz w:val="18"/>
                <w:szCs w:val="18"/>
              </w:rPr>
            </w:pPr>
          </w:p>
        </w:tc>
        <w:tc>
          <w:tcPr>
            <w:tcW w:w="7347" w:type="dxa"/>
            <w:vAlign w:val="center"/>
          </w:tcPr>
          <w:p w:rsidR="00E21DB3">
            <w:pPr>
              <w:tabs>
                <w:tab w:val="left" w:pos="709"/>
              </w:tabs>
              <w:spacing w:line="360" w:lineRule="auto"/>
              <w:jc w:val="left"/>
              <w:rPr>
                <w:rFonts w:ascii="宋体" w:hAnsi="宋体"/>
                <w:sz w:val="18"/>
                <w:szCs w:val="18"/>
              </w:rPr>
            </w:pPr>
            <w:r>
              <w:rPr>
                <w:rFonts w:ascii="宋体" w:hAnsi="宋体" w:cs="微软雅黑" w:hint="eastAsia"/>
                <w:b/>
                <w:kern w:val="0"/>
                <w:sz w:val="18"/>
                <w:szCs w:val="18"/>
              </w:rPr>
              <w:t>无</w:t>
            </w:r>
          </w:p>
        </w:tc>
      </w:tr>
    </w:tbl>
    <w:p w:rsidR="00E21DB3">
      <w:pPr>
        <w:spacing w:before="156" w:beforeLines="50" w:line="360" w:lineRule="auto"/>
        <w:ind w:firstLine="420"/>
      </w:pPr>
      <w:r>
        <w:rPr>
          <w:rFonts w:ascii="宋体" w:hAnsi="宋体" w:hint="eastAsia"/>
          <w:szCs w:val="21"/>
        </w:rPr>
        <w:t>注：根据项目具体情况，对投标人有具体</w:t>
      </w:r>
      <w:r>
        <w:rPr>
          <w:rFonts w:ascii="宋体" w:hAnsi="宋体" w:hint="eastAsia"/>
          <w:szCs w:val="21"/>
        </w:rPr>
        <w:t>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FE"/>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FE"/>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tabs>
          <w:tab w:val="left" w:pos="1573"/>
        </w:tabs>
        <w:adjustRightInd w:val="0"/>
        <w:snapToGrid w:val="0"/>
        <w:spacing w:line="360" w:lineRule="auto"/>
        <w:ind w:firstLine="630" w:firstLineChars="300"/>
        <w:jc w:val="left"/>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p>
    <w:p>
      <w:pPr>
        <w:tabs>
          <w:tab w:val="left" w:pos="1573"/>
        </w:tabs>
        <w:adjustRightInd w:val="0"/>
        <w:snapToGrid w:val="0"/>
        <w:spacing w:line="360" w:lineRule="auto"/>
        <w:ind w:firstLine="630" w:firstLineChars="300"/>
        <w:jc w:val="left"/>
        <w:rPr>
          <w:rFonts w:ascii="宋体" w:eastAsia="宋体" w:hAnsi="宋体" w:cs="Times New Roman"/>
          <w:szCs w:val="21"/>
          <w:highlight w:val="none"/>
        </w:rPr>
      </w:pPr>
      <w:r>
        <w:rPr>
          <w:rFonts w:ascii="宋体" w:eastAsia="宋体" w:hAnsi="宋体" w:hint="eastAsia"/>
          <w:szCs w:val="21"/>
          <w:highlight w:val="none"/>
          <w:lang w:val="en-US" w:eastAsia="zh-CN"/>
        </w:rPr>
        <w:t>1）</w:t>
      </w:r>
      <w:r>
        <w:rPr>
          <w:rFonts w:ascii="宋体" w:eastAsia="宋体" w:hAnsi="宋体" w:cs="Times New Roman" w:hint="eastAsia"/>
          <w:szCs w:val="21"/>
          <w:highlight w:val="none"/>
        </w:rPr>
        <w:t>合同生效后付款：双方签署合同后7个工作日内，甲方向乙方支付合同总金额的</w:t>
      </w:r>
      <w:r>
        <w:rPr>
          <w:rFonts w:ascii="宋体" w:eastAsia="宋体" w:hAnsi="宋体" w:cs="微软雅黑" w:hint="eastAsia"/>
          <w:b/>
          <w:color w:val="0000FF"/>
          <w:kern w:val="0"/>
          <w:szCs w:val="21"/>
          <w:highlight w:val="none"/>
          <w:lang w:val="en-US" w:eastAsia="zh-CN"/>
        </w:rPr>
        <w:t>50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630" w:firstLineChars="300"/>
        <w:jc w:val="left"/>
        <w:rPr>
          <w:rFonts w:ascii="宋体" w:eastAsia="宋体" w:hAnsi="宋体" w:cs="Times New Roman"/>
          <w:szCs w:val="21"/>
          <w:highlight w:val="none"/>
        </w:rPr>
      </w:pPr>
      <w:r>
        <w:rPr>
          <w:rFonts w:ascii="宋体" w:eastAsia="宋体" w:hAnsi="宋体" w:cs="Times New Roman" w:hint="eastAsia"/>
          <w:szCs w:val="21"/>
          <w:highlight w:val="none"/>
          <w:lang w:val="en-US" w:eastAsia="zh-CN"/>
        </w:rPr>
        <w:t>2）</w:t>
      </w:r>
      <w:r>
        <w:rPr>
          <w:rFonts w:ascii="宋体" w:eastAsia="宋体" w:hAnsi="宋体" w:cs="Times New Roman" w:hint="eastAsia"/>
          <w:szCs w:val="21"/>
          <w:highlight w:val="none"/>
          <w:lang w:eastAsia="zh-CN"/>
        </w:rPr>
        <w:t>完成合同</w:t>
      </w:r>
      <w:r>
        <w:rPr>
          <w:rFonts w:ascii="宋体" w:eastAsia="宋体" w:hAnsi="宋体" w:cs="Times New Roman" w:hint="eastAsia"/>
          <w:szCs w:val="21"/>
          <w:highlight w:val="none"/>
        </w:rPr>
        <w:t>验收后付款：7个工作日内，甲方向乙方支付合同总金额的</w:t>
      </w:r>
      <w:r>
        <w:rPr>
          <w:rFonts w:ascii="宋体" w:eastAsia="宋体" w:hAnsi="宋体" w:cs="微软雅黑" w:hint="eastAsia"/>
          <w:b/>
          <w:color w:val="0000FF"/>
          <w:kern w:val="0"/>
          <w:szCs w:val="21"/>
          <w:highlight w:val="none"/>
          <w:lang w:val="en-US" w:eastAsia="zh-CN"/>
        </w:rPr>
        <w:t>40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pPr>
        <w:snapToGrid w:val="0"/>
        <w:spacing w:line="400" w:lineRule="exact"/>
        <w:ind w:firstLine="630" w:firstLineChars="300"/>
        <w:rPr>
          <w:highlight w:val="none"/>
        </w:rPr>
      </w:pPr>
      <w:r>
        <w:rPr>
          <w:rFonts w:ascii="宋体" w:eastAsia="宋体" w:hAnsi="宋体" w:cs="Times New Roman" w:hint="eastAsia"/>
          <w:szCs w:val="21"/>
          <w:highlight w:val="none"/>
          <w:lang w:val="en-US" w:eastAsia="zh-CN"/>
        </w:rPr>
        <w:t>3）</w:t>
      </w:r>
      <w:r>
        <w:rPr>
          <w:rFonts w:ascii="宋体" w:eastAsia="宋体" w:hAnsi="宋体" w:cs="Times New Roman" w:hint="eastAsia"/>
          <w:szCs w:val="21"/>
          <w:highlight w:val="none"/>
          <w:lang w:eastAsia="zh-CN"/>
        </w:rPr>
        <w:t>完成项目终验</w:t>
      </w:r>
      <w:r>
        <w:rPr>
          <w:rFonts w:ascii="宋体" w:eastAsia="宋体" w:hAnsi="宋体" w:cs="Times New Roman" w:hint="eastAsia"/>
          <w:szCs w:val="21"/>
          <w:highlight w:val="none"/>
        </w:rPr>
        <w:t>后付款</w:t>
      </w:r>
      <w:r>
        <w:rPr>
          <w:rFonts w:ascii="宋体" w:eastAsia="宋体" w:hAnsi="宋体" w:cs="Times New Roman" w:hint="eastAsia"/>
          <w:szCs w:val="21"/>
          <w:highlight w:val="none"/>
          <w:lang w:eastAsia="zh-CN"/>
        </w:rPr>
        <w:t>：</w:t>
      </w:r>
      <w:r>
        <w:rPr>
          <w:rFonts w:ascii="宋体" w:eastAsia="宋体" w:hAnsi="宋体" w:cs="Times New Roman" w:hint="eastAsia"/>
          <w:szCs w:val="21"/>
          <w:highlight w:val="none"/>
        </w:rPr>
        <w:t>7个工作日内，甲方向乙方支付合同总金额的</w:t>
      </w:r>
      <w:r>
        <w:rPr>
          <w:rFonts w:ascii="宋体" w:eastAsia="宋体" w:hAnsi="宋体" w:cs="微软雅黑" w:hint="eastAsia"/>
          <w:b/>
          <w:color w:val="0000FF"/>
          <w:kern w:val="0"/>
          <w:szCs w:val="21"/>
          <w:highlight w:val="none"/>
          <w:lang w:val="en-US" w:eastAsia="zh-CN"/>
        </w:rPr>
        <w:t>10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转账</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sz w:val="21"/>
          <w:highlight w:val="none"/>
          <w:u w:val="single"/>
        </w:rPr>
        <w:t xml:space="preserve"> 合同总额 </w:t>
      </w:r>
      <w:r>
        <w:rPr>
          <w:rFonts w:ascii="宋体" w:eastAsia="宋体" w:hAnsi="宋体" w:cs="宋体" w:hint="eastAsia"/>
          <w:sz w:val="21"/>
          <w:highlight w:val="none"/>
          <w:u w:val="single"/>
          <w:lang w:val="en-US" w:eastAsia="zh-CN"/>
        </w:rPr>
        <w:t>5</w:t>
      </w:r>
      <w:r>
        <w:rPr>
          <w:rFonts w:ascii="宋体" w:eastAsia="宋体" w:hAnsi="宋体" w:cs="宋体" w:hint="eastAsia"/>
          <w:sz w:val="21"/>
          <w:highlight w:val="none"/>
          <w:u w:val="single"/>
        </w:rPr>
        <w:t xml:space="preserve"> %，即￥    元（大写：人民币   元整）</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r>
        <w:rPr>
          <w:rFonts w:ascii="宋体" w:hAnsi="宋体" w:cs="宋体" w:hint="eastAsia"/>
          <w:bCs/>
          <w:szCs w:val="21"/>
          <w:highlight w:val="none"/>
          <w:u w:val="single"/>
          <w:lang w:val="en-US" w:eastAsia="zh-CN"/>
        </w:rPr>
        <w:t>12个月</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hint="eastAsia"/>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0"/>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lang w:eastAsia="zh-CN"/>
        </w:rPr>
        <w:t>（</w:t>
      </w:r>
      <w:r>
        <w:rPr>
          <w:rFonts w:ascii="宋体" w:eastAsia="宋体" w:hAnsi="宋体" w:cs="宋体" w:hint="eastAsia"/>
          <w:szCs w:val="21"/>
          <w:lang w:val="en-US" w:eastAsia="zh-CN"/>
        </w:rPr>
        <w:t>6</w:t>
      </w:r>
      <w:r>
        <w:rPr>
          <w:rFonts w:ascii="宋体" w:eastAsia="宋体" w:hAnsi="宋体" w:cs="宋体" w:hint="eastAsia"/>
          <w:szCs w:val="21"/>
          <w:lang w:eastAsia="zh-CN"/>
        </w:rPr>
        <w:t>）</w:t>
      </w: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01"/>
        <w:gridCol w:w="450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adjustRightInd w:val="0"/>
        <w:snapToGrid w:val="0"/>
        <w:spacing w:line="400" w:lineRule="exact"/>
        <w:ind w:firstLine="420" w:firstLineChars="200"/>
        <w:rPr>
          <w:rFonts w:ascii="宋体" w:hAnsi="宋体" w:cs="宋体"/>
          <w:szCs w:val="21"/>
          <w:highlight w:val="none"/>
          <w:u w:val="single"/>
        </w:rPr>
      </w:pP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9" w:name="_Toc27624"/>
      <w:r>
        <w:rPr>
          <w:rFonts w:ascii="黑体" w:hAnsi="黑体" w:hint="eastAsia"/>
          <w:b w:val="0"/>
          <w:bCs w:val="0"/>
          <w:sz w:val="28"/>
          <w:szCs w:val="28"/>
          <w:highlight w:val="none"/>
        </w:rPr>
        <w:t>第二节 政府采购合同通用条款</w:t>
      </w:r>
      <w:bookmarkEnd w:id="79"/>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80"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80"/>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1"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6"/>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altName w:val="方正黑体_GBK"/>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altName w:val="方正黑体_GBK"/>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DejaVu Sans"/>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2000000000000000000"/>
    <w:charset w:val="86"/>
    <w:family w:val="auto"/>
    <w:pitch w:val="default"/>
    <w:sig w:usb0="00000001" w:usb1="08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汉仪书宋二S">
    <w:altName w:val="方正书宋_GBK"/>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1DB3"/>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