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631711B6">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14:paraId="42EAD322">
      <w:pPr>
        <w:spacing w:line="360" w:lineRule="auto"/>
        <w:jc w:val="center"/>
        <w:rPr>
          <w:b/>
          <w:sz w:val="28"/>
          <w:szCs w:val="28"/>
          <w:highlight w:val="none"/>
        </w:rPr>
      </w:pPr>
    </w:p>
    <w:p w14:paraId="3461CD21">
      <w:pPr>
        <w:spacing w:line="360" w:lineRule="auto"/>
        <w:jc w:val="center"/>
        <w:rPr>
          <w:b/>
          <w:sz w:val="28"/>
          <w:szCs w:val="28"/>
          <w:highlight w:val="none"/>
        </w:rPr>
      </w:pPr>
    </w:p>
    <w:p w14:paraId="0A7CEE9B">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0939771A">
      <w:pPr>
        <w:spacing w:line="360" w:lineRule="auto"/>
        <w:jc w:val="center"/>
        <w:rPr>
          <w:rFonts w:ascii="宋体" w:hAnsi="宋体"/>
          <w:b/>
          <w:sz w:val="48"/>
          <w:highlight w:val="none"/>
        </w:rPr>
      </w:pPr>
      <w:r>
        <w:rPr>
          <w:rFonts w:ascii="宋体" w:hAnsi="宋体" w:hint="eastAsia"/>
          <w:b/>
          <w:sz w:val="48"/>
          <w:highlight w:val="none"/>
        </w:rPr>
        <w:t>（范本，货物类适用）</w:t>
      </w:r>
    </w:p>
    <w:p w14:paraId="4BC8AA14">
      <w:pPr>
        <w:spacing w:line="360" w:lineRule="auto"/>
        <w:jc w:val="center"/>
        <w:rPr>
          <w:sz w:val="24"/>
          <w:szCs w:val="24"/>
          <w:highlight w:val="none"/>
        </w:rPr>
      </w:pPr>
    </w:p>
    <w:p w14:paraId="6CDD39A7">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2026年江苏省短临工程-相干多普勒测风激光雷达（远距型）、集成式交通气象监测仪、移动式观测设备采购项目</w:t>
      </w:r>
      <w:bookmarkEnd w:id="0"/>
    </w:p>
    <w:p w14:paraId="65957E7C">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ZQCD-26227</w:t>
      </w:r>
      <w:bookmarkEnd w:id="1"/>
    </w:p>
    <w:p w14:paraId="5F74C0DE">
      <w:pPr>
        <w:adjustRightInd w:val="0"/>
        <w:snapToGrid w:val="0"/>
        <w:spacing w:line="360" w:lineRule="auto"/>
        <w:ind w:firstLine="470" w:firstLineChars="147"/>
        <w:jc w:val="left"/>
        <w:rPr>
          <w:rFonts w:ascii="仿宋_GB2312" w:eastAsia="仿宋_GB2312" w:hAnsi="宋体"/>
          <w:b/>
          <w:sz w:val="32"/>
          <w:szCs w:val="32"/>
          <w:highlight w:val="none"/>
        </w:rPr>
      </w:pPr>
    </w:p>
    <w:p w14:paraId="720B234E">
      <w:pPr>
        <w:adjustRightInd w:val="0"/>
        <w:snapToGrid w:val="0"/>
        <w:spacing w:line="360" w:lineRule="auto"/>
        <w:ind w:firstLine="470" w:firstLineChars="147"/>
        <w:jc w:val="left"/>
        <w:rPr>
          <w:rFonts w:ascii="仿宋_GB2312" w:eastAsia="仿宋_GB2312" w:hAnsi="宋体"/>
          <w:b/>
          <w:sz w:val="32"/>
          <w:szCs w:val="32"/>
          <w:highlight w:val="none"/>
        </w:rPr>
      </w:pPr>
    </w:p>
    <w:p w14:paraId="6509C286">
      <w:pPr>
        <w:adjustRightInd w:val="0"/>
        <w:snapToGrid w:val="0"/>
        <w:spacing w:line="360" w:lineRule="auto"/>
        <w:ind w:firstLine="470" w:firstLineChars="147"/>
        <w:jc w:val="left"/>
        <w:rPr>
          <w:rFonts w:ascii="仿宋_GB2312" w:eastAsia="仿宋_GB2312" w:hAnsi="宋体"/>
          <w:b/>
          <w:sz w:val="32"/>
          <w:szCs w:val="32"/>
          <w:highlight w:val="none"/>
        </w:rPr>
      </w:pPr>
    </w:p>
    <w:p w14:paraId="43269571">
      <w:pPr>
        <w:adjustRightInd w:val="0"/>
        <w:snapToGrid w:val="0"/>
        <w:spacing w:line="360" w:lineRule="auto"/>
        <w:ind w:firstLine="470" w:firstLineChars="147"/>
        <w:jc w:val="left"/>
        <w:rPr>
          <w:rFonts w:ascii="仿宋_GB2312" w:eastAsia="仿宋_GB2312" w:hAnsi="宋体"/>
          <w:b/>
          <w:sz w:val="32"/>
          <w:szCs w:val="32"/>
          <w:highlight w:val="none"/>
        </w:rPr>
      </w:pPr>
    </w:p>
    <w:p w14:paraId="609EE365">
      <w:pPr>
        <w:adjustRightInd w:val="0"/>
        <w:snapToGrid w:val="0"/>
        <w:spacing w:line="360" w:lineRule="auto"/>
        <w:ind w:firstLine="470" w:firstLineChars="147"/>
        <w:jc w:val="left"/>
        <w:rPr>
          <w:rFonts w:ascii="仿宋_GB2312" w:eastAsia="仿宋_GB2312" w:hAnsi="宋体"/>
          <w:b/>
          <w:sz w:val="32"/>
          <w:szCs w:val="32"/>
          <w:highlight w:val="none"/>
        </w:rPr>
      </w:pPr>
    </w:p>
    <w:p w14:paraId="304DE513">
      <w:pPr>
        <w:adjustRightInd w:val="0"/>
        <w:snapToGrid w:val="0"/>
        <w:spacing w:line="360" w:lineRule="auto"/>
        <w:ind w:firstLine="470" w:firstLineChars="147"/>
        <w:jc w:val="left"/>
        <w:rPr>
          <w:rFonts w:ascii="仿宋_GB2312" w:eastAsia="仿宋_GB2312"/>
          <w:b/>
          <w:sz w:val="32"/>
          <w:szCs w:val="32"/>
          <w:highlight w:val="none"/>
        </w:rPr>
      </w:pPr>
    </w:p>
    <w:p w14:paraId="7EF56F85">
      <w:pPr>
        <w:adjustRightInd w:val="0"/>
        <w:snapToGrid w:val="0"/>
        <w:spacing w:line="360" w:lineRule="auto"/>
        <w:jc w:val="left"/>
        <w:rPr>
          <w:rFonts w:ascii="仿宋_GB2312" w:eastAsia="仿宋_GB2312"/>
          <w:b/>
          <w:szCs w:val="21"/>
          <w:highlight w:val="none"/>
        </w:rPr>
      </w:pPr>
    </w:p>
    <w:p w14:paraId="41F32E73">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14398417">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14:paraId="6EA98554">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7E0D7D40">
      <w:pPr>
        <w:spacing w:line="360" w:lineRule="auto"/>
        <w:jc w:val="center"/>
        <w:rPr>
          <w:sz w:val="24"/>
          <w:szCs w:val="24"/>
          <w:highlight w:val="none"/>
        </w:rPr>
      </w:pPr>
    </w:p>
    <w:p w14:paraId="3BEE90EA">
      <w:pPr>
        <w:spacing w:line="360" w:lineRule="auto"/>
        <w:jc w:val="center"/>
        <w:rPr>
          <w:sz w:val="24"/>
          <w:szCs w:val="24"/>
          <w:highlight w:val="none"/>
        </w:rPr>
      </w:pPr>
      <w:r>
        <w:rPr>
          <w:sz w:val="24"/>
          <w:szCs w:val="24"/>
          <w:highlight w:val="none"/>
        </w:rPr>
        <w:br w:type="page"/>
      </w:r>
    </w:p>
    <w:p w14:paraId="5D382BA5">
      <w:pPr>
        <w:spacing w:line="360" w:lineRule="auto"/>
        <w:jc w:val="center"/>
        <w:rPr>
          <w:sz w:val="24"/>
          <w:szCs w:val="24"/>
          <w:highlight w:val="none"/>
        </w:rPr>
      </w:pPr>
    </w:p>
    <w:p w14:paraId="3233C89B">
      <w:pPr>
        <w:spacing w:line="360" w:lineRule="auto"/>
        <w:jc w:val="center"/>
        <w:rPr>
          <w:sz w:val="24"/>
          <w:szCs w:val="24"/>
          <w:highlight w:val="none"/>
        </w:rPr>
      </w:pPr>
    </w:p>
    <w:p w14:paraId="1BD42247">
      <w:pPr>
        <w:spacing w:line="360" w:lineRule="auto"/>
        <w:jc w:val="center"/>
        <w:rPr>
          <w:rFonts w:ascii="宋体" w:hAnsi="宋体"/>
          <w:b/>
          <w:bCs/>
          <w:sz w:val="36"/>
          <w:szCs w:val="36"/>
        </w:rPr>
      </w:pPr>
      <w:r>
        <w:rPr>
          <w:rFonts w:ascii="宋体" w:hAnsi="宋体" w:hint="eastAsia"/>
          <w:b/>
          <w:bCs/>
          <w:sz w:val="36"/>
          <w:szCs w:val="36"/>
        </w:rPr>
        <w:t>总 目 录</w:t>
      </w:r>
    </w:p>
    <w:p w14:paraId="428F2C6E">
      <w:pPr>
        <w:spacing w:line="360" w:lineRule="auto"/>
        <w:jc w:val="center"/>
        <w:rPr>
          <w:b/>
          <w:sz w:val="28"/>
          <w:szCs w:val="28"/>
        </w:rPr>
      </w:pPr>
    </w:p>
    <w:p w14:paraId="39342937">
      <w:pPr>
        <w:spacing w:line="360" w:lineRule="auto"/>
        <w:jc w:val="center"/>
        <w:rPr>
          <w:rFonts w:ascii="宋体" w:hAnsi="宋体"/>
          <w:b/>
          <w:sz w:val="28"/>
          <w:szCs w:val="28"/>
        </w:rPr>
      </w:pPr>
      <w:r>
        <w:rPr>
          <w:rFonts w:ascii="宋体" w:hAnsi="宋体" w:hint="eastAsia"/>
          <w:b/>
          <w:sz w:val="28"/>
          <w:szCs w:val="28"/>
        </w:rPr>
        <w:t>第一分册   通用部分</w:t>
      </w:r>
    </w:p>
    <w:p w14:paraId="79B655FD">
      <w:pPr>
        <w:spacing w:line="360" w:lineRule="auto"/>
        <w:ind w:left="2517" w:firstLine="420"/>
        <w:jc w:val="left"/>
        <w:rPr>
          <w:b/>
          <w:szCs w:val="21"/>
        </w:rPr>
      </w:pPr>
      <w:r>
        <w:rPr>
          <w:rFonts w:hint="eastAsia"/>
          <w:b/>
          <w:szCs w:val="21"/>
        </w:rPr>
        <w:t>第一章  投标人须知通用部分</w:t>
      </w:r>
    </w:p>
    <w:p w14:paraId="4E9F5C64">
      <w:pPr>
        <w:spacing w:line="360" w:lineRule="auto"/>
        <w:ind w:left="2517" w:firstLine="420"/>
        <w:jc w:val="left"/>
        <w:rPr>
          <w:b/>
          <w:szCs w:val="21"/>
        </w:rPr>
      </w:pPr>
      <w:r>
        <w:rPr>
          <w:rFonts w:hint="eastAsia"/>
          <w:b/>
          <w:szCs w:val="21"/>
        </w:rPr>
        <w:t>第二章  投标文件格式</w:t>
      </w:r>
    </w:p>
    <w:p w14:paraId="5D73BA88">
      <w:pPr>
        <w:spacing w:line="360" w:lineRule="auto"/>
        <w:ind w:left="2517" w:firstLine="420"/>
        <w:jc w:val="left"/>
        <w:rPr>
          <w:b/>
          <w:szCs w:val="21"/>
        </w:rPr>
      </w:pPr>
      <w:r>
        <w:rPr>
          <w:rFonts w:hint="eastAsia"/>
          <w:b/>
          <w:szCs w:val="21"/>
        </w:rPr>
        <w:t>第三章  投标被拒绝条款通用部分</w:t>
      </w:r>
    </w:p>
    <w:p w14:paraId="73D9C6F6">
      <w:pPr>
        <w:spacing w:line="360" w:lineRule="auto"/>
        <w:jc w:val="center"/>
        <w:rPr>
          <w:rFonts w:ascii="宋体" w:hAnsi="宋体"/>
          <w:b/>
          <w:sz w:val="28"/>
          <w:szCs w:val="28"/>
        </w:rPr>
      </w:pPr>
    </w:p>
    <w:p w14:paraId="59F9708A">
      <w:pPr>
        <w:spacing w:line="360" w:lineRule="auto"/>
        <w:jc w:val="center"/>
        <w:rPr>
          <w:rFonts w:ascii="宋体" w:hAnsi="宋体"/>
          <w:b/>
          <w:sz w:val="28"/>
          <w:szCs w:val="28"/>
        </w:rPr>
      </w:pPr>
      <w:r>
        <w:rPr>
          <w:rFonts w:ascii="宋体" w:hAnsi="宋体" w:hint="eastAsia"/>
          <w:b/>
          <w:sz w:val="28"/>
          <w:szCs w:val="28"/>
        </w:rPr>
        <w:t>第二分册   专用部分</w:t>
      </w:r>
    </w:p>
    <w:p w14:paraId="231D8EF9">
      <w:pPr>
        <w:spacing w:line="360" w:lineRule="auto"/>
        <w:ind w:left="2520" w:firstLine="420"/>
        <w:jc w:val="left"/>
        <w:rPr>
          <w:b/>
          <w:szCs w:val="21"/>
        </w:rPr>
      </w:pPr>
      <w:r>
        <w:rPr>
          <w:rFonts w:hint="eastAsia"/>
          <w:b/>
          <w:szCs w:val="21"/>
        </w:rPr>
        <w:t>第四章  投标邀请书</w:t>
      </w:r>
    </w:p>
    <w:p w14:paraId="33B31001">
      <w:pPr>
        <w:spacing w:line="360" w:lineRule="auto"/>
        <w:ind w:left="2520" w:firstLine="420"/>
        <w:jc w:val="left"/>
        <w:rPr>
          <w:b/>
          <w:szCs w:val="21"/>
        </w:rPr>
      </w:pPr>
      <w:r>
        <w:rPr>
          <w:rFonts w:hint="eastAsia"/>
          <w:b/>
          <w:szCs w:val="21"/>
        </w:rPr>
        <w:t>第五章  投标人须知专用部分</w:t>
      </w:r>
    </w:p>
    <w:p w14:paraId="0010C98B">
      <w:pPr>
        <w:spacing w:line="360" w:lineRule="auto"/>
        <w:ind w:left="2520" w:firstLine="420"/>
        <w:jc w:val="left"/>
        <w:rPr>
          <w:b/>
          <w:szCs w:val="21"/>
        </w:rPr>
      </w:pPr>
      <w:r>
        <w:rPr>
          <w:rFonts w:hint="eastAsia"/>
          <w:b/>
          <w:szCs w:val="21"/>
        </w:rPr>
        <w:t>第六章  评标方法和评标标准</w:t>
      </w:r>
    </w:p>
    <w:p w14:paraId="609260F4">
      <w:pPr>
        <w:spacing w:line="360" w:lineRule="auto"/>
        <w:ind w:left="2520" w:firstLine="420"/>
        <w:jc w:val="left"/>
        <w:rPr>
          <w:b/>
          <w:szCs w:val="21"/>
        </w:rPr>
      </w:pPr>
      <w:r>
        <w:rPr>
          <w:rFonts w:hint="eastAsia"/>
          <w:b/>
          <w:szCs w:val="21"/>
        </w:rPr>
        <w:t>第七章  采购需求</w:t>
      </w:r>
    </w:p>
    <w:p w14:paraId="6518CA72">
      <w:pPr>
        <w:spacing w:line="360" w:lineRule="auto"/>
        <w:ind w:left="2520" w:firstLine="420"/>
        <w:jc w:val="left"/>
        <w:rPr>
          <w:rFonts w:hint="eastAsia"/>
          <w:b/>
          <w:szCs w:val="21"/>
        </w:rPr>
      </w:pPr>
      <w:r>
        <w:rPr>
          <w:rFonts w:hint="eastAsia"/>
          <w:b/>
          <w:szCs w:val="21"/>
        </w:rPr>
        <w:t>第八章  投标被拒绝条款专用部分</w:t>
      </w:r>
    </w:p>
    <w:p w14:paraId="218C8687">
      <w:pPr>
        <w:spacing w:line="360" w:lineRule="auto"/>
        <w:jc w:val="center"/>
        <w:rPr>
          <w:rFonts w:ascii="宋体" w:hAnsi="宋体"/>
          <w:b/>
          <w:sz w:val="28"/>
          <w:szCs w:val="28"/>
        </w:rPr>
      </w:pPr>
    </w:p>
    <w:p w14:paraId="05705340">
      <w:pPr>
        <w:spacing w:line="360" w:lineRule="auto"/>
        <w:jc w:val="center"/>
        <w:rPr>
          <w:rFonts w:ascii="宋体" w:hAnsi="宋体"/>
          <w:b/>
          <w:sz w:val="28"/>
          <w:szCs w:val="28"/>
        </w:rPr>
      </w:pPr>
      <w:r>
        <w:rPr>
          <w:rFonts w:ascii="宋体" w:hAnsi="宋体" w:hint="eastAsia"/>
          <w:b/>
          <w:sz w:val="28"/>
          <w:szCs w:val="28"/>
        </w:rPr>
        <w:t>第三分册   采购合同</w:t>
      </w:r>
    </w:p>
    <w:p w14:paraId="1F094FF0">
      <w:pPr>
        <w:spacing w:line="360" w:lineRule="auto"/>
        <w:ind w:left="2520" w:firstLine="420"/>
        <w:jc w:val="left"/>
        <w:rPr>
          <w:b/>
          <w:szCs w:val="21"/>
        </w:rPr>
      </w:pPr>
      <w:r>
        <w:rPr>
          <w:rFonts w:hint="eastAsia"/>
          <w:b/>
          <w:szCs w:val="21"/>
        </w:rPr>
        <w:t>第九章  采购合同</w:t>
      </w:r>
    </w:p>
    <w:p w14:paraId="13831978">
      <w:pPr>
        <w:spacing w:line="360" w:lineRule="auto"/>
        <w:ind w:left="2520" w:firstLine="420"/>
        <w:jc w:val="left"/>
        <w:rPr>
          <w:b/>
          <w:szCs w:val="21"/>
        </w:rPr>
      </w:pPr>
    </w:p>
    <w:p w14:paraId="32781779">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543F3DB5">
      <w:pPr>
        <w:spacing w:line="360" w:lineRule="auto"/>
        <w:jc w:val="center"/>
        <w:outlineLvl w:val="0"/>
        <w:rPr>
          <w:b/>
          <w:sz w:val="48"/>
          <w:szCs w:val="36"/>
        </w:rPr>
      </w:pPr>
      <w:r>
        <w:rPr>
          <w:rFonts w:hint="eastAsia"/>
          <w:b/>
          <w:sz w:val="48"/>
          <w:szCs w:val="36"/>
        </w:rPr>
        <w:t>第一分册：通用部分</w:t>
      </w:r>
    </w:p>
    <w:p w14:paraId="4124FEC8">
      <w:pPr>
        <w:spacing w:line="360" w:lineRule="auto"/>
        <w:rPr>
          <w:b/>
          <w:bCs/>
          <w:sz w:val="28"/>
          <w:szCs w:val="28"/>
        </w:rPr>
      </w:pPr>
    </w:p>
    <w:p w14:paraId="26C3154B">
      <w:pPr>
        <w:spacing w:line="360" w:lineRule="auto"/>
        <w:jc w:val="center"/>
        <w:rPr>
          <w:b/>
          <w:bCs/>
          <w:sz w:val="28"/>
          <w:szCs w:val="28"/>
        </w:rPr>
      </w:pPr>
      <w:r>
        <w:rPr>
          <w:rFonts w:hint="eastAsia"/>
          <w:b/>
          <w:bCs/>
          <w:sz w:val="28"/>
          <w:szCs w:val="28"/>
        </w:rPr>
        <w:t>目    录</w:t>
      </w:r>
    </w:p>
    <w:p w14:paraId="1ED12F7B">
      <w:pPr>
        <w:spacing w:line="360" w:lineRule="auto"/>
        <w:jc w:val="center"/>
        <w:rPr>
          <w:b/>
          <w:bCs/>
          <w:sz w:val="28"/>
          <w:szCs w:val="28"/>
        </w:rPr>
      </w:pPr>
    </w:p>
    <w:p w14:paraId="1D02312C">
      <w:pPr>
        <w:spacing w:line="360" w:lineRule="auto"/>
        <w:ind w:firstLine="2258" w:firstLineChars="1075"/>
        <w:jc w:val="left"/>
        <w:rPr>
          <w:b/>
          <w:bCs/>
          <w:szCs w:val="21"/>
        </w:rPr>
      </w:pPr>
      <w:r>
        <w:rPr>
          <w:rFonts w:hint="eastAsia"/>
          <w:b/>
          <w:bCs/>
          <w:szCs w:val="21"/>
        </w:rPr>
        <w:t>第一章  投标人须知通用部分</w:t>
      </w:r>
    </w:p>
    <w:p w14:paraId="67139138">
      <w:pPr>
        <w:spacing w:line="360" w:lineRule="auto"/>
        <w:ind w:firstLine="2258" w:firstLineChars="1075"/>
        <w:jc w:val="left"/>
        <w:rPr>
          <w:b/>
          <w:bCs/>
          <w:szCs w:val="21"/>
        </w:rPr>
      </w:pPr>
      <w:r>
        <w:rPr>
          <w:rFonts w:hint="eastAsia"/>
          <w:b/>
          <w:bCs/>
          <w:szCs w:val="21"/>
        </w:rPr>
        <w:t>第二章  投标文件格式</w:t>
      </w:r>
    </w:p>
    <w:p w14:paraId="723D8644">
      <w:pPr>
        <w:spacing w:line="360" w:lineRule="auto"/>
        <w:ind w:firstLine="2258" w:firstLineChars="1075"/>
        <w:jc w:val="left"/>
        <w:rPr>
          <w:b/>
          <w:bCs/>
          <w:szCs w:val="21"/>
        </w:rPr>
      </w:pPr>
      <w:r>
        <w:rPr>
          <w:rFonts w:hint="eastAsia"/>
          <w:b/>
          <w:bCs/>
          <w:szCs w:val="21"/>
        </w:rPr>
        <w:t>第三章  投标被拒绝条款通用部分</w:t>
      </w:r>
    </w:p>
    <w:p w14:paraId="40BF6470">
      <w:pPr>
        <w:jc w:val="center"/>
        <w:outlineLvl w:val="1"/>
        <w:rPr>
          <w:sz w:val="30"/>
          <w:szCs w:val="30"/>
        </w:rPr>
      </w:pPr>
      <w:bookmarkStart w:id="3" w:name="_Toc86202581"/>
      <w:r>
        <w:br w:type="page"/>
      </w:r>
      <w:bookmarkEnd w:id="3"/>
      <w:r>
        <w:rPr>
          <w:rFonts w:hint="eastAsia"/>
          <w:b/>
          <w:bCs/>
          <w:sz w:val="30"/>
          <w:szCs w:val="30"/>
        </w:rPr>
        <w:t>第一章  投标人须知通用部分</w:t>
      </w:r>
    </w:p>
    <w:p w14:paraId="7B910B63">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2AF9436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28CE77D8">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63D9D71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6CC5D22F">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4A2C3CB0">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55C8F8ED">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7F7E611A">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665B62F0">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3F5A02DE">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113006B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77C38A6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5A6B7E9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42D1B0C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632071A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3BDEA513">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2584336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431BB9F8">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37943EC1">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66A6093E">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50AC1803">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650A1AFE">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47266F99">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70E05FD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50B0C90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39EC4AB4">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3BB0816A">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1A6B29BA">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4CFDAD56">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2F4C80CD">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1E6404F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17D48E97">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52363525">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6055692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203CCD69">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068CCFF0">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7679F8F4">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29824676">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1F477C6">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4B9581D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078947D1">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30995D21">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24522C72">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2ED220EA">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08D565C2">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14:paraId="54BC4E91">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247B58CC">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61D43F">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14:paraId="0CEF95C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61E642D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575A098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0E6B851B">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6A52D7E5">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441A1292">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39063CFA">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63F9F31D">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45E85062">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1272D007">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71F8967B">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09A7279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45C0BC6A">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1606E9F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6DAE3153">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4097510B">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2B7E208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62DD7C2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3A21DA7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61767EEA">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4E42010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73953721">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399BA1D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3EF91D7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3C5A374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105266B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6E2990D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7CB49F0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2F84BFCE">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1EE60E76">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42F1651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64E94243">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6273B3D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20A31664">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66D1EDDB">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3DD05CB7">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73DD5C3F">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D429085">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5A98D1C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42316DF9">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1E0A17E2">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0CC3614D">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0C311B3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410D1126">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0848A5A9">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7DA5CAEE">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7104AC9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43C9628C">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162D4D9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230468E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6A76609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3432F09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62EB12F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7051CA6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03869B5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0EE5FEF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5740053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098A2D3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76E22A7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15CAD7B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1E68717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64617AA9">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26B6BAA3">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5D5B404F">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5E93CB56">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754740EA">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05AB1CA2">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68FC4EF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6922E2B7">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17CBBB4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6866FFF4">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5D85C903">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60180EE9">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5BD9A81B">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12BCAACB">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5A45CDB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5F9B482A">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419DFDE0">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3DFA1DC1">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6DE93637">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1BE6546B">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0C0D5E3B">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3576A0BF">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45852FB9">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2D3E0264">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36F25167">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1C646005">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62EBF18B">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643508F5">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351DDE29">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195C762A">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3365BD02">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26E77997">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0D19C9DE">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0282DF2A">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3E007294">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14:paraId="03401585">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72F45867">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0E8B0640">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4C3AF7C1">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55CD310A">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3375857B">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5444E3CC">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0E59685D">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0A6B308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38DB819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04FD109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7D2C63C0">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3B849D55">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3F39DAA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1476DC02">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102515A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00AAE8B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5E448EDE">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447ADCC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00129FD0">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5FBB31D7">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564EF56C">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32A91F00">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036714F9">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4B20B132">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1DD8B75C">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2364FCAE">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7DF83CF6">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28907EAB">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461C7727">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4CD65540">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076BC537">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788F2C90">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5EFA155E">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5D4DE2EA">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6C3C0BD5">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66F057AC">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492F6D97">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5DDDBDED">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6DA58D8E">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7D954140">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2D2F3DCE">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7C47788C">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3B1EFBB0">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4A030CA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6B1AC8B5">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0C7DF5D8">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1395C8BE">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14:paraId="39595D37">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1F22FCBA">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6B96C1B9">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2FF8AA9A">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0CCEE39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0455F2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0C212BC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553E382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4822C14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7C724083">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042CEB49">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098FF750">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71227A9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33797C76">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32E4332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7983776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02944A1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0802AF1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6CD1826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4A171D4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2BD1A939">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36A4665D">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0FCE908C">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0B30D6CD">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26985947">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1425EF3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2F2AD9C6">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55C1D27E">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1A672F9A">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1326296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4E0D0970">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0FF15D0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1AF741DC">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321CCA0F">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09EF6C85">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2D6FF93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5D0A9B3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0B490975">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2AE4D61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4332A00B">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77A5AE5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6C82FB4E">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00C0C2A7">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5BD608B2">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76F60511">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0BEC000E">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63737ED1">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36611E65">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1784FE6E">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5FF7D600">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5C4A73A6">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51FB9A6C">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1ADADEEC">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26887DFD">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0939DEC9">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075E0446">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4CA5619C">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0A7948D0">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39FDA671">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665892BE">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4EAE7EC4">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0A7A3D67">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488ED735">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2AD2555F">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0A96BC47">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78407798">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0CF17169">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1A163113">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52FDD98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362407BD">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62811FCD">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6D2B543E">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14:paraId="12F5A6AB">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&lt;全部通过符合性审查供应商投标报价平均值×50%；</w:t>
      </w:r>
    </w:p>
    <w:p w14:paraId="20B23CD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通过符合性审查的次低报价供应商投标报价×50%；</w:t>
      </w:r>
    </w:p>
    <w:p w14:paraId="7BEDC71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采购项目最高限价×45%；</w:t>
      </w:r>
    </w:p>
    <w:p w14:paraId="37AC54B7">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14:paraId="46B395DF">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14:paraId="14CCEAE2">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14:paraId="112BF40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14:paraId="0C573E97">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14:paraId="7C55AC64">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14:paraId="151FAFC9">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46F91D66">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51F86A73">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5AA8C828">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2210601C">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6A46F90C">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72C06FA4">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14:paraId="30BA503E">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3A67F664">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58856A6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64379C4A">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52BD3764">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430ED2DB">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494E07E9">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10F80C7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2417F313">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185B9FBF">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1796EC17">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1B4CED3F">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1BE2BB78">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52E37AF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3661D1D7">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13849B0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6AA9070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5C8B00EE">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6CD93459">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769F36DA">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251C829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106CA572">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6CAC803B">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68FBAF72">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5FB5A5A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697435E4">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6DC129D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66AB28E2">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2D609E6B">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0BECE165">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773CFEDE">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1D97EF7A">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639852A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4247B9F4">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223DFB05">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0DD7FF4D">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44FC3718">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0441DBEC">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0409C94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391FE24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0820064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159DC8F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6BE01A8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63D2A6A5">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7386968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44FCFC07">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1B5416E9">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2ACCB398">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1CA9CBC7">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68D0ED5A">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342C8CEB">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68D9033D">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06A342F1">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27E32D1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08E0713F">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1FF1737E">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598BF881">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593FABFC">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4C13ED60">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50BD367A">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0EF25BB2">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1F24B7B0">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416309F2">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0FEBB975">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3299895E">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7E4C55D6">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49CA7F6E">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64901591">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063FA78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6FC37AF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364B117B">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50E355E0">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534A95E0">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5A76AC3F">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1EFA926E">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764A746E">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14:paraId="33AC4606">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24C0EED3">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05EB811A">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77BD70FE">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6590BBF6">
      <w:pPr>
        <w:pStyle w:val="10"/>
        <w:numPr>
          <w:ilvl w:val="0"/>
          <w:numId w:val="0"/>
        </w:numPr>
        <w:tabs>
          <w:tab w:val="left" w:pos="1573"/>
        </w:tabs>
        <w:spacing w:line="360" w:lineRule="auto"/>
        <w:ind w:firstLine="420" w:firstLineChars="200"/>
        <w:rPr>
          <w:szCs w:val="44"/>
        </w:rPr>
      </w:pPr>
    </w:p>
    <w:p w14:paraId="44FC3B68">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5E337E5B">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586857D5">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52308899">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2DAE3C42">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73BDE1A3">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6C3B388E">
      <w:pPr>
        <w:pStyle w:val="10"/>
        <w:numPr>
          <w:ilvl w:val="0"/>
          <w:numId w:val="0"/>
        </w:numPr>
        <w:tabs>
          <w:tab w:val="left" w:pos="1573"/>
        </w:tabs>
        <w:adjustRightInd w:val="0"/>
        <w:snapToGrid w:val="0"/>
        <w:spacing w:line="360" w:lineRule="auto"/>
        <w:ind w:firstLine="420" w:firstLineChars="200"/>
        <w:rPr>
          <w:highlight w:val="none"/>
        </w:rPr>
      </w:pPr>
    </w:p>
    <w:p w14:paraId="4A5D7E30">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14:paraId="3454B01F">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14:paraId="1B5A8CB2">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rPr>
      </w:pPr>
    </w:p>
    <w:p w14:paraId="0E13DB47">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14:paraId="76FB5CF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6BFAE41">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57F8C436">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14:paraId="7A2DDD3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28B1C5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14:paraId="3970F4D3">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rPr>
      </w:pPr>
    </w:p>
    <w:p w14:paraId="508C594B">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14:paraId="6571A26B">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796FEAF4">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14:paraId="4A7ED80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E721D00">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0F7593AD">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5211B39E">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888B301">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691D9C6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032B244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70A71F7">
      <w:pPr>
        <w:spacing w:line="360" w:lineRule="auto"/>
        <w:ind w:firstLine="420" w:firstLineChars="200"/>
        <w:rPr>
          <w:rFonts w:ascii="华文楷体" w:eastAsia="华文楷体" w:hAnsi="华文楷体" w:cs="仿宋_GB2312"/>
          <w:szCs w:val="21"/>
        </w:rPr>
      </w:pPr>
    </w:p>
    <w:p w14:paraId="5FFD60C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66AA51E">
      <w:pPr>
        <w:spacing w:line="360" w:lineRule="auto"/>
        <w:ind w:firstLine="2835" w:firstLineChars="1350"/>
        <w:rPr>
          <w:rFonts w:ascii="华文楷体" w:eastAsia="华文楷体" w:hAnsi="华文楷体" w:cs="仿宋_GB2312"/>
          <w:szCs w:val="21"/>
        </w:rPr>
      </w:pPr>
    </w:p>
    <w:p w14:paraId="6AAD4DEE">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14:paraId="105AA7D5">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14:paraId="1C72E51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4325F96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C38E613">
      <w:pPr>
        <w:autoSpaceDN w:val="0"/>
        <w:spacing w:line="440" w:lineRule="exact"/>
        <w:ind w:firstLine="420" w:firstLineChars="200"/>
        <w:rPr>
          <w:rFonts w:ascii="华文楷体" w:eastAsia="华文楷体" w:hAnsi="华文楷体" w:cs="仿宋_GB2312" w:hint="eastAsia"/>
          <w:szCs w:val="21"/>
        </w:rPr>
      </w:pPr>
    </w:p>
    <w:p w14:paraId="195945EB">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rPr>
      </w:pPr>
    </w:p>
    <w:bookmarkEnd w:id="11"/>
    <w:p w14:paraId="4E510052">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14:paraId="377E52AA">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14:paraId="716A1D20">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14:paraId="2BF6B9F9">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7CEA6405">
      <w:pPr>
        <w:adjustRightInd w:val="0"/>
        <w:snapToGrid w:val="0"/>
        <w:spacing w:line="360" w:lineRule="auto"/>
        <w:ind w:firstLine="412" w:firstLineChars="196"/>
        <w:rPr>
          <w:highlight w:val="none"/>
        </w:rPr>
      </w:pPr>
    </w:p>
    <w:p w14:paraId="721CC93B">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14:paraId="1F6D51EF">
      <w:pPr>
        <w:pStyle w:val="NormalWeb"/>
        <w:shd w:val="clear" w:color="auto" w:fill="FFFFFF"/>
        <w:spacing w:before="30" w:beforeAutospacing="0" w:after="30" w:afterAutospacing="0"/>
        <w:ind w:firstLine="420"/>
        <w:rPr>
          <w:color w:val="333333"/>
          <w:szCs w:val="21"/>
          <w:highlight w:val="none"/>
        </w:rPr>
      </w:pPr>
    </w:p>
    <w:p w14:paraId="477FFCC0">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C2F0A8A">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4C121AFF">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5DFC87DF">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55FB838B">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0654DF4C">
      <w:pPr>
        <w:pStyle w:val="NormalWeb"/>
        <w:shd w:val="clear" w:color="auto" w:fill="FFFFFF"/>
        <w:spacing w:before="30" w:beforeAutospacing="0" w:after="30" w:afterAutospacing="0"/>
        <w:ind w:firstLine="420"/>
        <w:rPr>
          <w:color w:val="333333"/>
          <w:szCs w:val="21"/>
          <w:highlight w:val="none"/>
          <w:shd w:val="clear" w:color="auto" w:fill="FFFFFF"/>
        </w:rPr>
      </w:pPr>
    </w:p>
    <w:p w14:paraId="43096237">
      <w:pPr>
        <w:pStyle w:val="NormalWeb"/>
        <w:shd w:val="clear" w:color="auto" w:fill="FFFFFF"/>
        <w:spacing w:before="30" w:beforeAutospacing="0" w:after="30" w:afterAutospacing="0"/>
        <w:ind w:firstLine="420"/>
        <w:rPr>
          <w:rFonts w:hint="eastAsia"/>
          <w:color w:val="333333"/>
          <w:szCs w:val="21"/>
          <w:highlight w:val="none"/>
        </w:rPr>
      </w:pPr>
    </w:p>
    <w:p w14:paraId="2F056AB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56787A7E">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4A58CA0">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25F1773A">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2AE6D157">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4BD49AE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59AFFF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0B64CBA5">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bookmarkEnd w:id="8"/>
    </w:p>
    <w:p w14:paraId="530FEE64">
      <w:pPr>
        <w:adjustRightInd w:val="0"/>
        <w:snapToGrid w:val="0"/>
        <w:spacing w:line="360" w:lineRule="auto"/>
        <w:ind w:firstLine="420"/>
        <w:rPr>
          <w:rFonts w:ascii="宋体" w:hAnsi="宋体" w:hint="eastAsia"/>
          <w:b/>
          <w:bCs/>
          <w:szCs w:val="44"/>
          <w:highlight w:val="none"/>
        </w:rPr>
      </w:pPr>
    </w:p>
    <w:p w14:paraId="6B648889">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bookmarkEnd w:id="18"/>
    </w:p>
    <w:bookmarkEnd w:id="7"/>
    <w:p w14:paraId="5823521A">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14:paraId="5C0F06C2">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6421397D">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9490EE6">
            <w:pPr>
              <w:jc w:val="left"/>
              <w:rPr>
                <w:sz w:val="18"/>
                <w:szCs w:val="18"/>
              </w:rPr>
            </w:pPr>
            <w:r>
              <w:rPr>
                <w:rFonts w:hint="eastAsia"/>
                <w:sz w:val="18"/>
                <w:szCs w:val="18"/>
              </w:rPr>
              <w:t>序号</w:t>
            </w:r>
          </w:p>
        </w:tc>
        <w:tc>
          <w:tcPr>
            <w:tcW w:w="850" w:type="dxa"/>
            <w:vAlign w:val="center"/>
          </w:tcPr>
          <w:p w14:paraId="177F93BC">
            <w:pPr>
              <w:jc w:val="center"/>
              <w:rPr>
                <w:sz w:val="18"/>
                <w:szCs w:val="18"/>
              </w:rPr>
            </w:pPr>
            <w:r>
              <w:rPr>
                <w:rFonts w:hint="eastAsia"/>
                <w:sz w:val="18"/>
                <w:szCs w:val="18"/>
              </w:rPr>
              <w:t>对应</w:t>
            </w:r>
          </w:p>
          <w:p w14:paraId="2B01AE43">
            <w:pPr>
              <w:jc w:val="center"/>
              <w:rPr>
                <w:sz w:val="18"/>
                <w:szCs w:val="18"/>
              </w:rPr>
            </w:pPr>
            <w:r>
              <w:rPr>
                <w:rFonts w:hint="eastAsia"/>
                <w:sz w:val="18"/>
                <w:szCs w:val="18"/>
              </w:rPr>
              <w:t>条款号</w:t>
            </w:r>
          </w:p>
        </w:tc>
        <w:tc>
          <w:tcPr>
            <w:tcW w:w="7723" w:type="dxa"/>
            <w:vAlign w:val="center"/>
          </w:tcPr>
          <w:p w14:paraId="5F9596E1">
            <w:pPr>
              <w:jc w:val="center"/>
              <w:rPr>
                <w:sz w:val="18"/>
                <w:szCs w:val="18"/>
              </w:rPr>
            </w:pPr>
            <w:r>
              <w:rPr>
                <w:rFonts w:hint="eastAsia"/>
                <w:sz w:val="18"/>
                <w:szCs w:val="18"/>
              </w:rPr>
              <w:t>内 容</w:t>
            </w:r>
          </w:p>
        </w:tc>
      </w:tr>
      <w:tr w14:paraId="71C198CD">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E847605">
            <w:pPr>
              <w:jc w:val="center"/>
              <w:rPr>
                <w:b/>
                <w:sz w:val="18"/>
                <w:szCs w:val="18"/>
              </w:rPr>
            </w:pPr>
            <w:r>
              <w:rPr>
                <w:rFonts w:hint="eastAsia"/>
                <w:b/>
                <w:sz w:val="18"/>
                <w:szCs w:val="18"/>
              </w:rPr>
              <w:t>第一章 投标人须知通用部分</w:t>
            </w:r>
          </w:p>
        </w:tc>
      </w:tr>
      <w:tr w14:paraId="60B1B2D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1982B5">
            <w:pPr>
              <w:numPr>
                <w:ilvl w:val="0"/>
                <w:numId w:val="3"/>
              </w:numPr>
              <w:ind w:left="0" w:firstLine="0"/>
              <w:jc w:val="left"/>
              <w:rPr>
                <w:rFonts w:ascii="宋体" w:hAnsi="宋体"/>
                <w:sz w:val="18"/>
                <w:szCs w:val="18"/>
              </w:rPr>
            </w:pPr>
          </w:p>
        </w:tc>
        <w:tc>
          <w:tcPr>
            <w:tcW w:w="850" w:type="dxa"/>
            <w:vAlign w:val="center"/>
          </w:tcPr>
          <w:p w14:paraId="2A52F4CA">
            <w:pPr>
              <w:rPr>
                <w:rFonts w:ascii="宋体" w:hAnsi="宋体"/>
                <w:sz w:val="18"/>
                <w:szCs w:val="18"/>
              </w:rPr>
            </w:pPr>
            <w:r>
              <w:rPr>
                <w:rFonts w:ascii="宋体" w:hAnsi="宋体" w:hint="eastAsia"/>
                <w:sz w:val="18"/>
                <w:szCs w:val="18"/>
              </w:rPr>
              <w:t>1.3.1</w:t>
            </w:r>
          </w:p>
        </w:tc>
        <w:tc>
          <w:tcPr>
            <w:tcW w:w="7723" w:type="dxa"/>
            <w:vAlign w:val="center"/>
          </w:tcPr>
          <w:p w14:paraId="0BE900F9">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14:paraId="7546B39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656197E">
            <w:pPr>
              <w:numPr>
                <w:ilvl w:val="0"/>
                <w:numId w:val="3"/>
              </w:numPr>
              <w:ind w:left="0" w:firstLine="0"/>
              <w:jc w:val="left"/>
              <w:rPr>
                <w:rFonts w:ascii="宋体" w:hAnsi="宋体"/>
                <w:sz w:val="18"/>
                <w:szCs w:val="18"/>
              </w:rPr>
            </w:pPr>
          </w:p>
        </w:tc>
        <w:tc>
          <w:tcPr>
            <w:tcW w:w="850" w:type="dxa"/>
            <w:vAlign w:val="center"/>
          </w:tcPr>
          <w:p w14:paraId="2091C188">
            <w:pPr>
              <w:rPr>
                <w:rFonts w:ascii="宋体" w:hAnsi="宋体"/>
                <w:sz w:val="18"/>
                <w:szCs w:val="18"/>
              </w:rPr>
            </w:pPr>
            <w:r>
              <w:rPr>
                <w:rFonts w:ascii="宋体" w:hAnsi="宋体" w:hint="eastAsia"/>
                <w:sz w:val="18"/>
                <w:szCs w:val="18"/>
              </w:rPr>
              <w:t>1.3.2</w:t>
            </w:r>
          </w:p>
        </w:tc>
        <w:tc>
          <w:tcPr>
            <w:tcW w:w="7723" w:type="dxa"/>
            <w:vAlign w:val="center"/>
          </w:tcPr>
          <w:p w14:paraId="637190F1">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14:paraId="162A8EA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506CE86">
            <w:pPr>
              <w:numPr>
                <w:ilvl w:val="0"/>
                <w:numId w:val="3"/>
              </w:numPr>
              <w:ind w:left="0" w:firstLine="0"/>
              <w:jc w:val="left"/>
              <w:rPr>
                <w:rFonts w:ascii="宋体" w:hAnsi="宋体"/>
                <w:sz w:val="18"/>
                <w:szCs w:val="18"/>
              </w:rPr>
            </w:pPr>
          </w:p>
        </w:tc>
        <w:tc>
          <w:tcPr>
            <w:tcW w:w="850" w:type="dxa"/>
            <w:vAlign w:val="center"/>
          </w:tcPr>
          <w:p w14:paraId="37B2B0D3">
            <w:pPr>
              <w:rPr>
                <w:rFonts w:ascii="宋体" w:hAnsi="宋体" w:hint="eastAsia"/>
                <w:sz w:val="18"/>
                <w:szCs w:val="18"/>
              </w:rPr>
            </w:pPr>
            <w:r>
              <w:rPr>
                <w:rFonts w:ascii="宋体" w:hAnsi="宋体" w:hint="eastAsia"/>
                <w:sz w:val="18"/>
                <w:szCs w:val="18"/>
              </w:rPr>
              <w:t>1.3.3</w:t>
            </w:r>
          </w:p>
        </w:tc>
        <w:tc>
          <w:tcPr>
            <w:tcW w:w="7723" w:type="dxa"/>
            <w:vAlign w:val="center"/>
          </w:tcPr>
          <w:p w14:paraId="334CFEC2">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14:paraId="71204867">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14:paraId="6028184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63AF75">
            <w:pPr>
              <w:numPr>
                <w:ilvl w:val="0"/>
                <w:numId w:val="3"/>
              </w:numPr>
              <w:ind w:left="0" w:firstLine="0"/>
              <w:jc w:val="left"/>
              <w:rPr>
                <w:rFonts w:ascii="宋体" w:hAnsi="宋体"/>
                <w:sz w:val="18"/>
                <w:szCs w:val="18"/>
              </w:rPr>
            </w:pPr>
          </w:p>
        </w:tc>
        <w:tc>
          <w:tcPr>
            <w:tcW w:w="850" w:type="dxa"/>
            <w:vAlign w:val="center"/>
          </w:tcPr>
          <w:p w14:paraId="695CAE01">
            <w:pPr>
              <w:rPr>
                <w:rFonts w:ascii="宋体" w:hAnsi="宋体" w:hint="eastAsia"/>
                <w:sz w:val="18"/>
                <w:szCs w:val="18"/>
              </w:rPr>
            </w:pPr>
            <w:r>
              <w:rPr>
                <w:rFonts w:ascii="宋体" w:hAnsi="宋体" w:hint="eastAsia"/>
                <w:sz w:val="18"/>
                <w:szCs w:val="18"/>
              </w:rPr>
              <w:t>1.3.4</w:t>
            </w:r>
          </w:p>
        </w:tc>
        <w:tc>
          <w:tcPr>
            <w:tcW w:w="7723" w:type="dxa"/>
            <w:vAlign w:val="center"/>
          </w:tcPr>
          <w:p w14:paraId="2F39C8A8">
            <w:pPr>
              <w:pStyle w:val="10"/>
              <w:numPr>
                <w:ilvl w:val="0"/>
                <w:numId w:val="0"/>
              </w:numPr>
              <w:tabs>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14:paraId="23FF218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53CB712">
            <w:pPr>
              <w:numPr>
                <w:ilvl w:val="0"/>
                <w:numId w:val="3"/>
              </w:numPr>
              <w:ind w:left="0" w:firstLine="0"/>
              <w:jc w:val="left"/>
              <w:rPr>
                <w:rFonts w:ascii="宋体" w:hAnsi="宋体"/>
                <w:sz w:val="18"/>
                <w:szCs w:val="18"/>
              </w:rPr>
            </w:pPr>
          </w:p>
        </w:tc>
        <w:tc>
          <w:tcPr>
            <w:tcW w:w="850" w:type="dxa"/>
            <w:vAlign w:val="center"/>
          </w:tcPr>
          <w:p w14:paraId="6515B877">
            <w:pPr>
              <w:rPr>
                <w:rFonts w:ascii="宋体" w:hAnsi="宋体"/>
                <w:sz w:val="18"/>
                <w:szCs w:val="18"/>
              </w:rPr>
            </w:pPr>
            <w:r>
              <w:rPr>
                <w:rFonts w:ascii="宋体" w:hAnsi="宋体" w:hint="eastAsia"/>
                <w:sz w:val="18"/>
                <w:szCs w:val="18"/>
              </w:rPr>
              <w:t>1.3.5</w:t>
            </w:r>
          </w:p>
        </w:tc>
        <w:tc>
          <w:tcPr>
            <w:tcW w:w="7723" w:type="dxa"/>
            <w:vAlign w:val="center"/>
          </w:tcPr>
          <w:p w14:paraId="295465C6">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14:paraId="4B0FBF0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8741787">
            <w:pPr>
              <w:numPr>
                <w:ilvl w:val="0"/>
                <w:numId w:val="3"/>
              </w:numPr>
              <w:ind w:left="0" w:firstLine="0"/>
              <w:jc w:val="left"/>
              <w:rPr>
                <w:rFonts w:ascii="宋体" w:hAnsi="宋体"/>
                <w:sz w:val="18"/>
                <w:szCs w:val="18"/>
              </w:rPr>
            </w:pPr>
          </w:p>
        </w:tc>
        <w:tc>
          <w:tcPr>
            <w:tcW w:w="850" w:type="dxa"/>
            <w:vAlign w:val="center"/>
          </w:tcPr>
          <w:p w14:paraId="6B9AE405">
            <w:pPr>
              <w:rPr>
                <w:rFonts w:ascii="宋体" w:hAnsi="宋体"/>
                <w:sz w:val="18"/>
                <w:szCs w:val="18"/>
              </w:rPr>
            </w:pPr>
            <w:r>
              <w:rPr>
                <w:rFonts w:ascii="宋体" w:hAnsi="宋体" w:hint="eastAsia"/>
                <w:sz w:val="18"/>
                <w:szCs w:val="18"/>
              </w:rPr>
              <w:t>1.3.6</w:t>
            </w:r>
          </w:p>
        </w:tc>
        <w:tc>
          <w:tcPr>
            <w:tcW w:w="7723" w:type="dxa"/>
            <w:vAlign w:val="center"/>
          </w:tcPr>
          <w:p w14:paraId="45E14EB7">
            <w:pPr>
              <w:pStyle w:val="10"/>
              <w:numPr>
                <w:ilvl w:val="0"/>
                <w:numId w:val="0"/>
              </w:numPr>
              <w:tabs>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6E4389E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2EAE158">
            <w:pPr>
              <w:numPr>
                <w:ilvl w:val="0"/>
                <w:numId w:val="3"/>
              </w:numPr>
              <w:ind w:left="0" w:firstLine="0"/>
              <w:jc w:val="left"/>
              <w:rPr>
                <w:rFonts w:ascii="宋体" w:hAnsi="宋体"/>
                <w:sz w:val="18"/>
                <w:szCs w:val="18"/>
              </w:rPr>
            </w:pPr>
          </w:p>
        </w:tc>
        <w:tc>
          <w:tcPr>
            <w:tcW w:w="850" w:type="dxa"/>
            <w:vAlign w:val="center"/>
          </w:tcPr>
          <w:p w14:paraId="224A5960">
            <w:pPr>
              <w:rPr>
                <w:rFonts w:ascii="宋体" w:hAnsi="宋体"/>
                <w:bCs/>
                <w:sz w:val="18"/>
                <w:szCs w:val="18"/>
              </w:rPr>
            </w:pPr>
            <w:r>
              <w:rPr>
                <w:rFonts w:ascii="宋体" w:hAnsi="宋体" w:hint="eastAsia"/>
                <w:bCs/>
                <w:sz w:val="18"/>
                <w:szCs w:val="18"/>
              </w:rPr>
              <w:t>1.3.7</w:t>
            </w:r>
          </w:p>
        </w:tc>
        <w:tc>
          <w:tcPr>
            <w:tcW w:w="7723" w:type="dxa"/>
            <w:vAlign w:val="center"/>
          </w:tcPr>
          <w:p w14:paraId="10A8EDA9">
            <w:pPr>
              <w:pStyle w:val="10"/>
              <w:numPr>
                <w:ilvl w:val="0"/>
                <w:numId w:val="0"/>
              </w:numPr>
              <w:tabs>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14:paraId="40035A7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BADFD4">
            <w:pPr>
              <w:numPr>
                <w:ilvl w:val="0"/>
                <w:numId w:val="3"/>
              </w:numPr>
              <w:ind w:left="0" w:firstLine="0"/>
              <w:jc w:val="left"/>
              <w:rPr>
                <w:rFonts w:ascii="宋体" w:hAnsi="宋体"/>
                <w:sz w:val="18"/>
                <w:szCs w:val="18"/>
              </w:rPr>
            </w:pPr>
          </w:p>
        </w:tc>
        <w:tc>
          <w:tcPr>
            <w:tcW w:w="850" w:type="dxa"/>
            <w:vAlign w:val="center"/>
          </w:tcPr>
          <w:p w14:paraId="4CA0BD8E">
            <w:pPr>
              <w:rPr>
                <w:rFonts w:ascii="宋体" w:hAnsi="宋体" w:hint="eastAsia"/>
                <w:bCs/>
                <w:sz w:val="18"/>
                <w:szCs w:val="18"/>
              </w:rPr>
            </w:pPr>
            <w:r>
              <w:rPr>
                <w:rFonts w:ascii="宋体" w:hAnsi="宋体" w:hint="eastAsia"/>
                <w:bCs/>
                <w:sz w:val="18"/>
                <w:szCs w:val="18"/>
              </w:rPr>
              <w:t>1.3.8</w:t>
            </w:r>
          </w:p>
        </w:tc>
        <w:tc>
          <w:tcPr>
            <w:tcW w:w="7723" w:type="dxa"/>
            <w:vAlign w:val="center"/>
          </w:tcPr>
          <w:p w14:paraId="22C4A6F1">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14:paraId="280FE8F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B4B34D">
            <w:pPr>
              <w:numPr>
                <w:ilvl w:val="0"/>
                <w:numId w:val="3"/>
              </w:numPr>
              <w:ind w:left="0" w:firstLine="0"/>
              <w:jc w:val="left"/>
              <w:rPr>
                <w:rFonts w:ascii="宋体" w:hAnsi="宋体"/>
                <w:sz w:val="18"/>
                <w:szCs w:val="18"/>
              </w:rPr>
            </w:pPr>
          </w:p>
        </w:tc>
        <w:tc>
          <w:tcPr>
            <w:tcW w:w="850" w:type="dxa"/>
            <w:vAlign w:val="center"/>
          </w:tcPr>
          <w:p w14:paraId="59C0EF36">
            <w:pPr>
              <w:rPr>
                <w:rFonts w:ascii="宋体" w:hAnsi="宋体"/>
                <w:sz w:val="18"/>
                <w:szCs w:val="18"/>
              </w:rPr>
            </w:pPr>
            <w:r>
              <w:rPr>
                <w:rFonts w:ascii="宋体" w:hAnsi="宋体" w:hint="eastAsia"/>
                <w:bCs/>
                <w:sz w:val="18"/>
                <w:szCs w:val="18"/>
              </w:rPr>
              <w:t>1.3.9</w:t>
            </w:r>
          </w:p>
        </w:tc>
        <w:tc>
          <w:tcPr>
            <w:tcW w:w="7723" w:type="dxa"/>
            <w:vAlign w:val="center"/>
          </w:tcPr>
          <w:p w14:paraId="75E4CD01">
            <w:pPr>
              <w:rPr>
                <w:rFonts w:ascii="宋体" w:hAnsi="宋体"/>
                <w:sz w:val="18"/>
                <w:szCs w:val="18"/>
              </w:rPr>
            </w:pPr>
            <w:r>
              <w:rPr>
                <w:rFonts w:ascii="宋体" w:hAnsi="宋体" w:hint="eastAsia"/>
                <w:sz w:val="18"/>
                <w:szCs w:val="18"/>
              </w:rPr>
              <w:t>投标人在投标过程中向采购人和采购中心提供、给予任何有价值的物品。</w:t>
            </w:r>
          </w:p>
        </w:tc>
      </w:tr>
      <w:tr w14:paraId="54BAD10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7F56B03">
            <w:pPr>
              <w:numPr>
                <w:ilvl w:val="0"/>
                <w:numId w:val="3"/>
              </w:numPr>
              <w:ind w:left="0" w:firstLine="0"/>
              <w:jc w:val="left"/>
              <w:rPr>
                <w:rFonts w:ascii="宋体" w:hAnsi="宋体"/>
                <w:sz w:val="18"/>
                <w:szCs w:val="18"/>
              </w:rPr>
            </w:pPr>
          </w:p>
        </w:tc>
        <w:tc>
          <w:tcPr>
            <w:tcW w:w="850" w:type="dxa"/>
            <w:vAlign w:val="center"/>
          </w:tcPr>
          <w:p w14:paraId="4C369F2B">
            <w:pPr>
              <w:rPr>
                <w:rFonts w:ascii="宋体" w:hAnsi="宋体"/>
                <w:bCs/>
                <w:sz w:val="18"/>
                <w:szCs w:val="18"/>
              </w:rPr>
            </w:pPr>
            <w:r>
              <w:rPr>
                <w:rFonts w:ascii="宋体" w:hAnsi="宋体" w:hint="eastAsia"/>
                <w:bCs/>
                <w:sz w:val="18"/>
                <w:szCs w:val="18"/>
              </w:rPr>
              <w:t>1.3.10</w:t>
            </w:r>
          </w:p>
        </w:tc>
        <w:tc>
          <w:tcPr>
            <w:tcW w:w="7723" w:type="dxa"/>
            <w:vAlign w:val="center"/>
          </w:tcPr>
          <w:p w14:paraId="4E5C36EE">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14:paraId="66C3912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45C843">
            <w:pPr>
              <w:numPr>
                <w:ilvl w:val="0"/>
                <w:numId w:val="3"/>
              </w:numPr>
              <w:ind w:left="0" w:firstLine="0"/>
              <w:jc w:val="left"/>
              <w:rPr>
                <w:rFonts w:ascii="宋体" w:hAnsi="宋体"/>
                <w:sz w:val="18"/>
                <w:szCs w:val="18"/>
              </w:rPr>
            </w:pPr>
          </w:p>
        </w:tc>
        <w:tc>
          <w:tcPr>
            <w:tcW w:w="850" w:type="dxa"/>
            <w:vAlign w:val="center"/>
          </w:tcPr>
          <w:p w14:paraId="7B974D93">
            <w:pPr>
              <w:rPr>
                <w:rFonts w:ascii="宋体" w:hAnsi="宋体" w:hint="eastAsia"/>
                <w:bCs/>
                <w:sz w:val="18"/>
                <w:szCs w:val="18"/>
              </w:rPr>
            </w:pPr>
            <w:r>
              <w:rPr>
                <w:rFonts w:ascii="宋体" w:hAnsi="宋体" w:hint="eastAsia"/>
                <w:bCs/>
                <w:sz w:val="18"/>
                <w:szCs w:val="18"/>
              </w:rPr>
              <w:t>1.3.11</w:t>
            </w:r>
          </w:p>
        </w:tc>
        <w:tc>
          <w:tcPr>
            <w:tcW w:w="7723" w:type="dxa"/>
            <w:vAlign w:val="center"/>
          </w:tcPr>
          <w:p w14:paraId="4EFE5960">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14:paraId="25256D5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F0BA820">
            <w:pPr>
              <w:numPr>
                <w:ilvl w:val="0"/>
                <w:numId w:val="3"/>
              </w:numPr>
              <w:ind w:left="0" w:firstLine="0"/>
              <w:jc w:val="left"/>
              <w:rPr>
                <w:rFonts w:ascii="宋体" w:hAnsi="宋体"/>
                <w:sz w:val="18"/>
                <w:szCs w:val="18"/>
              </w:rPr>
            </w:pPr>
          </w:p>
        </w:tc>
        <w:tc>
          <w:tcPr>
            <w:tcW w:w="850" w:type="dxa"/>
            <w:vAlign w:val="center"/>
          </w:tcPr>
          <w:p w14:paraId="31A198C9">
            <w:pPr>
              <w:rPr>
                <w:rFonts w:ascii="宋体" w:hAnsi="宋体"/>
                <w:sz w:val="18"/>
                <w:szCs w:val="18"/>
              </w:rPr>
            </w:pPr>
            <w:r>
              <w:rPr>
                <w:rFonts w:ascii="宋体" w:hAnsi="宋体" w:hint="eastAsia"/>
                <w:bCs/>
                <w:sz w:val="18"/>
                <w:szCs w:val="18"/>
              </w:rPr>
              <w:t>1.3.12</w:t>
            </w:r>
          </w:p>
        </w:tc>
        <w:tc>
          <w:tcPr>
            <w:tcW w:w="7723" w:type="dxa"/>
            <w:vAlign w:val="center"/>
          </w:tcPr>
          <w:p w14:paraId="5E708BA6">
            <w:pPr>
              <w:pStyle w:val="10"/>
              <w:numPr>
                <w:ilvl w:val="0"/>
                <w:numId w:val="0"/>
              </w:numPr>
              <w:tabs>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14:paraId="7D6D71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2BD4F60">
            <w:pPr>
              <w:numPr>
                <w:ilvl w:val="0"/>
                <w:numId w:val="3"/>
              </w:numPr>
              <w:ind w:left="0" w:firstLine="0"/>
              <w:jc w:val="left"/>
              <w:rPr>
                <w:rFonts w:ascii="宋体" w:hAnsi="宋体"/>
                <w:sz w:val="18"/>
                <w:szCs w:val="18"/>
              </w:rPr>
            </w:pPr>
          </w:p>
        </w:tc>
        <w:tc>
          <w:tcPr>
            <w:tcW w:w="850" w:type="dxa"/>
            <w:vAlign w:val="center"/>
          </w:tcPr>
          <w:p w14:paraId="31D6FCB9">
            <w:pPr>
              <w:rPr>
                <w:rFonts w:ascii="宋体" w:hAnsi="宋体" w:hint="eastAsia"/>
                <w:bCs/>
                <w:sz w:val="18"/>
                <w:szCs w:val="18"/>
              </w:rPr>
            </w:pPr>
            <w:r>
              <w:rPr>
                <w:rFonts w:ascii="宋体" w:hAnsi="宋体" w:hint="eastAsia"/>
                <w:bCs/>
                <w:sz w:val="18"/>
                <w:szCs w:val="18"/>
              </w:rPr>
              <w:t>1.4.1</w:t>
            </w:r>
          </w:p>
        </w:tc>
        <w:tc>
          <w:tcPr>
            <w:tcW w:w="7723" w:type="dxa"/>
            <w:vAlign w:val="center"/>
          </w:tcPr>
          <w:p w14:paraId="017FFDE4">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14:paraId="185FEE2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930513F">
            <w:pPr>
              <w:numPr>
                <w:ilvl w:val="0"/>
                <w:numId w:val="3"/>
              </w:numPr>
              <w:ind w:left="0" w:firstLine="0"/>
              <w:jc w:val="left"/>
              <w:rPr>
                <w:rFonts w:ascii="宋体" w:hAnsi="宋体"/>
                <w:sz w:val="18"/>
                <w:szCs w:val="18"/>
              </w:rPr>
            </w:pPr>
          </w:p>
        </w:tc>
        <w:tc>
          <w:tcPr>
            <w:tcW w:w="850" w:type="dxa"/>
            <w:vAlign w:val="center"/>
          </w:tcPr>
          <w:p w14:paraId="203FA939">
            <w:pPr>
              <w:rPr>
                <w:rFonts w:ascii="宋体" w:hAnsi="宋体" w:hint="eastAsia"/>
                <w:bCs/>
                <w:sz w:val="18"/>
                <w:szCs w:val="18"/>
              </w:rPr>
            </w:pPr>
            <w:r>
              <w:rPr>
                <w:rFonts w:ascii="宋体" w:hAnsi="宋体" w:hint="eastAsia"/>
                <w:bCs/>
                <w:sz w:val="18"/>
                <w:szCs w:val="18"/>
              </w:rPr>
              <w:t>1.5.3</w:t>
            </w:r>
          </w:p>
        </w:tc>
        <w:tc>
          <w:tcPr>
            <w:tcW w:w="7723" w:type="dxa"/>
            <w:vAlign w:val="center"/>
          </w:tcPr>
          <w:p w14:paraId="62461755">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14:paraId="14D7A6E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9F0E063">
            <w:pPr>
              <w:numPr>
                <w:ilvl w:val="0"/>
                <w:numId w:val="3"/>
              </w:numPr>
              <w:ind w:left="0" w:firstLine="0"/>
              <w:jc w:val="left"/>
              <w:rPr>
                <w:rFonts w:ascii="宋体" w:hAnsi="宋体"/>
                <w:sz w:val="18"/>
                <w:szCs w:val="18"/>
              </w:rPr>
            </w:pPr>
          </w:p>
        </w:tc>
        <w:tc>
          <w:tcPr>
            <w:tcW w:w="850" w:type="dxa"/>
            <w:vAlign w:val="center"/>
          </w:tcPr>
          <w:p w14:paraId="18384F77">
            <w:pPr>
              <w:rPr>
                <w:rFonts w:ascii="宋体" w:hAnsi="宋体"/>
                <w:bCs/>
                <w:sz w:val="18"/>
                <w:szCs w:val="18"/>
              </w:rPr>
            </w:pPr>
            <w:r>
              <w:rPr>
                <w:rFonts w:ascii="宋体" w:hAnsi="宋体" w:hint="eastAsia"/>
                <w:bCs/>
                <w:sz w:val="18"/>
                <w:szCs w:val="18"/>
              </w:rPr>
              <w:t>1.6.1</w:t>
            </w:r>
          </w:p>
        </w:tc>
        <w:tc>
          <w:tcPr>
            <w:tcW w:w="7723" w:type="dxa"/>
            <w:vAlign w:val="center"/>
          </w:tcPr>
          <w:p w14:paraId="7A34B6F2">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761E59D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18195F">
            <w:pPr>
              <w:numPr>
                <w:ilvl w:val="0"/>
                <w:numId w:val="3"/>
              </w:numPr>
              <w:ind w:left="0" w:firstLine="0"/>
              <w:jc w:val="left"/>
              <w:rPr>
                <w:rFonts w:ascii="宋体" w:hAnsi="宋体"/>
                <w:sz w:val="18"/>
                <w:szCs w:val="18"/>
              </w:rPr>
            </w:pPr>
          </w:p>
        </w:tc>
        <w:tc>
          <w:tcPr>
            <w:tcW w:w="850" w:type="dxa"/>
            <w:vAlign w:val="center"/>
          </w:tcPr>
          <w:p w14:paraId="7542BDB5">
            <w:pPr>
              <w:rPr>
                <w:rFonts w:ascii="宋体" w:hAnsi="宋体"/>
                <w:sz w:val="18"/>
                <w:szCs w:val="18"/>
              </w:rPr>
            </w:pPr>
            <w:r>
              <w:rPr>
                <w:rFonts w:ascii="宋体" w:hAnsi="宋体" w:hint="eastAsia"/>
                <w:bCs/>
                <w:sz w:val="18"/>
                <w:szCs w:val="18"/>
              </w:rPr>
              <w:t>1.7.1</w:t>
            </w:r>
          </w:p>
        </w:tc>
        <w:tc>
          <w:tcPr>
            <w:tcW w:w="7723" w:type="dxa"/>
            <w:vAlign w:val="center"/>
          </w:tcPr>
          <w:p w14:paraId="18C9F2AD">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14:paraId="4647AC11">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5B8C82CD">
            <w:pPr>
              <w:numPr>
                <w:ilvl w:val="0"/>
                <w:numId w:val="3"/>
              </w:numPr>
              <w:spacing w:line="360" w:lineRule="auto"/>
              <w:ind w:left="0" w:firstLine="0"/>
              <w:jc w:val="left"/>
              <w:rPr>
                <w:rFonts w:ascii="宋体" w:hAnsi="宋体"/>
                <w:bCs/>
                <w:sz w:val="18"/>
                <w:szCs w:val="18"/>
              </w:rPr>
            </w:pPr>
          </w:p>
        </w:tc>
        <w:tc>
          <w:tcPr>
            <w:tcW w:w="850" w:type="dxa"/>
            <w:vAlign w:val="center"/>
          </w:tcPr>
          <w:p w14:paraId="6052F231">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14:paraId="3523F4B0">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14:paraId="5024D5B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028072">
            <w:pPr>
              <w:numPr>
                <w:ilvl w:val="0"/>
                <w:numId w:val="3"/>
              </w:numPr>
              <w:ind w:left="0" w:firstLine="0"/>
              <w:jc w:val="left"/>
              <w:rPr>
                <w:rFonts w:ascii="宋体" w:hAnsi="宋体"/>
                <w:sz w:val="18"/>
                <w:szCs w:val="18"/>
              </w:rPr>
            </w:pPr>
          </w:p>
        </w:tc>
        <w:tc>
          <w:tcPr>
            <w:tcW w:w="850" w:type="dxa"/>
            <w:vAlign w:val="center"/>
          </w:tcPr>
          <w:p w14:paraId="3F24A576">
            <w:pPr>
              <w:rPr>
                <w:rFonts w:ascii="宋体" w:hAnsi="宋体"/>
                <w:sz w:val="18"/>
                <w:szCs w:val="18"/>
              </w:rPr>
            </w:pPr>
            <w:r>
              <w:rPr>
                <w:rFonts w:ascii="宋体" w:hAnsi="宋体" w:hint="eastAsia"/>
                <w:sz w:val="18"/>
                <w:szCs w:val="18"/>
              </w:rPr>
              <w:t>1.7.3</w:t>
            </w:r>
          </w:p>
        </w:tc>
        <w:tc>
          <w:tcPr>
            <w:tcW w:w="7723" w:type="dxa"/>
            <w:vAlign w:val="center"/>
          </w:tcPr>
          <w:p w14:paraId="4F8E3171">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4F72FFB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EBE6F5">
            <w:pPr>
              <w:numPr>
                <w:ilvl w:val="0"/>
                <w:numId w:val="3"/>
              </w:numPr>
              <w:ind w:left="0" w:firstLine="0"/>
              <w:jc w:val="left"/>
              <w:rPr>
                <w:rFonts w:ascii="宋体" w:hAnsi="宋体"/>
                <w:sz w:val="18"/>
                <w:szCs w:val="18"/>
              </w:rPr>
            </w:pPr>
          </w:p>
        </w:tc>
        <w:tc>
          <w:tcPr>
            <w:tcW w:w="850" w:type="dxa"/>
            <w:vAlign w:val="center"/>
          </w:tcPr>
          <w:p w14:paraId="2F0841F1">
            <w:pPr>
              <w:jc w:val="left"/>
              <w:rPr>
                <w:rFonts w:ascii="宋体" w:hAnsi="宋体"/>
                <w:sz w:val="18"/>
                <w:szCs w:val="18"/>
              </w:rPr>
            </w:pPr>
            <w:r>
              <w:rPr>
                <w:rFonts w:ascii="宋体" w:hAnsi="宋体" w:hint="eastAsia"/>
                <w:sz w:val="18"/>
                <w:szCs w:val="18"/>
              </w:rPr>
              <w:t>1.14.2</w:t>
            </w:r>
          </w:p>
        </w:tc>
        <w:tc>
          <w:tcPr>
            <w:tcW w:w="7723" w:type="dxa"/>
            <w:vAlign w:val="center"/>
          </w:tcPr>
          <w:p w14:paraId="129A9EDC">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②以投标截止日为基准日，近一年内内任何完税凭证或税务部门出具的税收减免证明</w:t>
            </w:r>
            <w:r>
              <w:rPr>
                <w:rFonts w:hint="eastAsia"/>
                <w:sz w:val="18"/>
                <w:szCs w:val="18"/>
              </w:rPr>
              <w:t>；</w:t>
            </w:r>
            <w:r>
              <w:rPr>
                <w:rFonts w:ascii="宋体" w:hAnsi="宋体" w:hint="eastAsia"/>
                <w:sz w:val="18"/>
                <w:szCs w:val="18"/>
              </w:rPr>
              <w:t>③以投标截止日为基准日，近一年内的任何一期社会保障资金缴纳凭证</w:t>
            </w:r>
            <w:r>
              <w:rPr>
                <w:rFonts w:hint="eastAsia"/>
                <w:sz w:val="18"/>
                <w:szCs w:val="18"/>
              </w:rPr>
              <w:t>；</w:t>
            </w:r>
            <w:r>
              <w:rPr>
                <w:rFonts w:ascii="宋体" w:hAnsi="宋体" w:hint="eastAsia"/>
                <w:sz w:val="18"/>
                <w:szCs w:val="18"/>
              </w:rPr>
              <w:t>④财务状况证明</w:t>
            </w:r>
            <w:r>
              <w:rPr>
                <w:rFonts w:hint="eastAsia"/>
                <w:sz w:val="18"/>
                <w:szCs w:val="18"/>
              </w:rPr>
              <w:t>；</w:t>
            </w:r>
            <w:r>
              <w:rPr>
                <w:rFonts w:ascii="宋体" w:hAnsi="宋体" w:hint="eastAsia"/>
                <w:sz w:val="18"/>
                <w:szCs w:val="18"/>
              </w:rPr>
              <w:t>⑤近三年内参加政府采购活动中没有重大违法记录声明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；⑦进口产品制造商授权书（投标货物不是进口产品的，不提供）；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14:paraId="60F3DC9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1360215">
            <w:pPr>
              <w:numPr>
                <w:ilvl w:val="0"/>
                <w:numId w:val="3"/>
              </w:numPr>
              <w:ind w:left="0" w:firstLine="0"/>
              <w:jc w:val="left"/>
              <w:rPr>
                <w:rFonts w:ascii="宋体" w:hAnsi="宋体"/>
                <w:sz w:val="18"/>
                <w:szCs w:val="18"/>
              </w:rPr>
            </w:pPr>
          </w:p>
        </w:tc>
        <w:tc>
          <w:tcPr>
            <w:tcW w:w="850" w:type="dxa"/>
            <w:vAlign w:val="center"/>
          </w:tcPr>
          <w:p w14:paraId="23104450">
            <w:pPr>
              <w:rPr>
                <w:rFonts w:ascii="宋体" w:hAnsi="宋体"/>
                <w:sz w:val="18"/>
                <w:szCs w:val="18"/>
              </w:rPr>
            </w:pPr>
            <w:r>
              <w:rPr>
                <w:rFonts w:ascii="宋体" w:hAnsi="宋体" w:hint="eastAsia"/>
                <w:sz w:val="18"/>
                <w:szCs w:val="18"/>
              </w:rPr>
              <w:t>1.14.3</w:t>
            </w:r>
          </w:p>
        </w:tc>
        <w:tc>
          <w:tcPr>
            <w:tcW w:w="7723" w:type="dxa"/>
          </w:tcPr>
          <w:p w14:paraId="6DF760F6">
            <w:pPr>
              <w:pStyle w:val="10"/>
              <w:numPr>
                <w:ilvl w:val="0"/>
                <w:numId w:val="0"/>
              </w:numPr>
              <w:tabs>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14:paraId="04444454">
            <w:pPr>
              <w:pStyle w:val="10"/>
              <w:numPr>
                <w:ilvl w:val="0"/>
                <w:numId w:val="0"/>
              </w:numPr>
              <w:tabs>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14:paraId="2403DC8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7994D6">
            <w:pPr>
              <w:numPr>
                <w:ilvl w:val="0"/>
                <w:numId w:val="3"/>
              </w:numPr>
              <w:ind w:left="0" w:firstLine="0"/>
              <w:jc w:val="left"/>
              <w:rPr>
                <w:rFonts w:ascii="宋体" w:hAnsi="宋体"/>
                <w:sz w:val="18"/>
                <w:szCs w:val="18"/>
              </w:rPr>
            </w:pPr>
          </w:p>
        </w:tc>
        <w:tc>
          <w:tcPr>
            <w:tcW w:w="850" w:type="dxa"/>
            <w:vAlign w:val="center"/>
          </w:tcPr>
          <w:p w14:paraId="2F1AAA37">
            <w:pPr>
              <w:rPr>
                <w:rFonts w:ascii="宋体" w:hAnsi="宋体" w:hint="eastAsia"/>
                <w:sz w:val="18"/>
                <w:szCs w:val="18"/>
              </w:rPr>
            </w:pPr>
            <w:r>
              <w:rPr>
                <w:rFonts w:ascii="宋体" w:hAnsi="宋体" w:hint="eastAsia"/>
                <w:sz w:val="18"/>
                <w:szCs w:val="18"/>
              </w:rPr>
              <w:t>1.15.2</w:t>
            </w:r>
          </w:p>
        </w:tc>
        <w:tc>
          <w:tcPr>
            <w:tcW w:w="7723" w:type="dxa"/>
            <w:vAlign w:val="center"/>
          </w:tcPr>
          <w:p w14:paraId="7129244C">
            <w:pPr>
              <w:pStyle w:val="10"/>
              <w:numPr>
                <w:ilvl w:val="0"/>
                <w:numId w:val="0"/>
              </w:numPr>
              <w:tabs>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14:paraId="48C077A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605077">
            <w:pPr>
              <w:numPr>
                <w:ilvl w:val="0"/>
                <w:numId w:val="3"/>
              </w:numPr>
              <w:ind w:left="0" w:firstLine="0"/>
              <w:jc w:val="left"/>
              <w:rPr>
                <w:rFonts w:ascii="宋体" w:hAnsi="宋体"/>
                <w:sz w:val="18"/>
                <w:szCs w:val="18"/>
              </w:rPr>
            </w:pPr>
          </w:p>
        </w:tc>
        <w:tc>
          <w:tcPr>
            <w:tcW w:w="850" w:type="dxa"/>
            <w:vAlign w:val="center"/>
          </w:tcPr>
          <w:p w14:paraId="7AA9E2E9">
            <w:pPr>
              <w:jc w:val="left"/>
              <w:rPr>
                <w:rFonts w:ascii="宋体" w:hAnsi="宋体"/>
                <w:sz w:val="18"/>
                <w:szCs w:val="18"/>
              </w:rPr>
            </w:pPr>
            <w:r>
              <w:rPr>
                <w:rFonts w:ascii="宋体" w:hAnsi="宋体" w:hint="eastAsia"/>
                <w:sz w:val="18"/>
                <w:szCs w:val="18"/>
              </w:rPr>
              <w:t>1.16.3</w:t>
            </w:r>
          </w:p>
        </w:tc>
        <w:tc>
          <w:tcPr>
            <w:tcW w:w="7723" w:type="dxa"/>
            <w:vAlign w:val="center"/>
          </w:tcPr>
          <w:p w14:paraId="2192BD21">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14:paraId="451DC4D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D041C55">
            <w:pPr>
              <w:numPr>
                <w:ilvl w:val="0"/>
                <w:numId w:val="3"/>
              </w:numPr>
              <w:ind w:left="0" w:firstLine="0"/>
              <w:jc w:val="left"/>
              <w:rPr>
                <w:rFonts w:ascii="宋体" w:hAnsi="宋体"/>
                <w:sz w:val="18"/>
                <w:szCs w:val="18"/>
              </w:rPr>
            </w:pPr>
          </w:p>
        </w:tc>
        <w:tc>
          <w:tcPr>
            <w:tcW w:w="850" w:type="dxa"/>
            <w:vAlign w:val="center"/>
          </w:tcPr>
          <w:p w14:paraId="3266330F">
            <w:pPr>
              <w:rPr>
                <w:rFonts w:ascii="宋体" w:hAnsi="宋体"/>
                <w:sz w:val="18"/>
                <w:szCs w:val="18"/>
              </w:rPr>
            </w:pPr>
            <w:r>
              <w:rPr>
                <w:rFonts w:ascii="宋体" w:hAnsi="宋体" w:hint="eastAsia"/>
                <w:sz w:val="18"/>
                <w:szCs w:val="18"/>
              </w:rPr>
              <w:t>1.17.2</w:t>
            </w:r>
          </w:p>
        </w:tc>
        <w:tc>
          <w:tcPr>
            <w:tcW w:w="7723" w:type="dxa"/>
            <w:vAlign w:val="center"/>
          </w:tcPr>
          <w:p w14:paraId="0B2FB45C">
            <w:pPr>
              <w:pStyle w:val="10"/>
              <w:numPr>
                <w:ilvl w:val="0"/>
                <w:numId w:val="0"/>
              </w:numPr>
              <w:tabs>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14:paraId="03E55AB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1E862C4">
            <w:pPr>
              <w:numPr>
                <w:ilvl w:val="0"/>
                <w:numId w:val="3"/>
              </w:numPr>
              <w:ind w:left="0" w:firstLine="0"/>
              <w:jc w:val="left"/>
              <w:rPr>
                <w:rFonts w:ascii="宋体" w:hAnsi="宋体"/>
                <w:sz w:val="18"/>
                <w:szCs w:val="18"/>
              </w:rPr>
            </w:pPr>
          </w:p>
        </w:tc>
        <w:tc>
          <w:tcPr>
            <w:tcW w:w="850" w:type="dxa"/>
            <w:vAlign w:val="center"/>
          </w:tcPr>
          <w:p w14:paraId="01F31493">
            <w:pPr>
              <w:rPr>
                <w:rFonts w:ascii="宋体" w:hAnsi="宋体"/>
                <w:sz w:val="18"/>
                <w:szCs w:val="18"/>
              </w:rPr>
            </w:pPr>
            <w:r>
              <w:rPr>
                <w:rFonts w:ascii="宋体" w:hAnsi="宋体" w:hint="eastAsia"/>
                <w:sz w:val="18"/>
                <w:szCs w:val="18"/>
              </w:rPr>
              <w:t>1.17.4</w:t>
            </w:r>
          </w:p>
        </w:tc>
        <w:tc>
          <w:tcPr>
            <w:tcW w:w="7723" w:type="dxa"/>
            <w:vAlign w:val="center"/>
          </w:tcPr>
          <w:p w14:paraId="67508B1C">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14:paraId="316FA19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32AC475">
            <w:pPr>
              <w:numPr>
                <w:ilvl w:val="0"/>
                <w:numId w:val="3"/>
              </w:numPr>
              <w:ind w:left="0" w:firstLine="0"/>
              <w:jc w:val="left"/>
              <w:rPr>
                <w:rFonts w:ascii="宋体" w:hAnsi="宋体"/>
                <w:sz w:val="18"/>
                <w:szCs w:val="18"/>
              </w:rPr>
            </w:pPr>
          </w:p>
        </w:tc>
        <w:tc>
          <w:tcPr>
            <w:tcW w:w="850" w:type="dxa"/>
            <w:vAlign w:val="center"/>
          </w:tcPr>
          <w:p w14:paraId="58ECA60F">
            <w:pPr>
              <w:rPr>
                <w:rFonts w:ascii="宋体" w:hAnsi="宋体"/>
                <w:sz w:val="18"/>
                <w:szCs w:val="18"/>
              </w:rPr>
            </w:pPr>
            <w:r>
              <w:rPr>
                <w:rFonts w:ascii="宋体" w:hAnsi="宋体" w:hint="eastAsia"/>
                <w:sz w:val="18"/>
                <w:szCs w:val="18"/>
              </w:rPr>
              <w:t>1.18</w:t>
            </w:r>
          </w:p>
        </w:tc>
        <w:tc>
          <w:tcPr>
            <w:tcW w:w="7723" w:type="dxa"/>
            <w:vAlign w:val="center"/>
          </w:tcPr>
          <w:p w14:paraId="18933BA1">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14:paraId="69BA3BE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9920F6">
            <w:pPr>
              <w:numPr>
                <w:ilvl w:val="0"/>
                <w:numId w:val="3"/>
              </w:numPr>
              <w:ind w:left="0" w:firstLine="0"/>
              <w:jc w:val="left"/>
              <w:rPr>
                <w:rFonts w:ascii="宋体" w:hAnsi="宋体"/>
                <w:sz w:val="18"/>
                <w:szCs w:val="18"/>
              </w:rPr>
            </w:pPr>
          </w:p>
        </w:tc>
        <w:tc>
          <w:tcPr>
            <w:tcW w:w="850" w:type="dxa"/>
            <w:vAlign w:val="center"/>
          </w:tcPr>
          <w:p w14:paraId="10E42F8E">
            <w:pPr>
              <w:rPr>
                <w:rFonts w:ascii="宋体" w:hAnsi="宋体"/>
                <w:sz w:val="18"/>
                <w:szCs w:val="18"/>
              </w:rPr>
            </w:pPr>
            <w:r>
              <w:rPr>
                <w:rFonts w:ascii="宋体" w:hAnsi="宋体" w:hint="eastAsia"/>
                <w:sz w:val="18"/>
                <w:szCs w:val="18"/>
              </w:rPr>
              <w:t>1.20.1</w:t>
            </w:r>
          </w:p>
        </w:tc>
        <w:tc>
          <w:tcPr>
            <w:tcW w:w="7723" w:type="dxa"/>
            <w:vAlign w:val="center"/>
          </w:tcPr>
          <w:p w14:paraId="2F46A47D">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14:paraId="4C14A4F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52CABA0">
            <w:pPr>
              <w:numPr>
                <w:ilvl w:val="0"/>
                <w:numId w:val="3"/>
              </w:numPr>
              <w:ind w:left="0" w:firstLine="0"/>
              <w:jc w:val="left"/>
              <w:rPr>
                <w:rFonts w:ascii="宋体" w:hAnsi="宋体"/>
                <w:sz w:val="18"/>
                <w:szCs w:val="18"/>
              </w:rPr>
            </w:pPr>
          </w:p>
        </w:tc>
        <w:tc>
          <w:tcPr>
            <w:tcW w:w="850" w:type="dxa"/>
            <w:vAlign w:val="center"/>
          </w:tcPr>
          <w:p w14:paraId="7CDA5DA3">
            <w:pPr>
              <w:rPr>
                <w:rFonts w:ascii="宋体" w:hAnsi="宋体" w:hint="eastAsia"/>
                <w:sz w:val="18"/>
                <w:szCs w:val="18"/>
              </w:rPr>
            </w:pPr>
            <w:r>
              <w:rPr>
                <w:rFonts w:ascii="宋体" w:hAnsi="宋体" w:hint="eastAsia"/>
                <w:sz w:val="18"/>
                <w:szCs w:val="18"/>
              </w:rPr>
              <w:t>1.26.5</w:t>
            </w:r>
          </w:p>
        </w:tc>
        <w:tc>
          <w:tcPr>
            <w:tcW w:w="7723" w:type="dxa"/>
            <w:vAlign w:val="center"/>
          </w:tcPr>
          <w:p w14:paraId="0A569F5B">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14:paraId="5F17604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5490689">
            <w:pPr>
              <w:numPr>
                <w:ilvl w:val="0"/>
                <w:numId w:val="3"/>
              </w:numPr>
              <w:ind w:left="0" w:firstLine="0"/>
              <w:jc w:val="left"/>
              <w:rPr>
                <w:rFonts w:ascii="宋体" w:hAnsi="宋体"/>
                <w:sz w:val="18"/>
                <w:szCs w:val="18"/>
              </w:rPr>
            </w:pPr>
          </w:p>
        </w:tc>
        <w:tc>
          <w:tcPr>
            <w:tcW w:w="850" w:type="dxa"/>
            <w:vAlign w:val="center"/>
          </w:tcPr>
          <w:p w14:paraId="55FAC5B8">
            <w:pPr>
              <w:rPr>
                <w:rFonts w:ascii="宋体" w:hAnsi="宋体"/>
                <w:sz w:val="18"/>
                <w:szCs w:val="18"/>
              </w:rPr>
            </w:pPr>
            <w:r>
              <w:rPr>
                <w:rFonts w:ascii="宋体" w:hAnsi="宋体" w:hint="eastAsia"/>
                <w:sz w:val="18"/>
                <w:szCs w:val="18"/>
              </w:rPr>
              <w:t>1.26.8</w:t>
            </w:r>
          </w:p>
        </w:tc>
        <w:tc>
          <w:tcPr>
            <w:tcW w:w="7723" w:type="dxa"/>
            <w:vAlign w:val="center"/>
          </w:tcPr>
          <w:p w14:paraId="47AAD05E">
            <w:pPr>
              <w:pStyle w:val="10"/>
              <w:numPr>
                <w:ilvl w:val="0"/>
                <w:numId w:val="0"/>
              </w:numPr>
              <w:tabs>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14:paraId="58AF5F5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659A49E">
            <w:pPr>
              <w:numPr>
                <w:ilvl w:val="0"/>
                <w:numId w:val="3"/>
              </w:numPr>
              <w:ind w:left="0" w:firstLine="0"/>
              <w:jc w:val="left"/>
              <w:rPr>
                <w:rFonts w:ascii="宋体" w:hAnsi="宋体"/>
                <w:sz w:val="18"/>
                <w:szCs w:val="18"/>
              </w:rPr>
            </w:pPr>
          </w:p>
        </w:tc>
        <w:tc>
          <w:tcPr>
            <w:tcW w:w="850" w:type="dxa"/>
            <w:vAlign w:val="center"/>
          </w:tcPr>
          <w:p w14:paraId="43990325">
            <w:pPr>
              <w:rPr>
                <w:rFonts w:ascii="宋体" w:hAnsi="宋体"/>
                <w:sz w:val="18"/>
                <w:szCs w:val="18"/>
              </w:rPr>
            </w:pPr>
            <w:r>
              <w:rPr>
                <w:rFonts w:ascii="宋体" w:hAnsi="宋体" w:hint="eastAsia"/>
                <w:sz w:val="18"/>
                <w:szCs w:val="18"/>
              </w:rPr>
              <w:t>1.26.9</w:t>
            </w:r>
          </w:p>
        </w:tc>
        <w:tc>
          <w:tcPr>
            <w:tcW w:w="7723" w:type="dxa"/>
            <w:vAlign w:val="center"/>
          </w:tcPr>
          <w:p w14:paraId="069A9628">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71869E1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020463A">
            <w:pPr>
              <w:numPr>
                <w:ilvl w:val="0"/>
                <w:numId w:val="3"/>
              </w:numPr>
              <w:ind w:left="0" w:firstLine="0"/>
              <w:jc w:val="left"/>
              <w:rPr>
                <w:rFonts w:ascii="宋体" w:hAnsi="宋体"/>
                <w:sz w:val="18"/>
                <w:szCs w:val="18"/>
              </w:rPr>
            </w:pPr>
          </w:p>
        </w:tc>
        <w:tc>
          <w:tcPr>
            <w:tcW w:w="850" w:type="dxa"/>
            <w:vAlign w:val="center"/>
          </w:tcPr>
          <w:p w14:paraId="46482737">
            <w:pPr>
              <w:rPr>
                <w:rFonts w:ascii="宋体" w:hAnsi="宋体"/>
                <w:sz w:val="18"/>
                <w:szCs w:val="18"/>
              </w:rPr>
            </w:pPr>
            <w:r>
              <w:rPr>
                <w:rFonts w:ascii="宋体" w:hAnsi="宋体" w:hint="eastAsia"/>
                <w:sz w:val="18"/>
                <w:szCs w:val="18"/>
              </w:rPr>
              <w:t>1.27.2</w:t>
            </w:r>
          </w:p>
        </w:tc>
        <w:tc>
          <w:tcPr>
            <w:tcW w:w="7723" w:type="dxa"/>
            <w:vAlign w:val="center"/>
          </w:tcPr>
          <w:p w14:paraId="492D8E90">
            <w:pPr>
              <w:pStyle w:val="10"/>
              <w:numPr>
                <w:ilvl w:val="0"/>
                <w:numId w:val="0"/>
              </w:numPr>
              <w:tabs>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14:paraId="50C7F3C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158192A">
            <w:pPr>
              <w:numPr>
                <w:ilvl w:val="0"/>
                <w:numId w:val="3"/>
              </w:numPr>
              <w:ind w:left="0" w:firstLine="0"/>
              <w:jc w:val="left"/>
              <w:rPr>
                <w:rFonts w:ascii="宋体" w:hAnsi="宋体"/>
                <w:sz w:val="18"/>
                <w:szCs w:val="18"/>
              </w:rPr>
            </w:pPr>
          </w:p>
        </w:tc>
        <w:tc>
          <w:tcPr>
            <w:tcW w:w="850" w:type="dxa"/>
            <w:vAlign w:val="center"/>
          </w:tcPr>
          <w:p w14:paraId="37213135">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14:paraId="37CAD011">
            <w:pPr>
              <w:pStyle w:val="10"/>
              <w:numPr>
                <w:ilvl w:val="0"/>
                <w:numId w:val="0"/>
              </w:numPr>
              <w:tabs>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14:paraId="474891B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B29AE02">
            <w:pPr>
              <w:numPr>
                <w:ilvl w:val="0"/>
                <w:numId w:val="3"/>
              </w:numPr>
              <w:ind w:left="0" w:firstLine="0"/>
              <w:jc w:val="left"/>
              <w:rPr>
                <w:rFonts w:ascii="宋体" w:hAnsi="宋体"/>
                <w:sz w:val="18"/>
                <w:szCs w:val="18"/>
              </w:rPr>
            </w:pPr>
          </w:p>
        </w:tc>
        <w:tc>
          <w:tcPr>
            <w:tcW w:w="850" w:type="dxa"/>
            <w:vAlign w:val="center"/>
          </w:tcPr>
          <w:p w14:paraId="566FB7AA">
            <w:pPr>
              <w:rPr>
                <w:rFonts w:ascii="宋体" w:hAnsi="宋体"/>
                <w:sz w:val="18"/>
                <w:szCs w:val="18"/>
              </w:rPr>
            </w:pPr>
            <w:r>
              <w:rPr>
                <w:rFonts w:ascii="宋体" w:hAnsi="宋体" w:hint="eastAsia"/>
                <w:sz w:val="18"/>
                <w:szCs w:val="18"/>
              </w:rPr>
              <w:t>1.30.1</w:t>
            </w:r>
          </w:p>
        </w:tc>
        <w:tc>
          <w:tcPr>
            <w:tcW w:w="7723" w:type="dxa"/>
            <w:vAlign w:val="center"/>
          </w:tcPr>
          <w:p w14:paraId="534ABD18">
            <w:pPr>
              <w:pStyle w:val="10"/>
              <w:numPr>
                <w:ilvl w:val="0"/>
                <w:numId w:val="0"/>
              </w:numPr>
              <w:tabs>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14:paraId="5E81A384">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6A172C30">
            <w:pPr>
              <w:jc w:val="center"/>
              <w:rPr>
                <w:rFonts w:ascii="宋体" w:hAnsi="宋体"/>
                <w:b/>
                <w:sz w:val="18"/>
                <w:szCs w:val="18"/>
                <w:lang w:val="zh-CN"/>
              </w:rPr>
            </w:pPr>
            <w:r>
              <w:rPr>
                <w:rFonts w:ascii="宋体" w:hAnsi="宋体" w:hint="eastAsia"/>
                <w:b/>
                <w:sz w:val="18"/>
                <w:szCs w:val="18"/>
              </w:rPr>
              <w:t>第二章 投标文件格式</w:t>
            </w:r>
          </w:p>
        </w:tc>
      </w:tr>
      <w:tr w14:paraId="2C531AB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9750C06">
            <w:pPr>
              <w:numPr>
                <w:ilvl w:val="0"/>
                <w:numId w:val="3"/>
              </w:numPr>
              <w:ind w:left="0" w:firstLine="0"/>
              <w:jc w:val="left"/>
              <w:rPr>
                <w:rFonts w:ascii="宋体" w:hAnsi="宋体"/>
                <w:sz w:val="18"/>
                <w:szCs w:val="18"/>
              </w:rPr>
            </w:pPr>
          </w:p>
        </w:tc>
        <w:tc>
          <w:tcPr>
            <w:tcW w:w="850" w:type="dxa"/>
            <w:vAlign w:val="center"/>
          </w:tcPr>
          <w:p w14:paraId="0A8F8149">
            <w:pPr>
              <w:jc w:val="left"/>
              <w:rPr>
                <w:rFonts w:ascii="宋体" w:hAnsi="宋体"/>
                <w:sz w:val="18"/>
                <w:szCs w:val="18"/>
              </w:rPr>
            </w:pPr>
            <w:r>
              <w:rPr>
                <w:rFonts w:ascii="宋体" w:hAnsi="宋体" w:hint="eastAsia"/>
                <w:sz w:val="18"/>
                <w:szCs w:val="18"/>
              </w:rPr>
              <w:t>2.6</w:t>
            </w:r>
          </w:p>
        </w:tc>
        <w:tc>
          <w:tcPr>
            <w:tcW w:w="7723" w:type="dxa"/>
            <w:vAlign w:val="center"/>
          </w:tcPr>
          <w:p w14:paraId="575689C1">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14:paraId="6E65C68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0398E48">
            <w:pPr>
              <w:numPr>
                <w:ilvl w:val="0"/>
                <w:numId w:val="3"/>
              </w:numPr>
              <w:ind w:left="0" w:firstLine="0"/>
              <w:jc w:val="left"/>
              <w:rPr>
                <w:rFonts w:ascii="宋体" w:hAnsi="宋体"/>
                <w:sz w:val="18"/>
                <w:szCs w:val="18"/>
              </w:rPr>
            </w:pPr>
          </w:p>
        </w:tc>
        <w:tc>
          <w:tcPr>
            <w:tcW w:w="850" w:type="dxa"/>
            <w:vAlign w:val="center"/>
          </w:tcPr>
          <w:p w14:paraId="2E1C8A29">
            <w:pPr>
              <w:jc w:val="left"/>
              <w:rPr>
                <w:rFonts w:ascii="宋体" w:hAnsi="宋体"/>
                <w:sz w:val="18"/>
                <w:szCs w:val="18"/>
              </w:rPr>
            </w:pPr>
            <w:r>
              <w:rPr>
                <w:rFonts w:ascii="宋体" w:hAnsi="宋体" w:hint="eastAsia"/>
                <w:sz w:val="18"/>
                <w:szCs w:val="18"/>
              </w:rPr>
              <w:t>2.7</w:t>
            </w:r>
          </w:p>
        </w:tc>
        <w:tc>
          <w:tcPr>
            <w:tcW w:w="7723" w:type="dxa"/>
            <w:vAlign w:val="center"/>
          </w:tcPr>
          <w:p w14:paraId="3BE37E8F">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14:paraId="6AFE381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1AC11D">
            <w:pPr>
              <w:numPr>
                <w:ilvl w:val="0"/>
                <w:numId w:val="3"/>
              </w:numPr>
              <w:ind w:left="0" w:firstLine="0"/>
              <w:jc w:val="left"/>
              <w:rPr>
                <w:rFonts w:ascii="宋体" w:hAnsi="宋体"/>
                <w:sz w:val="18"/>
                <w:szCs w:val="18"/>
              </w:rPr>
            </w:pPr>
          </w:p>
        </w:tc>
        <w:tc>
          <w:tcPr>
            <w:tcW w:w="850" w:type="dxa"/>
            <w:vAlign w:val="center"/>
          </w:tcPr>
          <w:p w14:paraId="63FC5ED9">
            <w:pPr>
              <w:jc w:val="left"/>
              <w:rPr>
                <w:rFonts w:ascii="宋体" w:hAnsi="宋体"/>
                <w:sz w:val="18"/>
                <w:szCs w:val="18"/>
              </w:rPr>
            </w:pPr>
            <w:r>
              <w:rPr>
                <w:rFonts w:ascii="宋体" w:hAnsi="宋体" w:hint="eastAsia"/>
                <w:sz w:val="18"/>
                <w:szCs w:val="18"/>
              </w:rPr>
              <w:t>2.10.5</w:t>
            </w:r>
          </w:p>
        </w:tc>
        <w:tc>
          <w:tcPr>
            <w:tcW w:w="7723" w:type="dxa"/>
            <w:vAlign w:val="center"/>
          </w:tcPr>
          <w:p w14:paraId="2828EF4E">
            <w:pPr>
              <w:pStyle w:val="10"/>
              <w:numPr>
                <w:ilvl w:val="0"/>
                <w:numId w:val="0"/>
              </w:numPr>
              <w:tabs>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14:paraId="3B1AFF2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D2AC5F3">
            <w:pPr>
              <w:numPr>
                <w:ilvl w:val="0"/>
                <w:numId w:val="3"/>
              </w:numPr>
              <w:ind w:left="0" w:firstLine="0"/>
              <w:jc w:val="left"/>
              <w:rPr>
                <w:rFonts w:ascii="宋体" w:hAnsi="宋体"/>
                <w:sz w:val="18"/>
                <w:szCs w:val="18"/>
              </w:rPr>
            </w:pPr>
          </w:p>
        </w:tc>
        <w:tc>
          <w:tcPr>
            <w:tcW w:w="850" w:type="dxa"/>
            <w:vAlign w:val="center"/>
          </w:tcPr>
          <w:p w14:paraId="619DCC77">
            <w:pPr>
              <w:jc w:val="left"/>
              <w:rPr>
                <w:rFonts w:ascii="宋体" w:hAnsi="宋体" w:hint="eastAsia"/>
                <w:sz w:val="18"/>
                <w:szCs w:val="18"/>
              </w:rPr>
            </w:pPr>
            <w:r>
              <w:rPr>
                <w:rFonts w:ascii="宋体" w:hAnsi="宋体" w:hint="eastAsia"/>
                <w:sz w:val="18"/>
                <w:szCs w:val="18"/>
              </w:rPr>
              <w:t>2.10.9</w:t>
            </w:r>
          </w:p>
        </w:tc>
        <w:tc>
          <w:tcPr>
            <w:tcW w:w="7723" w:type="dxa"/>
            <w:vAlign w:val="center"/>
          </w:tcPr>
          <w:p w14:paraId="3F3DFA6D">
            <w:pPr>
              <w:pStyle w:val="10"/>
              <w:numPr>
                <w:ilvl w:val="0"/>
                <w:numId w:val="0"/>
              </w:numPr>
              <w:tabs>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14:paraId="1CE5F7DE">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63D1C040">
      <w:pPr>
        <w:spacing w:line="360" w:lineRule="auto"/>
        <w:jc w:val="left"/>
        <w:rPr>
          <w:rFonts w:ascii="宋体" w:hAnsi="宋体" w:cs="微软雅黑" w:hint="eastAsia"/>
          <w:b/>
          <w:color w:val="0000FF"/>
          <w:kern w:val="0"/>
          <w:szCs w:val="21"/>
          <w:highlight w:val="none"/>
        </w:rPr>
      </w:pPr>
    </w:p>
    <w:p w14:paraId="33A067F3">
      <w:pPr>
        <w:spacing w:line="360" w:lineRule="auto"/>
        <w:jc w:val="left"/>
        <w:rPr>
          <w:b/>
          <w:bCs/>
          <w:sz w:val="44"/>
          <w:szCs w:val="44"/>
          <w:highlight w:val="none"/>
        </w:rPr>
      </w:pPr>
    </w:p>
    <w:p w14:paraId="3A87310A">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4CAEDC12">
      <w:pPr>
        <w:spacing w:line="360" w:lineRule="auto"/>
        <w:rPr>
          <w:highlight w:val="none"/>
        </w:rPr>
      </w:pPr>
    </w:p>
    <w:p w14:paraId="0FA23F53">
      <w:pPr>
        <w:spacing w:line="360" w:lineRule="auto"/>
        <w:jc w:val="center"/>
        <w:rPr>
          <w:highlight w:val="none"/>
        </w:rPr>
      </w:pPr>
      <w:r>
        <w:rPr>
          <w:rFonts w:hint="eastAsia"/>
          <w:b/>
          <w:bCs/>
          <w:sz w:val="28"/>
          <w:szCs w:val="28"/>
          <w:highlight w:val="none"/>
        </w:rPr>
        <w:t>目    录</w:t>
      </w:r>
    </w:p>
    <w:p w14:paraId="6B4680AF">
      <w:pPr>
        <w:spacing w:line="360" w:lineRule="auto"/>
        <w:rPr>
          <w:b/>
          <w:bCs/>
          <w:szCs w:val="21"/>
          <w:highlight w:val="none"/>
        </w:rPr>
      </w:pPr>
    </w:p>
    <w:p w14:paraId="13AA14FB">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17EB369D">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4374C956">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6129BE18">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529AF313">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68EBAD30">
      <w:pPr>
        <w:adjustRightInd w:val="0"/>
        <w:snapToGrid w:val="0"/>
        <w:spacing w:line="360" w:lineRule="auto"/>
        <w:ind w:left="2520" w:leftChars="1200"/>
        <w:jc w:val="left"/>
        <w:rPr>
          <w:b/>
          <w:bCs/>
          <w:szCs w:val="21"/>
          <w:highlight w:val="none"/>
        </w:rPr>
      </w:pPr>
      <w:r>
        <w:rPr>
          <w:b/>
          <w:bCs/>
          <w:szCs w:val="21"/>
          <w:highlight w:val="none"/>
        </w:rPr>
        <w:br w:type="page"/>
      </w:r>
    </w:p>
    <w:p w14:paraId="306C2466">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57B34BD1">
      <w:pPr>
        <w:spacing w:line="360" w:lineRule="auto"/>
        <w:jc w:val="center"/>
        <w:rPr>
          <w:b/>
          <w:bCs/>
          <w:sz w:val="28"/>
          <w:szCs w:val="28"/>
          <w:highlight w:val="none"/>
        </w:rPr>
      </w:pPr>
    </w:p>
    <w:p w14:paraId="67DAFA3B">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江苏省气象探测中心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6B5F50F5">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2026年江苏省短临工程-相干多普勒测风激光雷达（远距型）、集成式交通气象监测仪、移动式观测设备采购项目</w:t>
      </w:r>
      <w:bookmarkEnd w:id="21"/>
      <w:r>
        <w:rPr>
          <w:rFonts w:ascii="宋体" w:hAnsi="宋体" w:cs="宋体" w:hint="eastAsia"/>
          <w:b/>
          <w:bCs/>
          <w:szCs w:val="21"/>
          <w:highlight w:val="none"/>
        </w:rPr>
        <w:t>。</w:t>
      </w:r>
    </w:p>
    <w:p w14:paraId="6B6A03E0">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ZQCD-26227</w:t>
      </w:r>
      <w:bookmarkEnd w:id="22"/>
      <w:r>
        <w:rPr>
          <w:rFonts w:ascii="宋体" w:hAnsi="宋体" w:cs="宋体" w:hint="eastAsia"/>
          <w:b/>
          <w:bCs/>
          <w:szCs w:val="21"/>
          <w:highlight w:val="none"/>
        </w:rPr>
        <w:t>。</w:t>
      </w:r>
    </w:p>
    <w:p w14:paraId="4C1DC9B0">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0171DB57">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3</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7DFDD466">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7FADBA56">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2BDD9987">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77856980">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（1）第一包：合同签订后45天内交货，55天内完成安装调试并具备验收条件；（2）第二包、第三包：合同签订后40天内交货，60天内完成安装调试并具备验收条件</w:t>
      </w:r>
      <w:bookmarkEnd w:id="24"/>
      <w:r>
        <w:rPr>
          <w:rFonts w:ascii="宋体" w:hAnsi="宋体" w:cs="微软雅黑" w:hint="eastAsia"/>
          <w:b/>
          <w:color w:val="0000FF"/>
          <w:kern w:val="0"/>
          <w:szCs w:val="21"/>
          <w:highlight w:val="none"/>
        </w:rPr>
        <w:t>。</w:t>
      </w:r>
    </w:p>
    <w:p w14:paraId="2D1702E8">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14:paraId="5E13B9C8">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5283ECB6">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61F56B11">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AC586D8">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2B2FAA2A">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2026年09月30日 00:00:00</w:t>
      </w:r>
      <w:bookmarkEnd w:id="26"/>
      <w:r>
        <w:rPr>
          <w:rFonts w:ascii="宋体" w:hint="eastAsia"/>
          <w:szCs w:val="21"/>
          <w:highlight w:val="none"/>
        </w:rPr>
        <w:t>至</w:t>
      </w:r>
      <w:bookmarkStart w:id="27" w:name="项目公告_signUpLastTime"/>
      <w:r>
        <w:rPr>
          <w:rFonts w:ascii="宋体" w:hint="eastAsia"/>
          <w:szCs w:val="21"/>
          <w:highlight w:val="none"/>
        </w:rPr>
        <w:t>2026年10月13日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4ADEBB78">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7CD7ADED">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6A478606">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43A4D5FC">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14:paraId="0A951113">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2026年10月21日 09:00:00</w:t>
      </w:r>
      <w:bookmarkEnd w:id="28"/>
      <w:r>
        <w:rPr>
          <w:rFonts w:ascii="宋体" w:hint="eastAsia"/>
          <w:bCs/>
          <w:szCs w:val="21"/>
          <w:highlight w:val="none"/>
        </w:rPr>
        <w:t>（北京时间）</w:t>
      </w:r>
      <w:r>
        <w:rPr>
          <w:rFonts w:ascii="宋体" w:hint="eastAsia"/>
          <w:szCs w:val="21"/>
          <w:highlight w:val="none"/>
        </w:rPr>
        <w:t>。</w:t>
      </w:r>
    </w:p>
    <w:p w14:paraId="3AEDFACF">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7B36013F">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24A7A6D">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7671C67C">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11856D99">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14:paraId="4424C71F">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5797FF0E">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6DFFBC27">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5B1C9A6C">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057884DE">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4A83D658">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552923C8">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14:paraId="4222FB73">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14:paraId="3BFC04F3">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117AE741">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4A7D76CB">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江苏省气象探测中心</w:t>
      </w:r>
      <w:bookmarkEnd w:id="32"/>
    </w:p>
    <w:p w14:paraId="13A3C8B6">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顾芮冰</w:t>
      </w:r>
      <w:bookmarkEnd w:id="33"/>
    </w:p>
    <w:p w14:paraId="1DBD6B13">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025-52698313</w:t>
      </w:r>
      <w:bookmarkEnd w:id="34"/>
    </w:p>
    <w:p w14:paraId="5E88269D">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江苏省南京市建邺区雨顺路8号</w:t>
      </w:r>
      <w:bookmarkEnd w:id="35"/>
    </w:p>
    <w:p w14:paraId="113329DD">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0BEE3CD0">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7934B2E0">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78F3B66E">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3AD8F479">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06E1BD85">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647BC6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39F3688C">
            <w:pPr>
              <w:jc w:val="center"/>
              <w:rPr>
                <w:b/>
                <w:szCs w:val="21"/>
                <w:highlight w:val="none"/>
              </w:rPr>
            </w:pPr>
            <w:r>
              <w:rPr>
                <w:rFonts w:hint="eastAsia"/>
                <w:b/>
                <w:szCs w:val="21"/>
                <w:highlight w:val="none"/>
              </w:rPr>
              <w:t>序号</w:t>
            </w:r>
          </w:p>
        </w:tc>
        <w:tc>
          <w:tcPr>
            <w:tcW w:w="1418" w:type="dxa"/>
            <w:noWrap w:val="0"/>
            <w:vAlign w:val="center"/>
          </w:tcPr>
          <w:p w14:paraId="6D19C337">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4EF7BE99">
            <w:pPr>
              <w:jc w:val="center"/>
              <w:rPr>
                <w:b/>
                <w:szCs w:val="21"/>
                <w:highlight w:val="none"/>
              </w:rPr>
            </w:pPr>
            <w:r>
              <w:rPr>
                <w:rFonts w:hint="eastAsia"/>
                <w:b/>
                <w:szCs w:val="21"/>
                <w:highlight w:val="none"/>
              </w:rPr>
              <w:t>内容</w:t>
            </w:r>
          </w:p>
        </w:tc>
        <w:tc>
          <w:tcPr>
            <w:tcW w:w="5209" w:type="dxa"/>
            <w:noWrap w:val="0"/>
            <w:vAlign w:val="center"/>
          </w:tcPr>
          <w:p w14:paraId="2DCF0FAB">
            <w:pPr>
              <w:jc w:val="center"/>
              <w:rPr>
                <w:b/>
                <w:szCs w:val="21"/>
                <w:highlight w:val="none"/>
              </w:rPr>
            </w:pPr>
            <w:r>
              <w:rPr>
                <w:rFonts w:hint="eastAsia"/>
                <w:b/>
                <w:szCs w:val="21"/>
                <w:highlight w:val="none"/>
              </w:rPr>
              <w:t>说明与要求</w:t>
            </w:r>
          </w:p>
        </w:tc>
      </w:tr>
      <w:tr w14:paraId="2CF51565">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6818CE40">
            <w:pPr>
              <w:rPr>
                <w:szCs w:val="21"/>
                <w:highlight w:val="none"/>
              </w:rPr>
            </w:pPr>
            <w:r>
              <w:rPr>
                <w:rFonts w:hint="eastAsia"/>
                <w:szCs w:val="21"/>
                <w:highlight w:val="none"/>
              </w:rPr>
              <w:t>5.1</w:t>
            </w:r>
          </w:p>
        </w:tc>
        <w:tc>
          <w:tcPr>
            <w:tcW w:w="1418" w:type="dxa"/>
            <w:noWrap w:val="0"/>
            <w:vAlign w:val="center"/>
          </w:tcPr>
          <w:p w14:paraId="3007E6A8">
            <w:pPr>
              <w:rPr>
                <w:szCs w:val="21"/>
                <w:highlight w:val="none"/>
              </w:rPr>
            </w:pPr>
            <w:r>
              <w:rPr>
                <w:rFonts w:hint="eastAsia"/>
                <w:szCs w:val="21"/>
                <w:highlight w:val="none"/>
              </w:rPr>
              <w:t>1.2.1</w:t>
            </w:r>
          </w:p>
        </w:tc>
        <w:tc>
          <w:tcPr>
            <w:tcW w:w="1701" w:type="dxa"/>
            <w:noWrap w:val="0"/>
            <w:vAlign w:val="center"/>
          </w:tcPr>
          <w:p w14:paraId="47AD9912">
            <w:pPr>
              <w:rPr>
                <w:szCs w:val="21"/>
                <w:highlight w:val="none"/>
              </w:rPr>
            </w:pPr>
            <w:r>
              <w:rPr>
                <w:rFonts w:hint="eastAsia"/>
                <w:szCs w:val="21"/>
                <w:highlight w:val="none"/>
              </w:rPr>
              <w:t>采购人名称</w:t>
            </w:r>
          </w:p>
        </w:tc>
        <w:tc>
          <w:tcPr>
            <w:tcW w:w="5209" w:type="dxa"/>
            <w:noWrap w:val="0"/>
            <w:vAlign w:val="center"/>
          </w:tcPr>
          <w:p w14:paraId="535B2526">
            <w:pPr>
              <w:rPr>
                <w:szCs w:val="21"/>
                <w:highlight w:val="none"/>
              </w:rPr>
            </w:pPr>
            <w:bookmarkStart w:id="38" w:name="采购人2_recorderOrgName"/>
            <w:r>
              <w:rPr>
                <w:rFonts w:ascii="宋体" w:hAnsi="宋体" w:cs="微软雅黑" w:hint="eastAsia"/>
                <w:kern w:val="0"/>
                <w:szCs w:val="21"/>
                <w:highlight w:val="none"/>
              </w:rPr>
              <w:t>江苏省气象探测中心</w:t>
            </w:r>
            <w:bookmarkEnd w:id="38"/>
          </w:p>
        </w:tc>
      </w:tr>
      <w:tr w14:paraId="10B48BE0">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5A2D3999">
            <w:pPr>
              <w:rPr>
                <w:szCs w:val="21"/>
                <w:highlight w:val="none"/>
              </w:rPr>
            </w:pPr>
            <w:r>
              <w:rPr>
                <w:rFonts w:hint="eastAsia"/>
                <w:szCs w:val="21"/>
                <w:highlight w:val="none"/>
              </w:rPr>
              <w:t>5.2</w:t>
            </w:r>
          </w:p>
        </w:tc>
        <w:tc>
          <w:tcPr>
            <w:tcW w:w="1418" w:type="dxa"/>
            <w:noWrap w:val="0"/>
            <w:vAlign w:val="center"/>
          </w:tcPr>
          <w:p w14:paraId="4F2540DE">
            <w:pPr>
              <w:rPr>
                <w:szCs w:val="21"/>
                <w:highlight w:val="none"/>
              </w:rPr>
            </w:pPr>
            <w:r>
              <w:rPr>
                <w:rFonts w:hint="eastAsia"/>
                <w:szCs w:val="21"/>
                <w:highlight w:val="none"/>
              </w:rPr>
              <w:t>1.3.3、1.14.2</w:t>
            </w:r>
          </w:p>
        </w:tc>
        <w:tc>
          <w:tcPr>
            <w:tcW w:w="1701" w:type="dxa"/>
            <w:noWrap w:val="0"/>
            <w:vAlign w:val="center"/>
          </w:tcPr>
          <w:p w14:paraId="44949699">
            <w:pPr>
              <w:rPr>
                <w:szCs w:val="21"/>
                <w:highlight w:val="none"/>
              </w:rPr>
            </w:pPr>
            <w:r>
              <w:rPr>
                <w:rFonts w:hint="eastAsia"/>
                <w:szCs w:val="21"/>
                <w:highlight w:val="none"/>
              </w:rPr>
              <w:t>投标人特殊资质条件</w:t>
            </w:r>
          </w:p>
        </w:tc>
        <w:tc>
          <w:tcPr>
            <w:tcW w:w="5209" w:type="dxa"/>
            <w:noWrap w:val="0"/>
            <w:vAlign w:val="center"/>
          </w:tcPr>
          <w:p w14:paraId="021A5CB5">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1C5A6184">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066CBAD1">
            <w:pPr>
              <w:rPr>
                <w:szCs w:val="21"/>
                <w:highlight w:val="none"/>
              </w:rPr>
            </w:pPr>
            <w:r>
              <w:rPr>
                <w:rFonts w:hint="eastAsia"/>
                <w:szCs w:val="21"/>
                <w:highlight w:val="none"/>
              </w:rPr>
              <w:t>5.3</w:t>
            </w:r>
          </w:p>
        </w:tc>
        <w:tc>
          <w:tcPr>
            <w:tcW w:w="1418" w:type="dxa"/>
            <w:noWrap w:val="0"/>
            <w:vAlign w:val="center"/>
          </w:tcPr>
          <w:p w14:paraId="2A2D1835">
            <w:pPr>
              <w:rPr>
                <w:szCs w:val="21"/>
                <w:highlight w:val="none"/>
              </w:rPr>
            </w:pPr>
            <w:r>
              <w:rPr>
                <w:rFonts w:hint="eastAsia"/>
                <w:szCs w:val="21"/>
                <w:highlight w:val="none"/>
              </w:rPr>
              <w:t>1.3.4</w:t>
            </w:r>
          </w:p>
        </w:tc>
        <w:tc>
          <w:tcPr>
            <w:tcW w:w="1701" w:type="dxa"/>
            <w:noWrap w:val="0"/>
            <w:vAlign w:val="center"/>
          </w:tcPr>
          <w:p w14:paraId="7A1D5D6F">
            <w:pPr>
              <w:rPr>
                <w:szCs w:val="21"/>
                <w:highlight w:val="none"/>
              </w:rPr>
            </w:pPr>
            <w:r>
              <w:rPr>
                <w:rFonts w:hint="eastAsia"/>
                <w:szCs w:val="21"/>
                <w:highlight w:val="none"/>
              </w:rPr>
              <w:t>是否允许代理商投标</w:t>
            </w:r>
          </w:p>
        </w:tc>
        <w:tc>
          <w:tcPr>
            <w:tcW w:w="5209" w:type="dxa"/>
            <w:noWrap w:val="0"/>
            <w:vAlign w:val="center"/>
          </w:tcPr>
          <w:p w14:paraId="7AB186E0">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不允许（仅针对以下产品：第一包、第二包所有标的，第三包核心产品不允许代理商投标）</w:t>
            </w:r>
            <w:bookmarkEnd w:id="40"/>
          </w:p>
        </w:tc>
      </w:tr>
      <w:tr w14:paraId="66351A44">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74DCB03E">
            <w:pPr>
              <w:rPr>
                <w:rFonts w:hint="eastAsia"/>
                <w:szCs w:val="21"/>
                <w:highlight w:val="none"/>
              </w:rPr>
            </w:pPr>
            <w:r>
              <w:rPr>
                <w:rFonts w:hint="eastAsia"/>
                <w:szCs w:val="21"/>
                <w:highlight w:val="none"/>
              </w:rPr>
              <w:t>5.4</w:t>
            </w:r>
          </w:p>
        </w:tc>
        <w:tc>
          <w:tcPr>
            <w:tcW w:w="1418" w:type="dxa"/>
            <w:noWrap w:val="0"/>
            <w:vAlign w:val="center"/>
          </w:tcPr>
          <w:p w14:paraId="6C01B283">
            <w:pPr>
              <w:rPr>
                <w:rFonts w:hint="eastAsia"/>
                <w:szCs w:val="21"/>
                <w:highlight w:val="none"/>
              </w:rPr>
            </w:pPr>
            <w:r>
              <w:rPr>
                <w:rFonts w:hint="eastAsia"/>
                <w:szCs w:val="21"/>
                <w:highlight w:val="none"/>
              </w:rPr>
              <w:t>1.3.4</w:t>
            </w:r>
          </w:p>
        </w:tc>
        <w:tc>
          <w:tcPr>
            <w:tcW w:w="1701" w:type="dxa"/>
            <w:noWrap w:val="0"/>
            <w:vAlign w:val="center"/>
          </w:tcPr>
          <w:p w14:paraId="4CFC6523">
            <w:pPr>
              <w:rPr>
                <w:rFonts w:hint="eastAsia"/>
                <w:szCs w:val="21"/>
                <w:highlight w:val="none"/>
              </w:rPr>
            </w:pPr>
            <w:r>
              <w:rPr>
                <w:rFonts w:hint="eastAsia"/>
                <w:szCs w:val="21"/>
                <w:highlight w:val="none"/>
              </w:rPr>
              <w:t>进口产品代理商应提交资料</w:t>
            </w:r>
          </w:p>
        </w:tc>
        <w:tc>
          <w:tcPr>
            <w:tcW w:w="5209" w:type="dxa"/>
            <w:noWrap w:val="0"/>
            <w:vAlign w:val="center"/>
          </w:tcPr>
          <w:p w14:paraId="3210B1E9">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1E43EF79">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3E4F1BE5">
            <w:pPr>
              <w:rPr>
                <w:szCs w:val="21"/>
                <w:highlight w:val="none"/>
              </w:rPr>
            </w:pPr>
            <w:r>
              <w:rPr>
                <w:rFonts w:hint="eastAsia"/>
                <w:szCs w:val="21"/>
                <w:highlight w:val="none"/>
              </w:rPr>
              <w:t>5.5</w:t>
            </w:r>
          </w:p>
        </w:tc>
        <w:tc>
          <w:tcPr>
            <w:tcW w:w="1418" w:type="dxa"/>
            <w:noWrap w:val="0"/>
            <w:vAlign w:val="center"/>
          </w:tcPr>
          <w:p w14:paraId="1B76D68A">
            <w:pPr>
              <w:rPr>
                <w:szCs w:val="21"/>
                <w:highlight w:val="none"/>
              </w:rPr>
            </w:pPr>
            <w:r>
              <w:rPr>
                <w:rFonts w:hint="eastAsia"/>
                <w:szCs w:val="21"/>
                <w:highlight w:val="none"/>
              </w:rPr>
              <w:t>1.3.4，1.28.4</w:t>
            </w:r>
          </w:p>
        </w:tc>
        <w:tc>
          <w:tcPr>
            <w:tcW w:w="1701" w:type="dxa"/>
            <w:noWrap w:val="0"/>
            <w:vAlign w:val="center"/>
          </w:tcPr>
          <w:p w14:paraId="60A531A6">
            <w:pPr>
              <w:rPr>
                <w:szCs w:val="21"/>
                <w:highlight w:val="none"/>
              </w:rPr>
            </w:pPr>
            <w:r>
              <w:rPr>
                <w:rFonts w:hint="eastAsia"/>
                <w:szCs w:val="21"/>
                <w:highlight w:val="none"/>
              </w:rPr>
              <w:t>是否设有核心产品</w:t>
            </w:r>
          </w:p>
        </w:tc>
        <w:tc>
          <w:tcPr>
            <w:tcW w:w="5209" w:type="dxa"/>
            <w:noWrap w:val="0"/>
            <w:vAlign w:val="center"/>
          </w:tcPr>
          <w:p w14:paraId="28631676">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设有，核心产品为第一包：无；第二包：无；第三包：集成式交通气象监测仪</w:t>
            </w:r>
            <w:bookmarkEnd w:id="42"/>
          </w:p>
        </w:tc>
      </w:tr>
      <w:tr w14:paraId="58FBB9B5">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5BAF96C3">
            <w:pPr>
              <w:rPr>
                <w:szCs w:val="21"/>
                <w:highlight w:val="none"/>
              </w:rPr>
            </w:pPr>
            <w:r>
              <w:rPr>
                <w:rFonts w:hint="eastAsia"/>
                <w:szCs w:val="21"/>
                <w:highlight w:val="none"/>
              </w:rPr>
              <w:t>5.6</w:t>
            </w:r>
          </w:p>
        </w:tc>
        <w:tc>
          <w:tcPr>
            <w:tcW w:w="1418" w:type="dxa"/>
            <w:noWrap w:val="0"/>
            <w:vAlign w:val="center"/>
          </w:tcPr>
          <w:p w14:paraId="538FD8C1">
            <w:pPr>
              <w:rPr>
                <w:szCs w:val="21"/>
                <w:highlight w:val="none"/>
              </w:rPr>
            </w:pPr>
            <w:r>
              <w:rPr>
                <w:rFonts w:hint="eastAsia"/>
                <w:szCs w:val="21"/>
                <w:highlight w:val="none"/>
              </w:rPr>
              <w:t>1.3.6</w:t>
            </w:r>
          </w:p>
        </w:tc>
        <w:tc>
          <w:tcPr>
            <w:tcW w:w="1701" w:type="dxa"/>
            <w:noWrap w:val="0"/>
            <w:vAlign w:val="center"/>
          </w:tcPr>
          <w:p w14:paraId="49A88C77">
            <w:pPr>
              <w:rPr>
                <w:szCs w:val="21"/>
                <w:highlight w:val="none"/>
              </w:rPr>
            </w:pPr>
            <w:r>
              <w:rPr>
                <w:rFonts w:hint="eastAsia"/>
                <w:szCs w:val="21"/>
                <w:highlight w:val="none"/>
              </w:rPr>
              <w:t>是否允许联合体投标</w:t>
            </w:r>
          </w:p>
        </w:tc>
        <w:tc>
          <w:tcPr>
            <w:tcW w:w="5209" w:type="dxa"/>
            <w:noWrap w:val="0"/>
            <w:vAlign w:val="center"/>
          </w:tcPr>
          <w:p w14:paraId="4EEAD03D">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0C51FA86">
        <w:tblPrEx>
          <w:tblW w:w="0" w:type="auto"/>
          <w:tblInd w:w="0" w:type="dxa"/>
          <w:tblLayout w:type="fixed"/>
          <w:tblCellMar>
            <w:top w:w="0" w:type="dxa"/>
            <w:left w:w="108" w:type="dxa"/>
            <w:bottom w:w="0" w:type="dxa"/>
            <w:right w:w="108" w:type="dxa"/>
          </w:tblCellMar>
        </w:tblPrEx>
        <w:tc>
          <w:tcPr>
            <w:tcW w:w="675" w:type="dxa"/>
            <w:noWrap w:val="0"/>
            <w:vAlign w:val="center"/>
          </w:tcPr>
          <w:p w14:paraId="7B7FED75">
            <w:pPr>
              <w:rPr>
                <w:szCs w:val="21"/>
                <w:highlight w:val="none"/>
              </w:rPr>
            </w:pPr>
            <w:r>
              <w:rPr>
                <w:rFonts w:hint="eastAsia"/>
                <w:szCs w:val="21"/>
                <w:highlight w:val="none"/>
              </w:rPr>
              <w:t>5.7</w:t>
            </w:r>
          </w:p>
        </w:tc>
        <w:tc>
          <w:tcPr>
            <w:tcW w:w="1418" w:type="dxa"/>
            <w:noWrap w:val="0"/>
            <w:vAlign w:val="center"/>
          </w:tcPr>
          <w:p w14:paraId="7463A531">
            <w:pPr>
              <w:rPr>
                <w:szCs w:val="21"/>
                <w:highlight w:val="none"/>
              </w:rPr>
            </w:pPr>
            <w:r>
              <w:rPr>
                <w:rFonts w:hint="eastAsia"/>
                <w:szCs w:val="21"/>
                <w:highlight w:val="none"/>
              </w:rPr>
              <w:t>1.3.7</w:t>
            </w:r>
          </w:p>
        </w:tc>
        <w:tc>
          <w:tcPr>
            <w:tcW w:w="1701" w:type="dxa"/>
            <w:noWrap w:val="0"/>
            <w:vAlign w:val="center"/>
          </w:tcPr>
          <w:p w14:paraId="4499AC39">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64ABC9D5">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必须，以下产品需要提供至投标截止日仍有效的《气象专用技术装备使用许可证》：第一包：相干多普勒测风激光雷达（远距型）；第二包：集成式交通气象监测仪；第三包：核心产品及翻斗式雨量传感器。</w:t>
            </w:r>
            <w:bookmarkEnd w:id="44"/>
          </w:p>
        </w:tc>
      </w:tr>
      <w:tr w14:paraId="55DDF39C">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0A948D5B">
            <w:pPr>
              <w:rPr>
                <w:szCs w:val="21"/>
                <w:highlight w:val="none"/>
              </w:rPr>
            </w:pPr>
            <w:r>
              <w:rPr>
                <w:rFonts w:hint="eastAsia"/>
                <w:szCs w:val="21"/>
                <w:highlight w:val="none"/>
              </w:rPr>
              <w:t>5.8</w:t>
            </w:r>
          </w:p>
        </w:tc>
        <w:tc>
          <w:tcPr>
            <w:tcW w:w="1418" w:type="dxa"/>
            <w:noWrap w:val="0"/>
            <w:vAlign w:val="center"/>
          </w:tcPr>
          <w:p w14:paraId="2F1FB74F">
            <w:pPr>
              <w:rPr>
                <w:szCs w:val="21"/>
                <w:highlight w:val="none"/>
              </w:rPr>
            </w:pPr>
            <w:r>
              <w:rPr>
                <w:rFonts w:hint="eastAsia"/>
                <w:szCs w:val="21"/>
                <w:highlight w:val="none"/>
              </w:rPr>
              <w:t>1.4.1</w:t>
            </w:r>
          </w:p>
        </w:tc>
        <w:tc>
          <w:tcPr>
            <w:tcW w:w="1701" w:type="dxa"/>
            <w:noWrap w:val="0"/>
            <w:vAlign w:val="center"/>
          </w:tcPr>
          <w:p w14:paraId="4D60A5C3">
            <w:pPr>
              <w:rPr>
                <w:szCs w:val="21"/>
                <w:highlight w:val="none"/>
              </w:rPr>
            </w:pPr>
            <w:r>
              <w:rPr>
                <w:rFonts w:hint="eastAsia"/>
                <w:szCs w:val="21"/>
                <w:highlight w:val="none"/>
              </w:rPr>
              <w:t>是否允许进口产品投标</w:t>
            </w:r>
          </w:p>
        </w:tc>
        <w:tc>
          <w:tcPr>
            <w:tcW w:w="5209" w:type="dxa"/>
            <w:noWrap w:val="0"/>
            <w:vAlign w:val="center"/>
          </w:tcPr>
          <w:p w14:paraId="30014045">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309DA7E4">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0F064D33">
            <w:pPr>
              <w:rPr>
                <w:rFonts w:hint="eastAsia"/>
                <w:szCs w:val="21"/>
                <w:highlight w:val="none"/>
              </w:rPr>
            </w:pPr>
            <w:r>
              <w:rPr>
                <w:rFonts w:hint="eastAsia"/>
                <w:szCs w:val="21"/>
                <w:highlight w:val="none"/>
              </w:rPr>
              <w:t>5.9</w:t>
            </w:r>
          </w:p>
        </w:tc>
        <w:tc>
          <w:tcPr>
            <w:tcW w:w="1418" w:type="dxa"/>
            <w:noWrap w:val="0"/>
            <w:vAlign w:val="center"/>
          </w:tcPr>
          <w:p w14:paraId="3E463CCC">
            <w:pPr>
              <w:rPr>
                <w:rFonts w:hint="eastAsia"/>
                <w:szCs w:val="21"/>
                <w:highlight w:val="none"/>
              </w:rPr>
            </w:pPr>
            <w:r>
              <w:rPr>
                <w:rFonts w:hint="eastAsia"/>
                <w:szCs w:val="21"/>
                <w:highlight w:val="none"/>
              </w:rPr>
              <w:t>1.5.1</w:t>
            </w:r>
          </w:p>
        </w:tc>
        <w:tc>
          <w:tcPr>
            <w:tcW w:w="1701" w:type="dxa"/>
            <w:noWrap w:val="0"/>
            <w:vAlign w:val="center"/>
          </w:tcPr>
          <w:p w14:paraId="7FADE324">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04385F9E">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243C20CC">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（1）第一包标的：相干多普勒测风激光雷达（远距型）及建设安装，属于工业行业；（2）第二包标的：集成式交通气象监测仪 ，属于工业行业；（3）第三包标的：移动式观测设备 ，属于工业行业</w:t>
            </w:r>
            <w:bookmarkEnd w:id="46"/>
          </w:p>
        </w:tc>
      </w:tr>
      <w:tr w14:paraId="22584F9E">
        <w:tblPrEx>
          <w:tblW w:w="0" w:type="auto"/>
          <w:tblInd w:w="0" w:type="dxa"/>
          <w:tblLayout w:type="fixed"/>
          <w:tblCellMar>
            <w:top w:w="0" w:type="dxa"/>
            <w:left w:w="108" w:type="dxa"/>
            <w:bottom w:w="0" w:type="dxa"/>
            <w:right w:w="108" w:type="dxa"/>
          </w:tblCellMar>
        </w:tblPrEx>
        <w:tc>
          <w:tcPr>
            <w:tcW w:w="675" w:type="dxa"/>
            <w:noWrap w:val="0"/>
            <w:vAlign w:val="center"/>
          </w:tcPr>
          <w:p w14:paraId="59F27A16">
            <w:pPr>
              <w:rPr>
                <w:rFonts w:hint="eastAsia"/>
                <w:szCs w:val="21"/>
                <w:highlight w:val="none"/>
              </w:rPr>
            </w:pPr>
            <w:r>
              <w:rPr>
                <w:rFonts w:hint="eastAsia"/>
                <w:szCs w:val="21"/>
                <w:highlight w:val="none"/>
              </w:rPr>
              <w:t>5.10</w:t>
            </w:r>
          </w:p>
        </w:tc>
        <w:tc>
          <w:tcPr>
            <w:tcW w:w="1418" w:type="dxa"/>
            <w:noWrap w:val="0"/>
            <w:vAlign w:val="center"/>
          </w:tcPr>
          <w:p w14:paraId="1C11E633">
            <w:pPr>
              <w:jc w:val="left"/>
              <w:rPr>
                <w:rFonts w:hint="eastAsia"/>
                <w:szCs w:val="21"/>
                <w:highlight w:val="none"/>
              </w:rPr>
            </w:pPr>
            <w:r>
              <w:rPr>
                <w:rFonts w:hint="eastAsia"/>
                <w:szCs w:val="21"/>
                <w:highlight w:val="none"/>
              </w:rPr>
              <w:t>1.5.3</w:t>
            </w:r>
          </w:p>
        </w:tc>
        <w:tc>
          <w:tcPr>
            <w:tcW w:w="1701" w:type="dxa"/>
            <w:noWrap w:val="0"/>
            <w:vAlign w:val="center"/>
          </w:tcPr>
          <w:p w14:paraId="421B8738">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0F2AF3BE">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14:paraId="05096C7F">
        <w:tblPrEx>
          <w:tblW w:w="0" w:type="auto"/>
          <w:tblInd w:w="0" w:type="dxa"/>
          <w:tblLayout w:type="fixed"/>
          <w:tblCellMar>
            <w:top w:w="0" w:type="dxa"/>
            <w:left w:w="108" w:type="dxa"/>
            <w:bottom w:w="0" w:type="dxa"/>
            <w:right w:w="108" w:type="dxa"/>
          </w:tblCellMar>
        </w:tblPrEx>
        <w:tc>
          <w:tcPr>
            <w:tcW w:w="675" w:type="dxa"/>
            <w:noWrap w:val="0"/>
            <w:vAlign w:val="center"/>
          </w:tcPr>
          <w:p w14:paraId="24AF3100">
            <w:pPr>
              <w:rPr>
                <w:szCs w:val="21"/>
                <w:highlight w:val="none"/>
              </w:rPr>
            </w:pPr>
            <w:r>
              <w:rPr>
                <w:rFonts w:hint="eastAsia"/>
                <w:szCs w:val="21"/>
                <w:highlight w:val="none"/>
              </w:rPr>
              <w:t>5.11</w:t>
            </w:r>
          </w:p>
        </w:tc>
        <w:tc>
          <w:tcPr>
            <w:tcW w:w="1418" w:type="dxa"/>
            <w:noWrap w:val="0"/>
            <w:vAlign w:val="center"/>
          </w:tcPr>
          <w:p w14:paraId="35DA1CB7">
            <w:pPr>
              <w:rPr>
                <w:szCs w:val="21"/>
                <w:highlight w:val="none"/>
              </w:rPr>
            </w:pPr>
            <w:r>
              <w:rPr>
                <w:rFonts w:hint="eastAsia"/>
                <w:szCs w:val="21"/>
                <w:highlight w:val="none"/>
              </w:rPr>
              <w:t>1.9.2</w:t>
            </w:r>
          </w:p>
        </w:tc>
        <w:tc>
          <w:tcPr>
            <w:tcW w:w="1701" w:type="dxa"/>
            <w:noWrap w:val="0"/>
            <w:vAlign w:val="center"/>
          </w:tcPr>
          <w:p w14:paraId="2C46998A">
            <w:pPr>
              <w:rPr>
                <w:szCs w:val="21"/>
                <w:highlight w:val="none"/>
              </w:rPr>
            </w:pPr>
            <w:r>
              <w:rPr>
                <w:rFonts w:hint="eastAsia"/>
                <w:szCs w:val="21"/>
                <w:highlight w:val="none"/>
              </w:rPr>
              <w:t>中标人是否需要交纳代理服务费</w:t>
            </w:r>
          </w:p>
        </w:tc>
        <w:tc>
          <w:tcPr>
            <w:tcW w:w="5209" w:type="dxa"/>
            <w:noWrap w:val="0"/>
            <w:vAlign w:val="center"/>
          </w:tcPr>
          <w:p w14:paraId="41C7B0F7">
            <w:pPr>
              <w:rPr>
                <w:rFonts w:hint="eastAsia"/>
                <w:highlight w:val="none"/>
              </w:rPr>
            </w:pPr>
            <w:bookmarkStart w:id="48" w:name="中标服务费_finalAmountText"/>
            <w:r>
              <w:rPr>
                <w:rFonts w:hint="eastAsia"/>
                <w:highlight w:val="none"/>
                <w:lang w:eastAsia="zh-CN"/>
              </w:rPr>
              <w:t>是，中标服务费：1.0万元。</w:t>
            </w:r>
            <w:bookmarkEnd w:id="48"/>
            <w:r>
              <w:rPr>
                <w:rFonts w:ascii="宋体" w:hAnsi="宋体" w:cs="微软雅黑" w:hint="eastAsia"/>
                <w:kern w:val="0"/>
                <w:szCs w:val="21"/>
                <w:highlight w:val="none"/>
              </w:rPr>
              <w:t xml:space="preserve"> </w:t>
            </w:r>
          </w:p>
        </w:tc>
      </w:tr>
      <w:tr w14:paraId="4880D49B">
        <w:tblPrEx>
          <w:tblW w:w="0" w:type="auto"/>
          <w:tblInd w:w="0" w:type="dxa"/>
          <w:tblLayout w:type="fixed"/>
          <w:tblCellMar>
            <w:top w:w="0" w:type="dxa"/>
            <w:left w:w="108" w:type="dxa"/>
            <w:bottom w:w="0" w:type="dxa"/>
            <w:right w:w="108" w:type="dxa"/>
          </w:tblCellMar>
        </w:tblPrEx>
        <w:tc>
          <w:tcPr>
            <w:tcW w:w="675" w:type="dxa"/>
            <w:noWrap w:val="0"/>
            <w:vAlign w:val="center"/>
          </w:tcPr>
          <w:p w14:paraId="44AD1CE2">
            <w:pPr>
              <w:rPr>
                <w:szCs w:val="21"/>
                <w:highlight w:val="none"/>
              </w:rPr>
            </w:pPr>
            <w:r>
              <w:rPr>
                <w:rFonts w:hint="eastAsia"/>
                <w:szCs w:val="21"/>
                <w:highlight w:val="none"/>
              </w:rPr>
              <w:t>5.12</w:t>
            </w:r>
          </w:p>
        </w:tc>
        <w:tc>
          <w:tcPr>
            <w:tcW w:w="1418" w:type="dxa"/>
            <w:noWrap w:val="0"/>
            <w:vAlign w:val="center"/>
          </w:tcPr>
          <w:p w14:paraId="262649F6">
            <w:pPr>
              <w:rPr>
                <w:szCs w:val="21"/>
                <w:highlight w:val="none"/>
              </w:rPr>
            </w:pPr>
            <w:r>
              <w:rPr>
                <w:rFonts w:hint="eastAsia"/>
                <w:szCs w:val="21"/>
                <w:highlight w:val="none"/>
              </w:rPr>
              <w:t>1.12.7</w:t>
            </w:r>
          </w:p>
        </w:tc>
        <w:tc>
          <w:tcPr>
            <w:tcW w:w="1701" w:type="dxa"/>
            <w:noWrap w:val="0"/>
            <w:vAlign w:val="center"/>
          </w:tcPr>
          <w:p w14:paraId="2F75234D">
            <w:pPr>
              <w:rPr>
                <w:szCs w:val="21"/>
                <w:highlight w:val="none"/>
              </w:rPr>
            </w:pPr>
            <w:r>
              <w:rPr>
                <w:rFonts w:hint="eastAsia"/>
                <w:szCs w:val="21"/>
                <w:highlight w:val="none"/>
              </w:rPr>
              <w:t>是否组织现场考察或开标前答疑会</w:t>
            </w:r>
          </w:p>
        </w:tc>
        <w:tc>
          <w:tcPr>
            <w:tcW w:w="5209" w:type="dxa"/>
            <w:noWrap w:val="0"/>
            <w:vAlign w:val="center"/>
          </w:tcPr>
          <w:p w14:paraId="2931EB38">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6E646CDC">
        <w:tblPrEx>
          <w:tblW w:w="0" w:type="auto"/>
          <w:tblInd w:w="0" w:type="dxa"/>
          <w:tblLayout w:type="fixed"/>
          <w:tblCellMar>
            <w:top w:w="0" w:type="dxa"/>
            <w:left w:w="108" w:type="dxa"/>
            <w:bottom w:w="0" w:type="dxa"/>
            <w:right w:w="108" w:type="dxa"/>
          </w:tblCellMar>
        </w:tblPrEx>
        <w:tc>
          <w:tcPr>
            <w:tcW w:w="675" w:type="dxa"/>
            <w:noWrap w:val="0"/>
            <w:vAlign w:val="center"/>
          </w:tcPr>
          <w:p w14:paraId="2D93685A">
            <w:pPr>
              <w:rPr>
                <w:szCs w:val="21"/>
                <w:highlight w:val="none"/>
              </w:rPr>
            </w:pPr>
            <w:r>
              <w:rPr>
                <w:rFonts w:hint="eastAsia"/>
                <w:szCs w:val="21"/>
                <w:highlight w:val="none"/>
              </w:rPr>
              <w:t>5.13</w:t>
            </w:r>
          </w:p>
        </w:tc>
        <w:tc>
          <w:tcPr>
            <w:tcW w:w="1418" w:type="dxa"/>
            <w:noWrap w:val="0"/>
            <w:vAlign w:val="center"/>
          </w:tcPr>
          <w:p w14:paraId="2CE138C0">
            <w:pPr>
              <w:rPr>
                <w:szCs w:val="21"/>
                <w:highlight w:val="none"/>
              </w:rPr>
            </w:pPr>
            <w:r>
              <w:rPr>
                <w:rFonts w:hint="eastAsia"/>
                <w:szCs w:val="21"/>
                <w:highlight w:val="none"/>
              </w:rPr>
              <w:t>1.14.2、1.14.3</w:t>
            </w:r>
          </w:p>
        </w:tc>
        <w:tc>
          <w:tcPr>
            <w:tcW w:w="1701" w:type="dxa"/>
            <w:noWrap w:val="0"/>
            <w:vAlign w:val="center"/>
          </w:tcPr>
          <w:p w14:paraId="3E1D893D">
            <w:pPr>
              <w:rPr>
                <w:szCs w:val="21"/>
                <w:highlight w:val="none"/>
              </w:rPr>
            </w:pPr>
            <w:r>
              <w:rPr>
                <w:rFonts w:hint="eastAsia"/>
                <w:szCs w:val="21"/>
                <w:highlight w:val="none"/>
              </w:rPr>
              <w:t>投标人应提交其他商务文件和技术文件</w:t>
            </w:r>
          </w:p>
        </w:tc>
        <w:tc>
          <w:tcPr>
            <w:tcW w:w="5209" w:type="dxa"/>
            <w:noWrap w:val="0"/>
            <w:vAlign w:val="center"/>
          </w:tcPr>
          <w:p w14:paraId="7C90E35C">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56B5567E">
            <w:pPr>
              <w:rPr>
                <w:rFonts w:hint="default"/>
                <w:kern w:val="0"/>
                <w:szCs w:val="21"/>
                <w:highlight w:val="none"/>
              </w:rPr>
            </w:pPr>
            <w:r>
              <w:rPr>
                <w:rFonts w:hint="eastAsia"/>
                <w:kern w:val="0"/>
                <w:szCs w:val="21"/>
                <w:highlight w:val="none"/>
                <w:lang w:val="en-US" w:eastAsia="zh-CN"/>
              </w:rPr>
              <w:t>无</w:t>
            </w:r>
          </w:p>
        </w:tc>
      </w:tr>
      <w:tr w14:paraId="06F5CA66">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17ED1385">
            <w:pPr>
              <w:rPr>
                <w:szCs w:val="21"/>
                <w:highlight w:val="none"/>
              </w:rPr>
            </w:pPr>
            <w:r>
              <w:rPr>
                <w:rFonts w:hint="eastAsia"/>
                <w:szCs w:val="21"/>
                <w:highlight w:val="none"/>
              </w:rPr>
              <w:t>5.14</w:t>
            </w:r>
          </w:p>
        </w:tc>
        <w:tc>
          <w:tcPr>
            <w:tcW w:w="1418" w:type="dxa"/>
            <w:noWrap w:val="0"/>
            <w:vAlign w:val="center"/>
          </w:tcPr>
          <w:p w14:paraId="46706C51">
            <w:pPr>
              <w:rPr>
                <w:szCs w:val="21"/>
                <w:highlight w:val="none"/>
              </w:rPr>
            </w:pPr>
            <w:r>
              <w:rPr>
                <w:rFonts w:hint="eastAsia"/>
                <w:szCs w:val="21"/>
                <w:highlight w:val="none"/>
              </w:rPr>
              <w:t>1.16.1</w:t>
            </w:r>
          </w:p>
        </w:tc>
        <w:tc>
          <w:tcPr>
            <w:tcW w:w="1701" w:type="dxa"/>
            <w:noWrap w:val="0"/>
            <w:vAlign w:val="center"/>
          </w:tcPr>
          <w:p w14:paraId="15593829">
            <w:pPr>
              <w:rPr>
                <w:szCs w:val="21"/>
                <w:highlight w:val="none"/>
              </w:rPr>
            </w:pPr>
            <w:r>
              <w:rPr>
                <w:rFonts w:hint="eastAsia"/>
                <w:szCs w:val="21"/>
                <w:highlight w:val="none"/>
              </w:rPr>
              <w:t>本次招标是否需要提交投标保证金</w:t>
            </w:r>
          </w:p>
        </w:tc>
        <w:tc>
          <w:tcPr>
            <w:tcW w:w="5209" w:type="dxa"/>
            <w:noWrap w:val="0"/>
            <w:vAlign w:val="center"/>
          </w:tcPr>
          <w:p w14:paraId="47F162ED">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4192919C">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51FE285E">
            <w:pPr>
              <w:rPr>
                <w:rFonts w:hint="eastAsia"/>
                <w:szCs w:val="21"/>
                <w:highlight w:val="none"/>
              </w:rPr>
            </w:pPr>
            <w:r>
              <w:rPr>
                <w:rFonts w:hint="eastAsia"/>
                <w:szCs w:val="21"/>
                <w:highlight w:val="none"/>
              </w:rPr>
              <w:t>5.15</w:t>
            </w:r>
          </w:p>
        </w:tc>
        <w:tc>
          <w:tcPr>
            <w:tcW w:w="1418" w:type="dxa"/>
            <w:noWrap w:val="0"/>
            <w:vAlign w:val="center"/>
          </w:tcPr>
          <w:p w14:paraId="44546AF0">
            <w:pPr>
              <w:rPr>
                <w:rFonts w:hint="eastAsia"/>
                <w:szCs w:val="21"/>
                <w:highlight w:val="none"/>
              </w:rPr>
            </w:pPr>
            <w:r>
              <w:rPr>
                <w:rFonts w:hint="eastAsia"/>
                <w:szCs w:val="21"/>
                <w:highlight w:val="none"/>
              </w:rPr>
              <w:t>1.17.2</w:t>
            </w:r>
          </w:p>
        </w:tc>
        <w:tc>
          <w:tcPr>
            <w:tcW w:w="1701" w:type="dxa"/>
            <w:noWrap w:val="0"/>
            <w:vAlign w:val="center"/>
          </w:tcPr>
          <w:p w14:paraId="17E926B7">
            <w:pPr>
              <w:rPr>
                <w:rFonts w:hint="eastAsia"/>
                <w:szCs w:val="21"/>
                <w:highlight w:val="none"/>
              </w:rPr>
            </w:pPr>
            <w:r>
              <w:rPr>
                <w:rFonts w:hint="eastAsia"/>
                <w:szCs w:val="21"/>
                <w:highlight w:val="none"/>
              </w:rPr>
              <w:t>项目预算</w:t>
            </w:r>
          </w:p>
        </w:tc>
        <w:tc>
          <w:tcPr>
            <w:tcW w:w="5209" w:type="dxa"/>
            <w:noWrap w:val="0"/>
            <w:vAlign w:val="center"/>
          </w:tcPr>
          <w:p w14:paraId="745A60AE">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1,197.600000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1,137.600000 万元,包 2 采购预算(或最高限价)为人民币 36.000000 万元,包 3 采购预算(或最高限价)为人民币 24.000000 万元</w:t>
            </w:r>
            <w:bookmarkEnd w:id="52"/>
            <w:r>
              <w:rPr>
                <w:rFonts w:hint="eastAsia"/>
                <w:szCs w:val="21"/>
                <w:highlight w:val="none"/>
              </w:rPr>
              <w:t>。</w:t>
            </w:r>
          </w:p>
        </w:tc>
      </w:tr>
      <w:tr w14:paraId="026B583A">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5A6C1133">
            <w:pPr>
              <w:rPr>
                <w:szCs w:val="21"/>
                <w:highlight w:val="none"/>
              </w:rPr>
            </w:pPr>
            <w:r>
              <w:rPr>
                <w:rFonts w:hint="eastAsia"/>
                <w:szCs w:val="21"/>
                <w:highlight w:val="none"/>
              </w:rPr>
              <w:t>5.16</w:t>
            </w:r>
          </w:p>
        </w:tc>
        <w:tc>
          <w:tcPr>
            <w:tcW w:w="1418" w:type="dxa"/>
            <w:noWrap w:val="0"/>
            <w:vAlign w:val="center"/>
          </w:tcPr>
          <w:p w14:paraId="2E87869A">
            <w:pPr>
              <w:rPr>
                <w:szCs w:val="21"/>
                <w:highlight w:val="none"/>
              </w:rPr>
            </w:pPr>
            <w:r>
              <w:rPr>
                <w:rFonts w:hint="eastAsia"/>
                <w:szCs w:val="21"/>
                <w:highlight w:val="none"/>
              </w:rPr>
              <w:t>1.18.1</w:t>
            </w:r>
          </w:p>
        </w:tc>
        <w:tc>
          <w:tcPr>
            <w:tcW w:w="1701" w:type="dxa"/>
            <w:noWrap w:val="0"/>
            <w:vAlign w:val="center"/>
          </w:tcPr>
          <w:p w14:paraId="568AFFAC">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4E0AE618">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3CFAA235">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02BCA546">
            <w:pPr>
              <w:rPr>
                <w:szCs w:val="21"/>
                <w:highlight w:val="none"/>
              </w:rPr>
            </w:pPr>
            <w:r>
              <w:rPr>
                <w:rFonts w:hint="eastAsia"/>
                <w:szCs w:val="21"/>
                <w:highlight w:val="none"/>
              </w:rPr>
              <w:t>5.17</w:t>
            </w:r>
          </w:p>
        </w:tc>
        <w:tc>
          <w:tcPr>
            <w:tcW w:w="1418" w:type="dxa"/>
            <w:noWrap w:val="0"/>
            <w:vAlign w:val="center"/>
          </w:tcPr>
          <w:p w14:paraId="5D988D47">
            <w:pPr>
              <w:rPr>
                <w:szCs w:val="21"/>
                <w:highlight w:val="none"/>
              </w:rPr>
            </w:pPr>
            <w:r>
              <w:rPr>
                <w:rFonts w:hint="eastAsia"/>
                <w:szCs w:val="21"/>
                <w:highlight w:val="none"/>
              </w:rPr>
              <w:t>1.20.1</w:t>
            </w:r>
          </w:p>
        </w:tc>
        <w:tc>
          <w:tcPr>
            <w:tcW w:w="1701" w:type="dxa"/>
            <w:noWrap w:val="0"/>
            <w:vAlign w:val="center"/>
          </w:tcPr>
          <w:p w14:paraId="47D1F415">
            <w:pPr>
              <w:rPr>
                <w:szCs w:val="21"/>
                <w:highlight w:val="none"/>
              </w:rPr>
            </w:pPr>
            <w:r>
              <w:rPr>
                <w:rFonts w:hint="eastAsia"/>
                <w:szCs w:val="21"/>
                <w:highlight w:val="none"/>
              </w:rPr>
              <w:t>投标有效期</w:t>
            </w:r>
          </w:p>
        </w:tc>
        <w:tc>
          <w:tcPr>
            <w:tcW w:w="5209" w:type="dxa"/>
            <w:noWrap w:val="0"/>
            <w:vAlign w:val="center"/>
          </w:tcPr>
          <w:p w14:paraId="1025F7DC">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541568D1">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2AB296D3">
            <w:pPr>
              <w:rPr>
                <w:rFonts w:hint="eastAsia"/>
                <w:szCs w:val="21"/>
                <w:highlight w:val="none"/>
              </w:rPr>
            </w:pPr>
            <w:r>
              <w:rPr>
                <w:rFonts w:hint="eastAsia"/>
                <w:szCs w:val="21"/>
              </w:rPr>
              <w:t>5.18</w:t>
            </w:r>
          </w:p>
        </w:tc>
        <w:tc>
          <w:tcPr>
            <w:tcW w:w="1418" w:type="dxa"/>
            <w:noWrap w:val="0"/>
            <w:vAlign w:val="center"/>
          </w:tcPr>
          <w:p w14:paraId="515E3E2F">
            <w:pPr>
              <w:rPr>
                <w:rFonts w:hint="eastAsia"/>
                <w:szCs w:val="21"/>
                <w:highlight w:val="none"/>
              </w:rPr>
            </w:pPr>
            <w:r>
              <w:rPr>
                <w:rFonts w:hint="eastAsia"/>
                <w:szCs w:val="21"/>
              </w:rPr>
              <w:t>1.22</w:t>
            </w:r>
          </w:p>
        </w:tc>
        <w:tc>
          <w:tcPr>
            <w:tcW w:w="1701" w:type="dxa"/>
            <w:noWrap w:val="0"/>
            <w:vAlign w:val="center"/>
          </w:tcPr>
          <w:p w14:paraId="7CB14ADB">
            <w:pPr>
              <w:rPr>
                <w:rFonts w:hint="eastAsia"/>
                <w:szCs w:val="21"/>
                <w:highlight w:val="none"/>
              </w:rPr>
            </w:pPr>
            <w:r>
              <w:rPr>
                <w:rFonts w:hint="eastAsia"/>
                <w:szCs w:val="21"/>
              </w:rPr>
              <w:t>投标文件递交</w:t>
            </w:r>
          </w:p>
        </w:tc>
        <w:tc>
          <w:tcPr>
            <w:tcW w:w="5209" w:type="dxa"/>
            <w:noWrap w:val="0"/>
            <w:vAlign w:val="center"/>
          </w:tcPr>
          <w:p w14:paraId="7F9C4752">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74123868">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DEDABCC">
            <w:pPr>
              <w:rPr>
                <w:szCs w:val="21"/>
                <w:highlight w:val="none"/>
              </w:rPr>
            </w:pPr>
            <w:r>
              <w:rPr>
                <w:rFonts w:hint="eastAsia"/>
                <w:szCs w:val="21"/>
                <w:highlight w:val="none"/>
              </w:rPr>
              <w:t>5.19</w:t>
            </w:r>
          </w:p>
        </w:tc>
        <w:tc>
          <w:tcPr>
            <w:tcW w:w="1418" w:type="dxa"/>
            <w:noWrap w:val="0"/>
            <w:vAlign w:val="center"/>
          </w:tcPr>
          <w:p w14:paraId="1FD75091">
            <w:pPr>
              <w:rPr>
                <w:szCs w:val="21"/>
                <w:highlight w:val="none"/>
              </w:rPr>
            </w:pPr>
            <w:r>
              <w:rPr>
                <w:rFonts w:hint="eastAsia"/>
                <w:szCs w:val="21"/>
                <w:highlight w:val="none"/>
              </w:rPr>
              <w:t>1.26.2</w:t>
            </w:r>
          </w:p>
        </w:tc>
        <w:tc>
          <w:tcPr>
            <w:tcW w:w="1701" w:type="dxa"/>
            <w:noWrap w:val="0"/>
            <w:vAlign w:val="center"/>
          </w:tcPr>
          <w:p w14:paraId="4C68B4F3">
            <w:pPr>
              <w:rPr>
                <w:szCs w:val="21"/>
                <w:highlight w:val="none"/>
              </w:rPr>
            </w:pPr>
            <w:r>
              <w:rPr>
                <w:rFonts w:hint="eastAsia"/>
                <w:szCs w:val="21"/>
                <w:highlight w:val="none"/>
              </w:rPr>
              <w:t>是否进行述标</w:t>
            </w:r>
          </w:p>
        </w:tc>
        <w:tc>
          <w:tcPr>
            <w:tcW w:w="5209" w:type="dxa"/>
            <w:noWrap w:val="0"/>
            <w:vAlign w:val="center"/>
          </w:tcPr>
          <w:p w14:paraId="27370BC8">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5DC5E28D">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07519E72">
            <w:pPr>
              <w:rPr>
                <w:rFonts w:hint="eastAsia"/>
                <w:szCs w:val="21"/>
                <w:highlight w:val="none"/>
              </w:rPr>
            </w:pPr>
            <w:r>
              <w:rPr>
                <w:rFonts w:hint="eastAsia"/>
                <w:szCs w:val="21"/>
                <w:highlight w:val="none"/>
              </w:rPr>
              <w:t>5.20</w:t>
            </w:r>
          </w:p>
        </w:tc>
        <w:tc>
          <w:tcPr>
            <w:tcW w:w="1418" w:type="dxa"/>
            <w:noWrap w:val="0"/>
            <w:vAlign w:val="center"/>
          </w:tcPr>
          <w:p w14:paraId="3C89AC0E">
            <w:pPr>
              <w:rPr>
                <w:rFonts w:hint="eastAsia"/>
                <w:szCs w:val="21"/>
                <w:highlight w:val="none"/>
              </w:rPr>
            </w:pPr>
          </w:p>
        </w:tc>
        <w:tc>
          <w:tcPr>
            <w:tcW w:w="1701" w:type="dxa"/>
            <w:noWrap w:val="0"/>
            <w:vAlign w:val="center"/>
          </w:tcPr>
          <w:p w14:paraId="6A7024F5">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6555743B">
            <w:pPr>
              <w:rPr>
                <w:rFonts w:ascii="宋体" w:hAnsi="宋体" w:hint="eastAsia"/>
                <w:szCs w:val="21"/>
                <w:highlight w:val="none"/>
              </w:rPr>
            </w:pPr>
            <w:r>
              <w:rPr>
                <w:rFonts w:ascii="宋体" w:hAnsi="宋体" w:hint="eastAsia"/>
                <w:szCs w:val="21"/>
                <w:highlight w:val="none"/>
              </w:rPr>
              <w:t>详见第九章采购合同</w:t>
            </w:r>
          </w:p>
        </w:tc>
      </w:tr>
      <w:tr w14:paraId="5650F0FC">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558A26CA">
            <w:pPr>
              <w:rPr>
                <w:rFonts w:hint="eastAsia"/>
                <w:szCs w:val="21"/>
                <w:highlight w:val="none"/>
              </w:rPr>
            </w:pPr>
            <w:r>
              <w:rPr>
                <w:rFonts w:hint="eastAsia"/>
                <w:szCs w:val="21"/>
                <w:highlight w:val="none"/>
              </w:rPr>
              <w:t>5.21</w:t>
            </w:r>
          </w:p>
        </w:tc>
        <w:tc>
          <w:tcPr>
            <w:tcW w:w="1418" w:type="dxa"/>
            <w:noWrap w:val="0"/>
            <w:vAlign w:val="center"/>
          </w:tcPr>
          <w:p w14:paraId="143F7E2D">
            <w:pPr>
              <w:rPr>
                <w:rFonts w:hint="eastAsia"/>
                <w:szCs w:val="21"/>
                <w:highlight w:val="none"/>
              </w:rPr>
            </w:pPr>
          </w:p>
        </w:tc>
        <w:tc>
          <w:tcPr>
            <w:tcW w:w="1701" w:type="dxa"/>
            <w:noWrap w:val="0"/>
            <w:vAlign w:val="center"/>
          </w:tcPr>
          <w:p w14:paraId="495B3825">
            <w:pPr>
              <w:rPr>
                <w:rFonts w:hint="eastAsia"/>
                <w:szCs w:val="21"/>
                <w:highlight w:val="none"/>
              </w:rPr>
            </w:pPr>
            <w:r>
              <w:rPr>
                <w:rFonts w:hint="eastAsia"/>
                <w:szCs w:val="21"/>
                <w:highlight w:val="none"/>
              </w:rPr>
              <w:t>其他事项</w:t>
            </w:r>
          </w:p>
        </w:tc>
        <w:tc>
          <w:tcPr>
            <w:tcW w:w="5209" w:type="dxa"/>
            <w:noWrap w:val="0"/>
            <w:vAlign w:val="center"/>
          </w:tcPr>
          <w:p w14:paraId="71B3B45E">
            <w:pPr>
              <w:rPr>
                <w:rFonts w:ascii="宋体" w:hAnsi="宋体" w:hint="eastAsia"/>
                <w:szCs w:val="21"/>
                <w:highlight w:val="none"/>
              </w:rPr>
            </w:pPr>
            <w:bookmarkStart w:id="56" w:name="其他事项_ottherReemarks"/>
            <w:r>
              <w:rPr>
                <w:rFonts w:ascii="宋体" w:hAnsi="宋体" w:hint="eastAsia"/>
                <w:szCs w:val="21"/>
                <w:highlight w:val="none"/>
                <w:lang w:val="en-US" w:eastAsia="zh-CN"/>
              </w:rPr>
              <w:t>1.</w:t>
            </w:r>
            <w:r>
              <w:rPr>
                <w:rFonts w:ascii="宋体" w:hAnsi="宋体" w:hint="eastAsia"/>
                <w:szCs w:val="21"/>
                <w:highlight w:val="none"/>
              </w:rPr>
              <w:t>根据本项目实际情况，招标文件1.27.3第1项至第3项启动异常低价投标审查的数值标准为65%。</w:t>
            </w:r>
            <w:bookmarkEnd w:id="56"/>
            <w:r>
              <w:rPr>
                <w:rFonts w:ascii="宋体" w:hAnsi="宋体" w:hint="eastAsia"/>
                <w:szCs w:val="21"/>
                <w:highlight w:val="none"/>
              </w:rPr>
              <w:t>2、本项目共</w:t>
            </w:r>
            <w:r>
              <w:rPr>
                <w:rFonts w:ascii="宋体" w:hAnsi="宋体" w:hint="eastAsia"/>
                <w:szCs w:val="21"/>
                <w:highlight w:val="none"/>
                <w:lang w:val="en-US" w:eastAsia="zh-CN"/>
              </w:rPr>
              <w:t>3</w:t>
            </w:r>
            <w:r>
              <w:rPr>
                <w:rFonts w:ascii="宋体" w:hAnsi="宋体" w:hint="eastAsia"/>
                <w:szCs w:val="21"/>
                <w:highlight w:val="none"/>
              </w:rPr>
              <w:t>包，投标人可同时投递多包，兼投兼中。</w:t>
            </w:r>
            <w:bookmarkStart w:id="57" w:name="_GoBack"/>
            <w:bookmarkEnd w:id="57"/>
          </w:p>
        </w:tc>
      </w:tr>
    </w:tbl>
    <w:p w14:paraId="59027EC6">
      <w:pPr>
        <w:rPr>
          <w:highlight w:val="none"/>
        </w:rPr>
      </w:pPr>
    </w:p>
    <w:p w14:paraId="56B6F887"/>
    <w:bookmarkEnd w:id="37"/>
    <w:p w14:paraId="5883F382">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6E9533EC">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4260B8BE">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729D39BF">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35BE9F17">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7593D959">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400F7257">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59"/>
        <w:gridCol w:w="1103"/>
        <w:gridCol w:w="259"/>
        <w:gridCol w:w="72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1、生产厂家、投标人、投标产品非强制资质要求（客观分）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2、投标人业绩（客观分）</w:t>
            </w:r>
          </w:p>
        </w:tc>
        <w:tc>
          <w:tcPr/>
          <w:p>
            <w:r>
              <w:t>勾选打分</w:t>
            </w:r>
            <w:r>
              <w:t>(5)</w:t>
            </w:r>
          </w:p>
        </w:tc>
        <w:tc>
          <w:tcPr/>
          <w:p>
            <w:r>
              <w:t>评审标准：</w:t>
            </w:r>
          </w:p>
          <w:p>
            <w:r>
              <w:t>销售合同必须包括集成式交通气象监测仪，每提供1份合同得1分，最多得5分。否则不得分。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1、售后服务（主观分）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2、质保服务方案（主观分）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3、培训承诺及方案（主观分）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4、交货期保证（客观分）</w:t>
            </w:r>
          </w:p>
        </w:tc>
        <w:tc>
          <w:tcPr/>
          <w:p>
            <w:r>
              <w:t>勾选打分</w:t>
            </w:r>
            <w:r>
              <w:t>(1)</w:t>
            </w:r>
          </w:p>
        </w:tc>
        <w:tc>
          <w:tcPr/>
          <w:p>
            <w:r>
              <w:t>评审标准：</w:t>
            </w:r>
          </w:p>
          <w:p>
            <w:r>
              <w:t>针对本项目采购的集成式交通气象监测仪，承诺每提前10天交货的得1分，最多得1分。否则不得分。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5、用户满意度证明（客观分）</w:t>
            </w:r>
          </w:p>
        </w:tc>
        <w:tc>
          <w:tcPr/>
          <w:p>
            <w:r>
              <w:t>勾选打分</w:t>
            </w:r>
            <w:r>
              <w:t>(3)</w:t>
            </w:r>
          </w:p>
        </w:tc>
        <w:tc>
          <w:tcPr/>
          <w:p>
            <w:r>
              <w:t>评审标准：</w:t>
            </w:r>
          </w:p>
          <w:p>
            <w:r>
              <w:t>针对集成式交通气象监测仪设备，每提供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6、服务团队（客观分）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2、除项目经理外至少8人具有2年及以上相关工作经验的，得1分；为本项目派出的技术人员至少3人具有1年及以上相关工作经验的，得0.5分；其他不得分。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1、投标产品重要技术指标（客观分）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2、投标产品技术方案（主观分）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二档：技术方案基本能按照招标文件的格式进行响应，不详细、不具体，无针对性。</w:t>
              <w:cr/>
              <w:t xml:space="preserve">三档：技术方案基本能按照招标文件的要求进行响应，详细具体，有一定针对性，基本满足采购文件需求。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3、投标产品综合性能（主观分）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4、实施方案（主观分）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5、投标产品的环境适应性（客观分）</w:t>
            </w:r>
          </w:p>
        </w:tc>
        <w:tc>
          <w:tcPr/>
          <w:p>
            <w:r>
              <w:t>区间打分</w:t>
            </w:r>
            <w:r>
              <w:t>(2)</w:t>
            </w:r>
          </w:p>
        </w:tc>
        <w:tc>
          <w:tcPr/>
          <w:p>
            <w:r>
              <w:t>评审标准：</w:t>
            </w:r>
          </w:p>
          <w:p>
            <w:r>
              <w:t>针对集成式交通气象监测仪设备，测试报告应涵盖高温、低温、防腐蚀、抗震动冲击内容，每包含一项得0.5分，最多得2分。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6、投标产品软件兼容性（客观分）</w:t>
            </w:r>
          </w:p>
        </w:tc>
        <w:tc>
          <w:tcPr/>
          <w:p>
            <w:r>
              <w:t>勾选打分</w:t>
            </w:r>
            <w:r>
              <w:t>(2)</w:t>
            </w:r>
          </w:p>
        </w:tc>
        <w:tc>
          <w:tcPr/>
          <w:p>
            <w:r>
              <w:t>评审标准：</w:t>
            </w:r>
          </w:p>
          <w:p>
            <w:r>
              <w:t>投标产品软件兼容性强，集成式交通气象监测仪观测数据能接入省级天擎和国家级天擎，且需遵循气象大数据云平台技术要求和接口规范得2分。否则不得分。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（一）系统组成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集成式交通气象监测仪采用一个微控制单元，在底层电路板级将多种传感器和多种通讯手段集成一体，满足能见度、路面状况、路面温度等公路交通安全高敏感气象要素同步监测的同时，兼具常规气温、相对湿度、风速、风向、降雨强度（等级或降雨量）等常规要素的监测。设备技术性能指标必须满足公安、交通等行业部门对公路交通气象监测的特殊专业要求，不需要建设专用基础立杆进行安装，可借助公路旁灯杆、监控杆、龙门架等已有设施进行安装，最大限度降低公路交通气象站运输、安装、维护方面的额外成本。</w:t>
      </w:r>
    </w:p>
    <w:p>
      <w:pPr>
        <w:numPr>
          <w:ilvl w:val="0"/>
          <w:numId w:val="4"/>
        </w:numPr>
        <w:spacing w:line="560" w:lineRule="exact"/>
        <w:ind w:firstLine="560" w:firstLineChars="200"/>
        <w:rPr>
          <w:rFonts w:ascii="仿宋" w:eastAsia="仿宋" w:hAnsi="仿宋" w:cs="仿宋" w:hint="eastAsia"/>
          <w:sz w:val="28"/>
          <w:szCs w:val="20"/>
        </w:rPr>
      </w:pPr>
      <w:bookmarkStart w:id="61" w:name="_Hlk211516166"/>
      <w:r>
        <w:rPr>
          <w:rFonts w:ascii="仿宋" w:eastAsia="仿宋" w:hAnsi="仿宋" w:cs="仿宋" w:hint="eastAsia"/>
          <w:sz w:val="28"/>
          <w:szCs w:val="20"/>
        </w:rPr>
        <w:t>技术性能要求</w:t>
      </w:r>
    </w:p>
    <w:p>
      <w:pPr>
        <w:spacing w:after="156" w:afterLines="50"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集成式交通气象监测仪许可为：集成式交通气象监测仪。设备技术指标如下：</w:t>
      </w:r>
    </w:p>
    <w:tbl>
      <w:tblPr>
        <w:tblStyle w:val="TableNormal"/>
        <w:tblW w:w="8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3"/>
        <w:gridCol w:w="1227"/>
        <w:gridCol w:w="1978"/>
        <w:gridCol w:w="1404"/>
        <w:gridCol w:w="3072"/>
      </w:tblGrid>
      <w:tr>
        <w:tblPrEx>
          <w:tblW w:w="8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
          <w:tblHeader/>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序号</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测量要素</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范围</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分辨力</w:t>
            </w:r>
          </w:p>
        </w:tc>
        <w:tc>
          <w:tcPr>
            <w:tcW w:w="3072"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准确度等级/最大允许误差</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物理规格</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尺寸（长*宽*高）</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610*260*450mm（</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10mm）；重量</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6kg</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2</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通讯方式</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4G并向下兼容（标配），内置蓝牙（选配）；预留RS232或RS485数据传输接口</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3</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供电方式</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直流供电或太阳能供电</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4</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数据传输</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可通过约定的通信方式和数据协议将数据上传至省级数据中心或气象大数据云平台，实现数据解码和数据服务</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5</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路面状况</w:t>
            </w:r>
          </w:p>
        </w:tc>
        <w:tc>
          <w:tcPr>
            <w:tcW w:w="3382" w:type="dxa"/>
            <w:gridSpan w:val="2"/>
            <w:tcBorders>
              <w:top w:val="single" w:sz="4" w:space="0" w:color="auto"/>
              <w:left w:val="single" w:sz="4" w:space="0" w:color="auto"/>
              <w:bottom w:val="single" w:sz="4" w:space="0" w:color="auto"/>
              <w:right w:val="single" w:sz="4" w:space="0" w:color="auto"/>
            </w:tcBorders>
            <w:vAlign w:val="center"/>
          </w:tcPr>
          <w:p>
            <w:pPr>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准确区分干燥、潮湿、积水、霜\雪、冰、冰水混合等6种路面状况，可反演输出湿滑系数</w:t>
            </w:r>
          </w:p>
        </w:tc>
        <w:tc>
          <w:tcPr>
            <w:tcW w:w="3072"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&gt;90%</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6</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能见度</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10～5000m</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1m</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误差指标，以下需全部满足</w:t>
            </w:r>
          </w:p>
          <w:p>
            <w:pPr>
              <w:jc w:val="left"/>
              <w:rPr>
                <w:rFonts w:ascii="仿宋_GB2312" w:eastAsia="仿宋_GB2312" w:hAnsi="仿宋_GB2312" w:cs="仿宋_GB2312"/>
                <w:sz w:val="21"/>
                <w:szCs w:val="21"/>
                <w:highlight w:val="yellow"/>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50m（能见度</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500m）</w:t>
            </w:r>
          </w:p>
          <w:p>
            <w:pPr>
              <w:jc w:val="left"/>
              <w:rPr>
                <w:rFonts w:ascii="仿宋_GB2312" w:eastAsia="仿宋_GB2312" w:hAnsi="仿宋_GB2312" w:cs="仿宋_GB2312"/>
                <w:sz w:val="21"/>
                <w:szCs w:val="21"/>
                <w:highlight w:val="yellow"/>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10%（500m&lt;能见度</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1500m）</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20%（能见度＞1500m）</w:t>
            </w:r>
          </w:p>
        </w:tc>
      </w:tr>
      <w:tr>
        <w:tblPrEx>
          <w:tblW w:w="8404" w:type="dxa"/>
          <w:jc w:val="center"/>
          <w:tblLayout w:type="fixed"/>
          <w:tblCellMar>
            <w:top w:w="0" w:type="dxa"/>
            <w:left w:w="108" w:type="dxa"/>
            <w:bottom w:w="0" w:type="dxa"/>
            <w:right w:w="108" w:type="dxa"/>
          </w:tblCellMar>
          <w:tblLook w:val="0000"/>
        </w:tblPrEx>
        <w:trPr>
          <w:trHeight w:val="90"/>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7</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路面温度</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40～+80</w:t>
            </w:r>
            <w:r>
              <w:rPr>
                <w:rFonts w:ascii="仿宋_GB2312" w:eastAsia="仿宋_GB2312" w:hAnsi="仿宋_GB2312" w:cs="仿宋_GB2312" w:hint="eastAsia"/>
                <w:sz w:val="21"/>
                <w:szCs w:val="21"/>
              </w:rPr>
              <w:t>℃</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0.1</w:t>
            </w:r>
            <w:r>
              <w:rPr>
                <w:rFonts w:ascii="仿宋_GB2312" w:eastAsia="仿宋_GB2312" w:hAnsi="仿宋_GB2312" w:cs="仿宋_GB2312" w:hint="eastAsia"/>
                <w:sz w:val="21"/>
                <w:szCs w:val="21"/>
                <w:highlight w:val="yellow"/>
              </w:rPr>
              <w:t>℃</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hint="eastAsia"/>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误差指标，以下需全部满足</w:t>
            </w:r>
          </w:p>
          <w:p>
            <w:pPr>
              <w:jc w:val="left"/>
              <w:rPr>
                <w:rFonts w:ascii="仿宋_GB2312" w:eastAsia="仿宋_GB2312" w:hAnsi="仿宋_GB2312" w:cs="仿宋_GB2312"/>
                <w:sz w:val="21"/>
                <w:szCs w:val="21"/>
                <w:highlight w:val="yellow"/>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0.5</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 xml:space="preserve"> @（-5</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2</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（其它范围）</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8</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湿滑系数</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0.01～1.00</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0.01</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9</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气温</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-40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～+55</w:t>
            </w:r>
            <w:r>
              <w:rPr>
                <w:rFonts w:ascii="仿宋_GB2312" w:eastAsia="仿宋_GB2312" w:hAnsi="仿宋_GB2312" w:cs="仿宋_GB2312" w:hint="eastAsia"/>
                <w:sz w:val="21"/>
                <w:szCs w:val="21"/>
              </w:rPr>
              <w:t>℃</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0.1</w:t>
            </w:r>
            <w:r>
              <w:rPr>
                <w:rFonts w:ascii="仿宋_GB2312" w:eastAsia="仿宋_GB2312" w:hAnsi="仿宋_GB2312" w:cs="仿宋_GB2312" w:hint="eastAsia"/>
                <w:sz w:val="21"/>
                <w:szCs w:val="21"/>
              </w:rPr>
              <w:t>℃</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0.5</w:t>
            </w:r>
            <w:r>
              <w:rPr>
                <w:rFonts w:ascii="仿宋_GB2312" w:eastAsia="仿宋_GB2312" w:hAnsi="仿宋_GB2312" w:cs="仿宋_GB2312" w:hint="eastAsia"/>
                <w:sz w:val="21"/>
                <w:szCs w:val="21"/>
                <w:highlight w:val="yellow"/>
              </w:rPr>
              <w:t>℃</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10</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相对湿度</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10%～100%RH</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0.1%RH</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hint="eastAsia"/>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误差指标，以下需全部满足</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3%RH（</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80%RH）</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5%RH（＞80%RH）</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11</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气压</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500～1100hPa</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0.1hPa</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0.5hPa</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12</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风速</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0～60m/s</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0.1m/s</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hint="eastAsia"/>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（0.5+0.03V）m/s</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highlight w:val="yellow"/>
              </w:rPr>
              <w:t>（V表示当前风速值）</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13</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风向</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0～360</w:t>
            </w:r>
            <w:r>
              <w:rPr>
                <w:rFonts w:ascii="仿宋_GB2312" w:eastAsia="仿宋_GB2312" w:hAnsi="仿宋_GB2312" w:cs="仿宋_GB2312" w:hint="eastAsia"/>
                <w:sz w:val="21"/>
                <w:szCs w:val="21"/>
              </w:rPr>
              <w:t>°</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w:t>
            </w:r>
            <w:r>
              <w:rPr>
                <w:rFonts w:ascii="仿宋_GB2312" w:eastAsia="仿宋_GB2312" w:hAnsi="仿宋_GB2312" w:cs="仿宋_GB2312" w:hint="eastAsia"/>
                <w:sz w:val="21"/>
                <w:szCs w:val="21"/>
              </w:rPr>
              <w:t>°</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w:t>
            </w:r>
            <w:r>
              <w:rPr>
                <w:rFonts w:ascii="仿宋_GB2312" w:eastAsia="仿宋_GB2312" w:hAnsi="仿宋_GB2312" w:cs="仿宋_GB2312" w:hint="eastAsia"/>
                <w:sz w:val="21"/>
                <w:szCs w:val="21"/>
              </w:rPr>
              <w:t>°</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14</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降雨强度</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至少可识别有/无降雨，宜识别降雨强度等级或测量降雨量，</w:t>
            </w:r>
            <w:r>
              <w:rPr>
                <w:rFonts w:ascii="仿宋_GB2312" w:eastAsia="仿宋_GB2312" w:hAnsi="仿宋_GB2312" w:cs="仿宋_GB2312" w:hint="eastAsia"/>
                <w:kern w:val="0"/>
                <w:sz w:val="21"/>
                <w:szCs w:val="21"/>
                <w:highlight w:val="yellow"/>
              </w:rPr>
              <w:t>降雨强度等级分为小雨、中雨、大雨、暴雨、大暴雨、特大暴雨6个类别</w:t>
            </w:r>
            <w:r>
              <w:rPr>
                <w:rFonts w:ascii="仿宋_GB2312" w:eastAsia="仿宋_GB2312" w:hAnsi="仿宋_GB2312" w:cs="仿宋_GB2312" w:hint="eastAsia"/>
                <w:sz w:val="21"/>
                <w:szCs w:val="21"/>
                <w:highlight w:val="yellow"/>
              </w:rPr>
              <w:t>（参考 GB/T28592</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2012 ）</w:t>
            </w:r>
          </w:p>
        </w:tc>
      </w:tr>
      <w:bookmarkEnd w:id="61"/>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 数据要求</w:t>
      </w:r>
    </w:p>
    <w:p>
      <w:pPr>
        <w:spacing w:line="560" w:lineRule="exact"/>
        <w:ind w:firstLine="560" w:firstLineChars="200"/>
        <w:rPr>
          <w:rFonts w:ascii="仿宋" w:eastAsia="仿宋" w:hAnsi="仿宋" w:cs="仿宋"/>
          <w:sz w:val="28"/>
          <w:szCs w:val="20"/>
          <w:highlight w:val="yellow"/>
        </w:rPr>
      </w:pPr>
      <w:r>
        <w:rPr>
          <w:rFonts w:ascii="仿宋" w:eastAsia="仿宋" w:hAnsi="仿宋" w:cs="仿宋" w:hint="eastAsia"/>
          <w:sz w:val="28"/>
          <w:szCs w:val="20"/>
        </w:rPr>
        <w:t>数据存储、质控等相关要求需按照《集成式交通气象监测仪技术要求》执行，</w:t>
      </w:r>
      <w:r>
        <w:rPr>
          <w:rFonts w:ascii="仿宋" w:eastAsia="仿宋" w:hAnsi="仿宋" w:cs="仿宋" w:hint="eastAsia"/>
          <w:sz w:val="28"/>
          <w:szCs w:val="20"/>
          <w:highlight w:val="yellow"/>
        </w:rPr>
        <w:t>需按照相关数据要求生成标准格式数据，满足通过约定的通信方式和数据协议，将数据上传至省级气象通信系统，在本省天擎进行解码、入库提供服务的同时，将数据上传至国家级气象通信系统，在国家级天擎进行解码、入库提供服务。</w:t>
      </w:r>
    </w:p>
    <w:p>
      <w:pPr>
        <w:numPr>
          <w:ilvl w:val="0"/>
          <w:numId w:val="5"/>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sz w:val="28"/>
          <w:szCs w:val="20"/>
        </w:rPr>
        <w:t>供应商按照业务运行规范要求执行，确保设备稳定运行，</w:t>
      </w:r>
      <w:r>
        <w:rPr>
          <w:rFonts w:ascii="仿宋" w:eastAsia="仿宋" w:hAnsi="仿宋" w:cs="仿宋" w:hint="eastAsia"/>
          <w:sz w:val="28"/>
          <w:szCs w:val="20"/>
        </w:rPr>
        <w:t>负责</w:t>
      </w:r>
      <w:r>
        <w:rPr>
          <w:rFonts w:ascii="仿宋" w:eastAsia="仿宋" w:hAnsi="仿宋" w:cs="仿宋"/>
          <w:sz w:val="28"/>
          <w:szCs w:val="20"/>
        </w:rPr>
        <w:t>故障维修等。</w:t>
      </w:r>
      <w:r>
        <w:rPr>
          <w:rFonts w:ascii="仿宋" w:eastAsia="仿宋" w:hAnsi="仿宋" w:cs="仿宋" w:hint="eastAsia"/>
          <w:sz w:val="28"/>
          <w:szCs w:val="20"/>
        </w:rPr>
        <w:t>按照《</w:t>
      </w:r>
      <w:r>
        <w:rPr>
          <w:rFonts w:ascii="仿宋" w:eastAsia="仿宋" w:hAnsi="仿宋" w:cs="仿宋" w:hint="eastAsia"/>
          <w:sz w:val="28"/>
          <w:szCs w:val="20"/>
        </w:rPr>
        <w:t>“</w:t>
      </w:r>
      <w:r>
        <w:rPr>
          <w:rFonts w:ascii="仿宋" w:eastAsia="仿宋" w:hAnsi="仿宋" w:cs="仿宋" w:hint="eastAsia"/>
          <w:sz w:val="28"/>
          <w:szCs w:val="20"/>
        </w:rPr>
        <w:t>十四五</w:t>
      </w:r>
      <w:r>
        <w:rPr>
          <w:rFonts w:ascii="仿宋" w:eastAsia="仿宋" w:hAnsi="仿宋" w:cs="仿宋" w:hint="eastAsia"/>
          <w:sz w:val="28"/>
          <w:szCs w:val="20"/>
        </w:rPr>
        <w:t>”</w:t>
      </w:r>
      <w:r>
        <w:rPr>
          <w:rFonts w:ascii="仿宋" w:eastAsia="仿宋" w:hAnsi="仿宋" w:cs="仿宋" w:hint="eastAsia"/>
          <w:sz w:val="28"/>
          <w:szCs w:val="20"/>
        </w:rPr>
        <w:t>期间综合观测类工程项目新上设备建设及质保指导意见》（重点项目办函〔2025〕12号）相关要求执行，并提供相关承诺函。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（1）供应商将所有设备运送到招标人指定地点（运输相关费用由供应商负责），并负责安装调试。新建、改建观测场场地平整以及地沟、小路等建设，设备安装完成后场地恢复、绿化等</w:t>
      </w:r>
      <w:r>
        <w:rPr>
          <w:rFonts w:ascii="仿宋" w:eastAsia="仿宋" w:hAnsi="仿宋" w:cs="仿宋" w:hint="eastAsia"/>
          <w:sz w:val="28"/>
          <w:szCs w:val="20"/>
        </w:rPr>
        <w:t>。</w:t>
      </w:r>
      <w:r>
        <w:rPr>
          <w:rFonts w:ascii="仿宋" w:eastAsia="仿宋" w:hAnsi="仿宋" w:cs="仿宋"/>
          <w:sz w:val="28"/>
          <w:szCs w:val="20"/>
        </w:rPr>
        <w:t>设备安装、集成与调试等，包括</w:t>
      </w:r>
      <w:r>
        <w:rPr>
          <w:rFonts w:ascii="仿宋" w:eastAsia="仿宋" w:hAnsi="仿宋" w:cs="仿宋" w:hint="eastAsia"/>
          <w:sz w:val="28"/>
          <w:szCs w:val="20"/>
        </w:rPr>
        <w:t>集成式交通气象监测仪</w:t>
      </w:r>
      <w:r>
        <w:rPr>
          <w:rFonts w:ascii="仿宋" w:eastAsia="仿宋" w:hAnsi="仿宋" w:cs="仿宋"/>
          <w:sz w:val="28"/>
          <w:szCs w:val="20"/>
        </w:rPr>
        <w:t>各类设备安装、集成与调试等</w:t>
      </w:r>
      <w:r>
        <w:rPr>
          <w:rFonts w:ascii="仿宋" w:eastAsia="仿宋" w:hAnsi="仿宋" w:cs="仿宋" w:hint="eastAsia"/>
          <w:sz w:val="28"/>
          <w:szCs w:val="20"/>
        </w:rPr>
        <w:t>，涉及</w:t>
      </w:r>
      <w:r>
        <w:rPr>
          <w:rFonts w:ascii="仿宋" w:eastAsia="仿宋" w:hAnsi="仿宋" w:cs="仿宋"/>
          <w:sz w:val="28"/>
          <w:szCs w:val="20"/>
        </w:rPr>
        <w:t>安装支架（立柱）、线缆、安装结构件等附属设施、仪器安装基础建设等</w:t>
      </w:r>
      <w:r>
        <w:rPr>
          <w:rFonts w:ascii="仿宋" w:eastAsia="仿宋" w:hAnsi="仿宋" w:cs="仿宋" w:hint="eastAsia"/>
          <w:sz w:val="28"/>
          <w:szCs w:val="20"/>
        </w:rPr>
        <w:t>，要</w:t>
      </w:r>
      <w:r>
        <w:rPr>
          <w:rFonts w:ascii="仿宋" w:eastAsia="仿宋" w:hAnsi="仿宋" w:cs="仿宋"/>
          <w:sz w:val="28"/>
          <w:szCs w:val="20"/>
        </w:rPr>
        <w:t>必需</w:t>
      </w:r>
      <w:r>
        <w:rPr>
          <w:rFonts w:ascii="仿宋" w:eastAsia="仿宋" w:hAnsi="仿宋" w:cs="仿宋" w:hint="eastAsia"/>
          <w:sz w:val="28"/>
          <w:szCs w:val="20"/>
        </w:rPr>
        <w:t>安装</w:t>
      </w:r>
      <w:r>
        <w:rPr>
          <w:rFonts w:ascii="仿宋" w:eastAsia="仿宋" w:hAnsi="仿宋" w:cs="仿宋"/>
          <w:sz w:val="28"/>
          <w:szCs w:val="20"/>
        </w:rPr>
        <w:t>；设备布局及建设要求符合</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十四五</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期间综合观测类工程项目新上设备建设技术要求》(气测函〔2025〕226号)</w:t>
      </w:r>
      <w:r>
        <w:rPr>
          <w:rFonts w:ascii="仿宋" w:eastAsia="仿宋" w:hAnsi="仿宋" w:cs="仿宋"/>
          <w:sz w:val="28"/>
          <w:szCs w:val="20"/>
        </w:rPr>
        <w:t>要求。</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（2）</w:t>
      </w:r>
      <w:r>
        <w:rPr>
          <w:rFonts w:ascii="仿宋" w:eastAsia="仿宋" w:hAnsi="仿宋" w:cs="仿宋" w:hint="eastAsia"/>
          <w:color w:val="FF0000"/>
          <w:sz w:val="28"/>
          <w:szCs w:val="20"/>
          <w:highlight w:val="yellow"/>
        </w:rPr>
        <w:t>*</w:t>
      </w:r>
      <w:r>
        <w:rPr>
          <w:rFonts w:ascii="仿宋" w:eastAsia="仿宋" w:hAnsi="仿宋" w:cs="仿宋"/>
          <w:color w:val="FF0000"/>
          <w:sz w:val="28"/>
          <w:szCs w:val="20"/>
          <w:highlight w:val="yellow"/>
        </w:rPr>
        <w:t>质保期：</w:t>
      </w:r>
      <w:r>
        <w:rPr>
          <w:rFonts w:ascii="仿宋" w:eastAsia="仿宋" w:hAnsi="仿宋" w:cs="仿宋" w:hint="eastAsia"/>
          <w:color w:val="FF0000"/>
          <w:sz w:val="28"/>
          <w:szCs w:val="20"/>
          <w:highlight w:val="yellow"/>
        </w:rPr>
        <w:t>8</w:t>
      </w:r>
      <w:r>
        <w:rPr>
          <w:rFonts w:ascii="仿宋" w:eastAsia="仿宋" w:hAnsi="仿宋" w:cs="仿宋"/>
          <w:color w:val="FF0000"/>
          <w:sz w:val="28"/>
          <w:szCs w:val="20"/>
          <w:highlight w:val="yellow"/>
        </w:rPr>
        <w:t>年，</w:t>
      </w:r>
      <w:r>
        <w:rPr>
          <w:rFonts w:ascii="仿宋" w:eastAsia="仿宋" w:hAnsi="仿宋" w:cs="仿宋"/>
          <w:sz w:val="28"/>
          <w:szCs w:val="20"/>
        </w:rPr>
        <w:t>供应商需对质保期（保内、保外）政策进行阐述或承诺，列明有偿服务和无偿服务内容。</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（3）在质保期内，设备供应商服务时间应为7×24小时，当投标产品或软件遭到损坏或出现故障时，要在用户报修之时起48小时内做出响应，开展维修维护工作，视情况双方协商设备恢复正常运行时限。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五、技术培训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8"/>
        </w:rPr>
        <w:t>（1）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（2）技术培训内容包括：设备工作原理、使用方法、日常维护及一般常见故障的诊断及排除等。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（5）培训次数、课时及人数要求详见采购需求-其他技术及商务需求。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六、验收要求（检验考核要求等）</w:t>
      </w:r>
    </w:p>
    <w:p>
      <w:pPr>
        <w:ind w:firstLine="560" w:firstLineChars="200"/>
        <w:rPr>
          <w:rFonts w:eastAsia="仿宋"/>
          <w:sz w:val="28"/>
          <w:szCs w:val="20"/>
        </w:rPr>
      </w:pPr>
      <w:r>
        <w:rPr>
          <w:rFonts w:eastAsia="仿宋" w:hint="eastAsia"/>
          <w:sz w:val="28"/>
          <w:szCs w:val="20"/>
        </w:rPr>
        <w:t>按照</w:t>
      </w:r>
      <w:r>
        <w:rPr>
          <w:rFonts w:eastAsia="仿宋"/>
          <w:sz w:val="28"/>
          <w:szCs w:val="20"/>
        </w:rPr>
        <w:t>功能规格需求书、测试大纲，以及中国气象局最新业务管理规定等有关文件要求开展检验考核。</w:t>
      </w:r>
    </w:p>
    <w:p>
      <w:pPr>
        <w:numPr>
          <w:ilvl w:val="0"/>
          <w:numId w:val="6"/>
        </w:numPr>
        <w:ind w:firstLine="560" w:firstLineChars="200"/>
        <w:rPr>
          <w:rFonts w:eastAsia="仿宋" w:hint="eastAsia"/>
          <w:sz w:val="28"/>
          <w:szCs w:val="20"/>
        </w:rPr>
      </w:pPr>
      <w:r>
        <w:rPr>
          <w:rFonts w:eastAsia="仿宋" w:hint="eastAsia"/>
          <w:sz w:val="28"/>
          <w:szCs w:val="20"/>
        </w:rPr>
        <w:t>提供的</w:t>
      </w:r>
      <w:r>
        <w:rPr>
          <w:rFonts w:ascii="仿宋" w:eastAsia="仿宋" w:hAnsi="仿宋" w:cs="仿宋" w:hint="eastAsia"/>
          <w:sz w:val="28"/>
          <w:szCs w:val="20"/>
        </w:rPr>
        <w:t>集成式交通气象监测仪</w:t>
      </w:r>
      <w:r>
        <w:rPr>
          <w:rFonts w:eastAsia="仿宋" w:hint="eastAsia"/>
          <w:sz w:val="28"/>
          <w:szCs w:val="20"/>
        </w:rPr>
        <w:t>需具备装备许可，否则验收为不合格，追究中标方的责任。</w:t>
      </w:r>
    </w:p>
    <w:p>
      <w:pPr>
        <w:numPr>
          <w:ilvl w:val="0"/>
          <w:numId w:val="6"/>
        </w:numPr>
        <w:ind w:firstLine="560" w:firstLineChars="200"/>
        <w:rPr>
          <w:rFonts w:ascii="仿宋" w:eastAsia="仿宋" w:hAnsi="仿宋" w:cs="仿宋"/>
          <w:sz w:val="28"/>
          <w:szCs w:val="20"/>
        </w:rPr>
      </w:pPr>
      <w:r>
        <w:rPr>
          <w:rFonts w:ascii="仿宋" w:eastAsia="仿宋" w:hAnsi="仿宋" w:cs="仿宋" w:hint="eastAsia"/>
          <w:sz w:val="28"/>
          <w:szCs w:val="20"/>
        </w:rPr>
        <w:t>中标方负责设备的集成、安装和调试，设备安装、调试需达到</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十四五</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期间综合观测类工程项目新上设备建设技术要求》(气测函〔2025〕226号)等文件</w:t>
      </w:r>
      <w:r>
        <w:rPr>
          <w:rFonts w:ascii="仿宋" w:eastAsia="仿宋" w:hAnsi="仿宋" w:cs="仿宋" w:hint="eastAsia"/>
          <w:sz w:val="28"/>
          <w:szCs w:val="20"/>
        </w:rPr>
        <w:t>要求。</w:t>
      </w:r>
    </w:p>
    <w:p>
      <w:pPr>
        <w:numPr>
          <w:ilvl w:val="0"/>
          <w:numId w:val="6"/>
        </w:numPr>
        <w:ind w:firstLine="560" w:firstLineChars="200"/>
        <w:rPr>
          <w:rFonts w:ascii="仿宋" w:eastAsia="仿宋" w:hAnsi="仿宋" w:cs="仿宋" w:hint="eastAsia"/>
          <w:sz w:val="28"/>
          <w:szCs w:val="20"/>
        </w:rPr>
      </w:pPr>
      <w:r>
        <w:rPr>
          <w:rFonts w:ascii="仿宋" w:eastAsia="仿宋" w:hAnsi="仿宋" w:cs="仿宋" w:hint="eastAsia"/>
          <w:sz w:val="28"/>
          <w:szCs w:val="20"/>
        </w:rPr>
        <w:t>设备按照《</w:t>
      </w:r>
      <w:r>
        <w:rPr>
          <w:rFonts w:ascii="仿宋" w:eastAsia="仿宋" w:hAnsi="仿宋" w:cs="仿宋" w:hint="eastAsia"/>
          <w:sz w:val="28"/>
          <w:szCs w:val="20"/>
        </w:rPr>
        <w:t>“</w:t>
      </w:r>
      <w:r>
        <w:rPr>
          <w:rFonts w:ascii="仿宋" w:eastAsia="仿宋" w:hAnsi="仿宋" w:cs="仿宋" w:hint="eastAsia"/>
          <w:sz w:val="28"/>
          <w:szCs w:val="20"/>
        </w:rPr>
        <w:t>十四五</w:t>
      </w:r>
      <w:r>
        <w:rPr>
          <w:rFonts w:ascii="仿宋" w:eastAsia="仿宋" w:hAnsi="仿宋" w:cs="仿宋" w:hint="eastAsia"/>
          <w:sz w:val="28"/>
          <w:szCs w:val="20"/>
        </w:rPr>
        <w:t>”</w:t>
      </w:r>
      <w:r>
        <w:rPr>
          <w:rFonts w:ascii="仿宋" w:eastAsia="仿宋" w:hAnsi="仿宋" w:cs="仿宋" w:hint="eastAsia"/>
          <w:sz w:val="28"/>
          <w:szCs w:val="20"/>
        </w:rPr>
        <w:t>期间综合观测类工程项目新上设备验收技术指南（极端灾害性天气短临预警能力提升工程分册）》</w:t>
      </w:r>
      <w:r>
        <w:rPr>
          <w:rFonts w:ascii="仿宋_GB2312" w:eastAsia="仿宋_GB2312" w:hAnsi="仿宋_GB2312" w:cs="仿宋_GB2312" w:hint="eastAsia"/>
          <w:bCs/>
          <w:sz w:val="28"/>
          <w:szCs w:val="28"/>
        </w:rPr>
        <w:t>（气测函〔2026〕56号）等文件要求</w:t>
      </w:r>
      <w:r>
        <w:rPr>
          <w:rFonts w:ascii="仿宋" w:eastAsia="仿宋" w:hAnsi="仿宋" w:cs="仿宋" w:hint="eastAsia"/>
          <w:sz w:val="28"/>
          <w:szCs w:val="20"/>
        </w:rPr>
        <w:t>开展验收。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七、其他要求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70" w:lineRule="exact"/>
        <w:ind w:left="0" w:firstLine="560" w:leftChars="0" w:firstLineChars="200"/>
        <w:rPr>
          <w:rFonts w:ascii="仿宋" w:eastAsia="仿宋" w:hAnsi="仿宋" w:cs="Times New Roman" w:hint="eastAsia"/>
          <w:sz w:val="28"/>
          <w:szCs w:val="28"/>
        </w:rPr>
      </w:pPr>
      <w:r>
        <w:rPr>
          <w:rFonts w:ascii="仿宋" w:eastAsia="仿宋" w:hAnsi="仿宋" w:hint="eastAsia"/>
          <w:sz w:val="28"/>
          <w:szCs w:val="28"/>
        </w:rPr>
        <w:t>采购需求 附表</w:t>
      </w:r>
    </w:p>
    <w:p>
      <w:pPr>
        <w:rPr>
          <w:rFonts w:hint="eastAsia"/>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36"/>
        <w:gridCol w:w="1554"/>
        <w:gridCol w:w="716"/>
        <w:gridCol w:w="995"/>
        <w:gridCol w:w="1135"/>
        <w:gridCol w:w="716"/>
        <w:gridCol w:w="3009"/>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14:paraId="6B7F00AC">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14:paraId="7B8390AF">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14:paraId="72F33D6D">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14:paraId="24892D20">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14:paraId="27138270">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集成式交通气象监测仪</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360,000.00</w:t>
            </w:r>
          </w:p>
        </w:tc>
        <w:tc>
          <w:tcPr/>
          <w:p>
            <w:pPr>
              <w:autoSpaceDE w:val="0"/>
              <w:jc w:val="center"/>
              <w:rPr>
                <w:rFonts w:asciiTheme="minorEastAsia" w:hAnsiTheme="minorEastAsia" w:cstheme="minorEastAsia" w:hint="eastAsia"/>
                <w:kern w:val="0"/>
                <w:szCs w:val="21"/>
              </w:rPr>
            </w:pPr>
            <w:r>
              <w:t>40</w:t>
            </w:r>
          </w:p>
        </w:tc>
        <w:tc>
          <w:tcPr/>
          <w:p>
            <w:pPr>
              <w:autoSpaceDE w:val="0"/>
              <w:autoSpaceDN w:val="0"/>
              <w:adjustRightInd w:val="0"/>
              <w:spacing w:before="48"/>
              <w:ind w:right="-20"/>
              <w:jc w:val="center"/>
              <w:rPr>
                <w:rFonts w:asciiTheme="minorEastAsia" w:hAnsiTheme="minorEastAsia" w:cstheme="minorEastAsia"/>
                <w:kern w:val="0"/>
                <w:szCs w:val="21"/>
              </w:rPr>
            </w:pPr>
            <w:r>
              <w:t>含8年质保；含设备安装必要的基础和附属设施</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360,000.00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04"/>
        <w:gridCol w:w="1715"/>
        <w:gridCol w:w="1796"/>
        <w:gridCol w:w="504"/>
        <w:gridCol w:w="1150"/>
        <w:gridCol w:w="876"/>
        <w:gridCol w:w="1150"/>
        <w:gridCol w:w="8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探测中心(001040017)</w:t>
            </w:r>
          </w:p>
        </w:tc>
        <w:tc>
          <w:tcPr/>
          <w:p>
            <w:r>
              <w:t>集成式交通气象监测仪</w:t>
            </w:r>
          </w:p>
        </w:tc>
        <w:tc>
          <w:tcPr/>
          <w:p>
            <w:r>
              <w:t>2</w:t>
            </w:r>
          </w:p>
        </w:tc>
        <w:tc>
          <w:tcPr/>
          <w:p>
            <w:r>
              <w:t>360000.00</w:t>
            </w:r>
          </w:p>
        </w:tc>
        <w:tc>
          <w:tcPr/>
          <w:p>
            <w:r>
              <w:t xml:space="preserve">360000.00  </w:t>
            </w:r>
          </w:p>
        </w:tc>
        <w:tc>
          <w:tcPr/>
          <w:p>
            <w:r>
              <w:t>甲方指定地点</w:t>
            </w:r>
          </w:p>
        </w:tc>
        <w:tc>
          <w:tcPr/>
          <w:p>
            <w:r>
              <w:t>王大鹏 025-52698087</w:t>
            </w:r>
          </w:p>
        </w:tc>
      </w:tr>
    </w:tbl>
    <w:p w:rsidR="00A77B3E"/>
    <w:p w14:paraId="51954372">
      <w:pPr>
        <w:spacing w:line="360" w:lineRule="auto"/>
        <w:rPr>
          <w:rFonts w:ascii="宋体" w:hAnsi="宋体"/>
          <w:szCs w:val="21"/>
        </w:rPr>
      </w:pPr>
      <w:bookmarkEnd w:id="6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5F2B0A">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5F2B0A">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5F2B0A">
      <w:pPr>
        <w:ind w:firstLine="560" w:firstLineChars="200"/>
        <w:rPr>
          <w:rFonts w:ascii="仿宋" w:eastAsia="仿宋" w:hAnsi="仿宋" w:cs="仿宋"/>
          <w:sz w:val="28"/>
          <w:szCs w:val="20"/>
        </w:rPr>
      </w:pPr>
      <w:r>
        <w:rPr>
          <w:rFonts w:ascii="仿宋" w:eastAsia="仿宋" w:hAnsi="仿宋" w:cs="仿宋" w:hint="eastAsia"/>
          <w:sz w:val="28"/>
          <w:szCs w:val="20"/>
        </w:rPr>
        <w:t>在江苏省暴雨、浓雾、雨雪冰冻等交通气象灾害高危险性地区新建</w:t>
      </w:r>
      <w:r>
        <w:rPr>
          <w:rFonts w:ascii="仿宋" w:eastAsia="仿宋" w:hAnsi="仿宋" w:cs="仿宋" w:hint="eastAsia"/>
          <w:sz w:val="28"/>
          <w:szCs w:val="20"/>
        </w:rPr>
        <w:t>2</w:t>
      </w:r>
      <w:r>
        <w:rPr>
          <w:rFonts w:ascii="仿宋" w:eastAsia="仿宋" w:hAnsi="仿宋" w:cs="仿宋" w:hint="eastAsia"/>
          <w:sz w:val="28"/>
          <w:szCs w:val="20"/>
        </w:rPr>
        <w:t>套集成式交通气象监测仪，参照《集成式交通气象监测仪技术要求》（气办发〔</w:t>
      </w:r>
      <w:r>
        <w:rPr>
          <w:rFonts w:ascii="仿宋" w:eastAsia="仿宋" w:hAnsi="仿宋" w:cs="仿宋" w:hint="eastAsia"/>
          <w:sz w:val="28"/>
          <w:szCs w:val="20"/>
        </w:rPr>
        <w:t>2024</w:t>
      </w:r>
      <w:r>
        <w:rPr>
          <w:rFonts w:ascii="仿宋" w:eastAsia="仿宋" w:hAnsi="仿宋" w:cs="仿宋" w:hint="eastAsia"/>
          <w:sz w:val="28"/>
          <w:szCs w:val="20"/>
        </w:rPr>
        <w:t>〕</w:t>
      </w:r>
      <w:r>
        <w:rPr>
          <w:rFonts w:ascii="仿宋" w:eastAsia="仿宋" w:hAnsi="仿宋" w:cs="仿宋" w:hint="eastAsia"/>
          <w:sz w:val="28"/>
          <w:szCs w:val="20"/>
        </w:rPr>
        <w:t>70</w:t>
      </w:r>
      <w:r>
        <w:rPr>
          <w:rFonts w:ascii="仿宋" w:eastAsia="仿宋" w:hAnsi="仿宋" w:cs="仿宋" w:hint="eastAsia"/>
          <w:sz w:val="28"/>
          <w:szCs w:val="20"/>
        </w:rPr>
        <w:t>号），实现对公路沿线路面状况、能见度、路面温度、气温、相对湿度、气压、风速、风向、降雨强度的实时监测。通过建设，补</w:t>
      </w:r>
      <w:r>
        <w:rPr>
          <w:rFonts w:ascii="仿宋" w:eastAsia="仿宋" w:hAnsi="仿宋" w:cs="仿宋" w:hint="eastAsia"/>
          <w:sz w:val="28"/>
          <w:szCs w:val="20"/>
        </w:rPr>
        <w:t>充公路沿线浓雾、暴雨、冰冻等短时性气象灾害高危险性地区的公路交通气象观测设备覆盖率，支撑气象防灾减灾精密监测和高质量发展气象保障服务能力提升。</w:t>
      </w:r>
    </w:p>
    <w:p w:rsidR="005F2B0A">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5F2B0A">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1</w:t>
      </w:r>
      <w:r>
        <w:rPr>
          <w:rFonts w:ascii="Times New Roman" w:eastAsia="仿宋" w:hAnsi="Times New Roman" w:cs="Times New Roman" w:hint="eastAsia"/>
          <w:sz w:val="28"/>
          <w:szCs w:val="28"/>
        </w:rPr>
        <w:t>）供应商将所有设备运送到招标人指定地点（运输</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卸装</w:t>
      </w:r>
      <w:r>
        <w:rPr>
          <w:rFonts w:ascii="Times New Roman" w:eastAsia="仿宋" w:hAnsi="Times New Roman" w:cs="Times New Roman" w:hint="eastAsia"/>
          <w:sz w:val="28"/>
          <w:szCs w:val="28"/>
        </w:rPr>
        <w:t>相关费用由供应商负责），并负责安装调试。正式交付运行，且通过合同验收次日起质保期为</w:t>
      </w:r>
      <w:r>
        <w:rPr>
          <w:rFonts w:ascii="Times New Roman" w:eastAsia="仿宋" w:hAnsi="Times New Roman" w:cs="Times New Roman" w:hint="eastAsia"/>
          <w:sz w:val="28"/>
          <w:szCs w:val="28"/>
        </w:rPr>
        <w:t>8</w:t>
      </w:r>
      <w:r>
        <w:rPr>
          <w:rFonts w:ascii="Times New Roman" w:eastAsia="仿宋" w:hAnsi="Times New Roman" w:cs="Times New Roman" w:hint="eastAsia"/>
          <w:sz w:val="28"/>
          <w:szCs w:val="28"/>
        </w:rPr>
        <w:t>年</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。投标人对所有设备提供自验收合格后</w:t>
      </w:r>
      <w:r>
        <w:rPr>
          <w:rFonts w:ascii="Times New Roman" w:eastAsia="仿宋" w:hAnsi="Times New Roman" w:cs="Times New Roman" w:hint="eastAsia"/>
          <w:sz w:val="28"/>
          <w:szCs w:val="28"/>
        </w:rPr>
        <w:t>8</w:t>
      </w:r>
      <w:r>
        <w:rPr>
          <w:rFonts w:ascii="Times New Roman" w:eastAsia="仿宋" w:hAnsi="Times New Roman" w:cs="Times New Roman" w:hint="eastAsia"/>
          <w:sz w:val="28"/>
          <w:szCs w:val="28"/>
        </w:rPr>
        <w:t>年的免费维护维修服务</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。按照业务运行规范要求执行，确保设备可稳定运行，主要工作包括：月维护、</w:t>
      </w:r>
      <w:r>
        <w:rPr>
          <w:rFonts w:ascii="Times New Roman" w:eastAsia="仿宋" w:hAnsi="Times New Roman" w:cs="Times New Roman" w:hint="eastAsia"/>
          <w:sz w:val="28"/>
          <w:szCs w:val="28"/>
        </w:rPr>
        <w:t>年维护</w:t>
      </w:r>
      <w:r>
        <w:rPr>
          <w:rFonts w:ascii="Times New Roman" w:eastAsia="仿宋" w:hAnsi="Times New Roman" w:cs="Times New Roman" w:hint="eastAsia"/>
          <w:sz w:val="28"/>
          <w:szCs w:val="28"/>
        </w:rPr>
        <w:t>等工作，以及器件及系统故障的维修等。</w:t>
      </w:r>
    </w:p>
    <w:p w:rsidR="005F2B0A">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2</w:t>
      </w:r>
      <w:r>
        <w:rPr>
          <w:rFonts w:ascii="Times New Roman" w:eastAsia="仿宋" w:hAnsi="Times New Roman" w:cs="Times New Roman" w:hint="eastAsia"/>
          <w:sz w:val="28"/>
          <w:szCs w:val="28"/>
        </w:rPr>
        <w:t>）在质保期内，投标人服务时间应为</w:t>
      </w:r>
      <w:r>
        <w:rPr>
          <w:rFonts w:ascii="Times New Roman" w:eastAsia="仿宋" w:hAnsi="Times New Roman" w:cs="Times New Roman" w:hint="eastAsia"/>
          <w:sz w:val="28"/>
          <w:szCs w:val="28"/>
        </w:rPr>
        <w:t>7</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24</w:t>
      </w:r>
      <w:r>
        <w:rPr>
          <w:rFonts w:ascii="Times New Roman" w:eastAsia="仿宋" w:hAnsi="Times New Roman" w:cs="Times New Roman" w:hint="eastAsia"/>
          <w:sz w:val="28"/>
          <w:szCs w:val="28"/>
        </w:rPr>
        <w:t>小时，当投标产品或软件遭到损坏或出现故障时，要在用户报修之时起</w:t>
      </w:r>
      <w:r>
        <w:rPr>
          <w:rFonts w:ascii="Times New Roman" w:eastAsia="仿宋" w:hAnsi="Times New Roman" w:cs="Times New Roman" w:hint="eastAsia"/>
          <w:sz w:val="28"/>
          <w:szCs w:val="28"/>
        </w:rPr>
        <w:t>2</w:t>
      </w:r>
      <w:r>
        <w:rPr>
          <w:rFonts w:ascii="Times New Roman" w:eastAsia="仿宋" w:hAnsi="Times New Roman" w:cs="Times New Roman" w:hint="eastAsia"/>
          <w:sz w:val="28"/>
          <w:szCs w:val="28"/>
        </w:rPr>
        <w:t>小时内做出响应，并在</w:t>
      </w:r>
      <w:r>
        <w:rPr>
          <w:rFonts w:ascii="Times New Roman" w:eastAsia="仿宋" w:hAnsi="Times New Roman" w:cs="Times New Roman" w:hint="eastAsia"/>
          <w:sz w:val="28"/>
          <w:szCs w:val="28"/>
        </w:rPr>
        <w:t>36</w:t>
      </w:r>
      <w:r>
        <w:rPr>
          <w:rFonts w:ascii="Times New Roman" w:eastAsia="仿宋" w:hAnsi="Times New Roman" w:cs="Times New Roman" w:hint="eastAsia"/>
          <w:sz w:val="28"/>
          <w:szCs w:val="28"/>
        </w:rPr>
        <w:t>小时内到达现场，开展维修维护工作</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视情况双方协商设备恢复正常运行时限。</w:t>
      </w:r>
    </w:p>
    <w:p w:rsidR="005F2B0A">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3</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维保包括</w:t>
      </w:r>
      <w:r>
        <w:rPr>
          <w:rFonts w:ascii="Times New Roman" w:eastAsia="仿宋" w:hAnsi="Times New Roman" w:cs="Times New Roman" w:hint="eastAsia"/>
          <w:sz w:val="28"/>
          <w:szCs w:val="28"/>
        </w:rPr>
        <w:t>设备维护维修及附属设备维护维修，保证每</w:t>
      </w:r>
      <w:r>
        <w:rPr>
          <w:rFonts w:ascii="Times New Roman" w:eastAsia="仿宋" w:hAnsi="Times New Roman" w:cs="Times New Roman" w:hint="eastAsia"/>
          <w:sz w:val="28"/>
          <w:szCs w:val="28"/>
        </w:rPr>
        <w:t>季度</w:t>
      </w:r>
      <w:r>
        <w:rPr>
          <w:rFonts w:ascii="Times New Roman" w:eastAsia="仿宋" w:hAnsi="Times New Roman" w:cs="Times New Roman" w:hint="eastAsia"/>
          <w:sz w:val="28"/>
          <w:szCs w:val="28"/>
        </w:rPr>
        <w:t>至少</w:t>
      </w:r>
      <w:r>
        <w:rPr>
          <w:rFonts w:ascii="Times New Roman" w:eastAsia="仿宋" w:hAnsi="Times New Roman" w:cs="Times New Roman" w:hint="eastAsia"/>
          <w:sz w:val="28"/>
          <w:szCs w:val="28"/>
        </w:rPr>
        <w:t>1</w:t>
      </w:r>
      <w:r>
        <w:rPr>
          <w:rFonts w:ascii="Times New Roman" w:eastAsia="仿宋" w:hAnsi="Times New Roman" w:cs="Times New Roman" w:hint="eastAsia"/>
          <w:sz w:val="28"/>
          <w:szCs w:val="28"/>
        </w:rPr>
        <w:t>次的现场巡检和</w:t>
      </w:r>
      <w:r>
        <w:rPr>
          <w:rFonts w:ascii="Times New Roman" w:eastAsia="仿宋" w:hAnsi="Times New Roman" w:cs="Times New Roman" w:hint="eastAsia"/>
          <w:sz w:val="28"/>
          <w:szCs w:val="28"/>
        </w:rPr>
        <w:t>3</w:t>
      </w:r>
      <w:r>
        <w:rPr>
          <w:rFonts w:ascii="Times New Roman" w:eastAsia="仿宋" w:hAnsi="Times New Roman" w:cs="Times New Roman" w:hint="eastAsia"/>
          <w:sz w:val="28"/>
          <w:szCs w:val="28"/>
        </w:rPr>
        <w:t>次远程维护检查。设备发生故障时在业务规定时间内完成维修、维护保障或更换组件，</w:t>
      </w:r>
      <w:r>
        <w:rPr>
          <w:rFonts w:ascii="Times New Roman" w:eastAsia="仿宋" w:hAnsi="Times New Roman" w:cs="Times New Roman" w:hint="eastAsia"/>
          <w:sz w:val="28"/>
          <w:szCs w:val="28"/>
        </w:rPr>
        <w:t>维保可</w:t>
      </w:r>
      <w:r>
        <w:rPr>
          <w:rFonts w:ascii="Times New Roman" w:eastAsia="仿宋" w:hAnsi="Times New Roman" w:cs="Times New Roman" w:hint="eastAsia"/>
          <w:sz w:val="28"/>
          <w:szCs w:val="28"/>
        </w:rPr>
        <w:t>采用设备招投标、技术服务采购等方式保证维保质量。</w:t>
      </w:r>
      <w:r>
        <w:rPr>
          <w:rFonts w:ascii="Times New Roman" w:eastAsia="仿宋" w:hAnsi="Times New Roman" w:cs="Times New Roman" w:hint="eastAsia"/>
          <w:sz w:val="28"/>
          <w:szCs w:val="28"/>
        </w:rPr>
        <w:t>接到设备故障通知后，乙方需立</w:t>
      </w:r>
      <w:r>
        <w:rPr>
          <w:rFonts w:ascii="Times New Roman" w:eastAsia="仿宋" w:hAnsi="Times New Roman" w:cs="Times New Roman" w:hint="eastAsia"/>
          <w:sz w:val="28"/>
          <w:szCs w:val="28"/>
        </w:rPr>
        <w:t>刻响应，定位故障具体问题，一般故障须在</w:t>
      </w:r>
      <w:r>
        <w:rPr>
          <w:rFonts w:ascii="Times New Roman" w:eastAsia="仿宋" w:hAnsi="Times New Roman" w:cs="Times New Roman" w:hint="eastAsia"/>
          <w:sz w:val="28"/>
          <w:szCs w:val="28"/>
        </w:rPr>
        <w:t>24</w:t>
      </w:r>
      <w:r>
        <w:rPr>
          <w:rFonts w:ascii="Times New Roman" w:eastAsia="仿宋" w:hAnsi="Times New Roman" w:cs="Times New Roman" w:hint="eastAsia"/>
          <w:sz w:val="28"/>
          <w:szCs w:val="28"/>
        </w:rPr>
        <w:t>小时内解决，重大故障须在</w:t>
      </w:r>
      <w:r>
        <w:rPr>
          <w:rFonts w:ascii="Times New Roman" w:eastAsia="仿宋" w:hAnsi="Times New Roman" w:cs="Times New Roman" w:hint="eastAsia"/>
          <w:sz w:val="28"/>
          <w:szCs w:val="28"/>
        </w:rPr>
        <w:t>48</w:t>
      </w:r>
      <w:r>
        <w:rPr>
          <w:rFonts w:ascii="Times New Roman" w:eastAsia="仿宋" w:hAnsi="Times New Roman" w:cs="Times New Roman" w:hint="eastAsia"/>
          <w:sz w:val="28"/>
          <w:szCs w:val="28"/>
        </w:rPr>
        <w:t>小</w:t>
      </w:r>
      <w:r>
        <w:rPr>
          <w:rFonts w:ascii="Times New Roman" w:eastAsia="仿宋" w:hAnsi="Times New Roman" w:cs="Times New Roman" w:hint="eastAsia"/>
          <w:sz w:val="28"/>
          <w:szCs w:val="28"/>
        </w:rPr>
        <w:t>时之内解决；如未能修复，必须告知甲方，如遇不可抗力的情况时，电话与甲方沟通，尽全力保障设备正常工作，并提供书面情况说明。</w:t>
      </w:r>
    </w:p>
    <w:p w:rsidR="005F2B0A">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4</w:t>
      </w:r>
      <w:r>
        <w:rPr>
          <w:rFonts w:ascii="Times New Roman" w:eastAsia="仿宋" w:hAnsi="Times New Roman" w:cs="Times New Roman" w:hint="eastAsia"/>
          <w:sz w:val="28"/>
          <w:szCs w:val="28"/>
        </w:rPr>
        <w:t>）所有的备件由乙方提供，备件必须使用原厂同等技术指标的产品，设备必须在检定有效期内，且该备份机需提供具体序列号，并具备相应的核查机制，定期接受甲方的检查。</w:t>
      </w:r>
    </w:p>
    <w:p w:rsidR="005F2B0A">
      <w:pPr>
        <w:ind w:left="559" w:leftChars="266"/>
        <w:rPr>
          <w:rFonts w:ascii="仿宋" w:eastAsia="仿宋" w:hAnsi="仿宋" w:cs="仿宋"/>
          <w:b/>
          <w:bCs/>
          <w:sz w:val="28"/>
          <w:szCs w:val="20"/>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5</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质保期外，</w:t>
      </w:r>
      <w:r>
        <w:rPr>
          <w:rFonts w:ascii="Times New Roman" w:eastAsia="仿宋" w:hAnsi="Times New Roman" w:cs="Times New Roman" w:hint="eastAsia"/>
          <w:sz w:val="28"/>
          <w:szCs w:val="28"/>
        </w:rPr>
        <w:t>24</w:t>
      </w:r>
      <w:r>
        <w:rPr>
          <w:rFonts w:ascii="Times New Roman" w:eastAsia="仿宋" w:hAnsi="Times New Roman" w:cs="Times New Roman" w:hint="eastAsia"/>
          <w:sz w:val="28"/>
          <w:szCs w:val="28"/>
        </w:rPr>
        <w:t>小时内提供备品备件，用于产品的维修保障。</w:t>
      </w:r>
      <w:r>
        <w:rPr>
          <w:rFonts w:ascii="仿宋" w:eastAsia="仿宋" w:hAnsi="仿宋" w:cs="仿宋" w:hint="eastAsia"/>
          <w:b/>
          <w:bCs/>
          <w:sz w:val="28"/>
          <w:szCs w:val="20"/>
        </w:rPr>
        <w:t>三、培训要求</w:t>
      </w:r>
    </w:p>
    <w:p w:rsidR="00CA6723" w:rsidP="00CA6723">
      <w:pPr>
        <w:pStyle w:val="NormalWeb"/>
        <w:spacing w:before="0" w:beforeAutospacing="0" w:after="0" w:afterAutospacing="0"/>
        <w:ind w:firstLine="560"/>
        <w:jc w:val="both"/>
        <w:rPr>
          <w:rFonts w:ascii="Calibri" w:hAnsi="Calibri"/>
          <w:color w:val="333333"/>
          <w:sz w:val="21"/>
          <w:szCs w:val="21"/>
        </w:rPr>
      </w:pPr>
      <w:r>
        <w:rPr>
          <w:rFonts w:ascii="仿宋" w:eastAsia="仿宋" w:hAnsi="仿宋" w:hint="eastAsia"/>
          <w:color w:val="333333"/>
          <w:sz w:val="28"/>
          <w:szCs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培训讲师具有中级以上职称或从事该设备技术工作至少2年</w:t>
      </w:r>
      <w:r>
        <w:rPr>
          <w:rFonts w:ascii="仿宋" w:eastAsia="仿宋" w:hAnsi="仿宋" w:hint="eastAsia"/>
          <w:color w:val="333333"/>
          <w:sz w:val="28"/>
          <w:szCs w:val="28"/>
        </w:rPr>
        <w:t>。</w:t>
      </w:r>
    </w:p>
    <w:p w:rsidR="00CA6723" w:rsidP="00CA6723">
      <w:pPr>
        <w:pStyle w:val="NormalWeb"/>
        <w:spacing w:before="0" w:beforeAutospacing="0" w:after="0" w:afterAutospacing="0"/>
        <w:ind w:firstLine="560"/>
        <w:jc w:val="both"/>
        <w:rPr>
          <w:rFonts w:ascii="Calibri" w:hAnsi="Calibri"/>
          <w:color w:val="333333"/>
          <w:sz w:val="21"/>
          <w:szCs w:val="21"/>
        </w:rPr>
      </w:pPr>
      <w:r>
        <w:rPr>
          <w:rFonts w:ascii="仿宋" w:eastAsia="仿宋" w:hAnsi="仿宋" w:hint="eastAsia"/>
          <w:color w:val="333333"/>
          <w:sz w:val="28"/>
          <w:szCs w:val="28"/>
        </w:rPr>
        <w:t>设备供应商对每套投标产品提供至少2次技术培训，累计培训9课时以上，累计培训人数20人次以上。培训内容包括设备安装、使用、日常维护、观测原理及产品应用，培训时间及地点双方协商确定。</w:t>
      </w:r>
    </w:p>
    <w:p w:rsidR="005F2B0A" w:rsidP="00CA6723">
      <w:pPr>
        <w:pStyle w:val="NormalWeb"/>
        <w:spacing w:before="0" w:beforeAutospacing="0" w:after="0" w:afterAutospacing="0"/>
        <w:ind w:firstLine="560"/>
        <w:jc w:val="both"/>
        <w:rPr>
          <w:rFonts w:ascii="仿宋" w:eastAsia="仿宋" w:hAnsi="仿宋" w:cs="仿宋"/>
          <w:b/>
          <w:bCs/>
          <w:sz w:val="28"/>
          <w:szCs w:val="20"/>
        </w:rPr>
      </w:pPr>
      <w:r>
        <w:rPr>
          <w:rFonts w:ascii="Calibri" w:hAnsi="Calibri"/>
          <w:color w:val="333333"/>
          <w:sz w:val="21"/>
          <w:szCs w:val="21"/>
        </w:rPr>
        <w:t> </w:t>
      </w:r>
      <w:r>
        <w:rPr>
          <w:rFonts w:ascii="仿宋" w:eastAsia="仿宋" w:hAnsi="仿宋" w:cs="仿宋" w:hint="eastAsia"/>
          <w:b/>
          <w:bCs/>
          <w:sz w:val="28"/>
          <w:szCs w:val="20"/>
        </w:rPr>
        <w:t>四、交货要求及履约地点</w:t>
      </w:r>
    </w:p>
    <w:p w:rsidR="005F2B0A">
      <w:pPr>
        <w:ind w:firstLine="560" w:firstLineChars="200"/>
        <w:rPr>
          <w:rFonts w:ascii="仿宋" w:eastAsia="仿宋" w:hAnsi="仿宋" w:cs="仿宋"/>
          <w:sz w:val="28"/>
          <w:szCs w:val="20"/>
        </w:rPr>
      </w:pPr>
      <w:r>
        <w:rPr>
          <w:rFonts w:ascii="仿宋" w:eastAsia="仿宋" w:hAnsi="仿宋" w:cs="仿宋" w:hint="eastAsia"/>
          <w:sz w:val="28"/>
          <w:szCs w:val="20"/>
        </w:rPr>
        <w:t>中</w:t>
      </w:r>
      <w:r>
        <w:rPr>
          <w:rFonts w:ascii="仿宋" w:eastAsia="仿宋" w:hAnsi="仿宋" w:cs="仿宋" w:hint="eastAsia"/>
          <w:sz w:val="28"/>
          <w:szCs w:val="20"/>
        </w:rPr>
        <w:t>标供应商将所有设备运送至</w:t>
      </w:r>
      <w:r>
        <w:rPr>
          <w:rFonts w:ascii="仿宋" w:eastAsia="仿宋" w:hAnsi="仿宋" w:cs="仿宋" w:hint="eastAsia"/>
          <w:sz w:val="28"/>
          <w:szCs w:val="20"/>
        </w:rPr>
        <w:t>甲方指定</w:t>
      </w:r>
      <w:r>
        <w:rPr>
          <w:rFonts w:ascii="仿宋" w:eastAsia="仿宋" w:hAnsi="仿宋" w:cs="仿宋" w:hint="eastAsia"/>
          <w:sz w:val="28"/>
          <w:szCs w:val="20"/>
        </w:rPr>
        <w:t>地点（运输相关费用由供应商负责），并负责安装调试。</w:t>
      </w:r>
    </w:p>
    <w:p w:rsidR="005F2B0A">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rPr>
        <w:t>40</w:t>
      </w:r>
      <w:r>
        <w:rPr>
          <w:rFonts w:ascii="仿宋" w:eastAsia="仿宋" w:hAnsi="仿宋" w:cs="仿宋" w:hint="eastAsia"/>
          <w:sz w:val="28"/>
          <w:szCs w:val="20"/>
        </w:rPr>
        <w:t>天内交货，</w:t>
      </w:r>
      <w:r>
        <w:rPr>
          <w:rFonts w:ascii="仿宋" w:eastAsia="仿宋" w:hAnsi="仿宋" w:cs="仿宋" w:hint="eastAsia"/>
          <w:sz w:val="28"/>
          <w:szCs w:val="20"/>
        </w:rPr>
        <w:t>60</w:t>
      </w:r>
      <w:r>
        <w:rPr>
          <w:rFonts w:ascii="仿宋" w:eastAsia="仿宋" w:hAnsi="仿宋" w:cs="仿宋" w:hint="eastAsia"/>
          <w:sz w:val="28"/>
          <w:szCs w:val="20"/>
        </w:rPr>
        <w:t>天内完成安装调试并具</w:t>
      </w:r>
      <w:r>
        <w:rPr>
          <w:rFonts w:ascii="仿宋" w:eastAsia="仿宋" w:hAnsi="仿宋" w:cs="仿宋" w:hint="eastAsia"/>
          <w:sz w:val="28"/>
          <w:szCs w:val="20"/>
        </w:rPr>
        <w:t>备验收条件</w:t>
      </w:r>
      <w:r>
        <w:rPr>
          <w:rFonts w:ascii="仿宋" w:eastAsia="仿宋" w:hAnsi="仿宋" w:cs="仿宋" w:hint="eastAsia"/>
          <w:sz w:val="28"/>
          <w:szCs w:val="20"/>
        </w:rPr>
        <w:t>。</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5F2B0A">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5F2B0A">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5F2B0A">
      <w:pPr>
        <w:ind w:firstLine="560" w:firstLineChars="200"/>
        <w:rPr>
          <w:rFonts w:ascii="仿宋" w:eastAsia="仿宋" w:hAnsi="仿宋" w:cs="仿宋"/>
          <w:sz w:val="28"/>
          <w:szCs w:val="20"/>
        </w:rPr>
      </w:pPr>
      <w:r>
        <w:rPr>
          <w:rFonts w:ascii="仿宋" w:eastAsia="仿宋" w:hAnsi="仿宋" w:cs="仿宋" w:hint="eastAsia"/>
          <w:sz w:val="28"/>
          <w:szCs w:val="20"/>
        </w:rPr>
        <w:t>供应商</w:t>
      </w:r>
      <w:r>
        <w:rPr>
          <w:rFonts w:ascii="仿宋" w:eastAsia="仿宋" w:hAnsi="仿宋" w:cs="仿宋" w:hint="eastAsia"/>
          <w:sz w:val="28"/>
          <w:szCs w:val="20"/>
        </w:rPr>
        <w:t>需按照中国气象局公路交通气象观测相关数据要求，生成标准格式数据；需满足通过约定的通信方式和数据协议（如</w:t>
      </w:r>
      <w:r>
        <w:rPr>
          <w:rFonts w:ascii="仿宋" w:eastAsia="仿宋" w:hAnsi="仿宋" w:cs="仿宋" w:hint="eastAsia"/>
          <w:sz w:val="28"/>
          <w:szCs w:val="20"/>
        </w:rPr>
        <w:t>FTP</w:t>
      </w:r>
      <w:r>
        <w:rPr>
          <w:rFonts w:ascii="仿宋" w:eastAsia="仿宋" w:hAnsi="仿宋" w:cs="仿宋" w:hint="eastAsia"/>
          <w:sz w:val="28"/>
          <w:szCs w:val="20"/>
        </w:rPr>
        <w:t>、消息等）将数据上传至省级气象数据中心；集成式交通气象监测</w:t>
      </w:r>
      <w:r>
        <w:rPr>
          <w:rFonts w:ascii="仿宋" w:eastAsia="仿宋" w:hAnsi="仿宋" w:cs="仿宋" w:hint="eastAsia"/>
          <w:sz w:val="28"/>
          <w:szCs w:val="20"/>
        </w:rPr>
        <w:t>仪数据</w:t>
      </w:r>
      <w:r>
        <w:rPr>
          <w:rFonts w:ascii="仿宋" w:eastAsia="仿宋" w:hAnsi="仿宋" w:cs="仿宋" w:hint="eastAsia"/>
          <w:sz w:val="28"/>
          <w:szCs w:val="20"/>
        </w:rPr>
        <w:t>需遵循气象大数据云平台技术要求和接口规范，实现数据解码和数据服务。集成式交通气象监测仪上传至国家级通信系统，在省级和国家级大数据云平台存储并提供业务应用。</w:t>
      </w:r>
    </w:p>
    <w:p w:rsidR="005F2B0A">
      <w:pPr>
        <w:ind w:firstLine="560" w:firstLineChars="200"/>
        <w:rPr>
          <w:rFonts w:ascii="仿宋" w:eastAsia="仿宋" w:hAnsi="仿宋" w:cs="仿宋"/>
          <w:sz w:val="28"/>
          <w:szCs w:val="20"/>
        </w:rPr>
      </w:pPr>
      <w:r>
        <w:rPr>
          <w:rFonts w:ascii="仿宋" w:eastAsia="仿宋" w:hAnsi="仿宋" w:cs="仿宋" w:hint="eastAsia"/>
          <w:b/>
          <w:bCs/>
          <w:sz w:val="28"/>
          <w:szCs w:val="20"/>
        </w:rPr>
        <w:t>七、</w:t>
      </w:r>
      <w:r>
        <w:rPr>
          <w:rFonts w:ascii="仿宋" w:eastAsia="仿宋" w:hAnsi="仿宋" w:cs="仿宋" w:hint="eastAsia"/>
          <w:b/>
          <w:bCs/>
          <w:sz w:val="28"/>
          <w:szCs w:val="20"/>
        </w:rPr>
        <w:t>验收要求</w:t>
      </w:r>
    </w:p>
    <w:p w:rsidR="005F2B0A">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按照</w:t>
      </w:r>
      <w:r>
        <w:rPr>
          <w:rFonts w:ascii="仿宋" w:eastAsia="仿宋" w:hAnsi="仿宋" w:cs="仿宋" w:hint="eastAsia"/>
          <w:sz w:val="28"/>
          <w:szCs w:val="20"/>
        </w:rPr>
        <w:t>《集成式交通气象监测仪技术要求》（气办发〔</w:t>
      </w:r>
      <w:r>
        <w:rPr>
          <w:rFonts w:ascii="仿宋" w:eastAsia="仿宋" w:hAnsi="仿宋" w:cs="仿宋" w:hint="eastAsia"/>
          <w:sz w:val="28"/>
          <w:szCs w:val="20"/>
        </w:rPr>
        <w:t>2024</w:t>
      </w:r>
      <w:r>
        <w:rPr>
          <w:rFonts w:ascii="仿宋" w:eastAsia="仿宋" w:hAnsi="仿宋" w:cs="仿宋" w:hint="eastAsia"/>
          <w:sz w:val="28"/>
          <w:szCs w:val="20"/>
        </w:rPr>
        <w:t>〕</w:t>
      </w:r>
      <w:r>
        <w:rPr>
          <w:rFonts w:ascii="仿宋" w:eastAsia="仿宋" w:hAnsi="仿宋" w:cs="仿宋" w:hint="eastAsia"/>
          <w:sz w:val="28"/>
          <w:szCs w:val="20"/>
        </w:rPr>
        <w:t>70</w:t>
      </w:r>
      <w:r>
        <w:rPr>
          <w:rFonts w:ascii="仿宋" w:eastAsia="仿宋" w:hAnsi="仿宋" w:cs="仿宋" w:hint="eastAsia"/>
          <w:sz w:val="28"/>
          <w:szCs w:val="20"/>
        </w:rPr>
        <w:t>号）</w:t>
      </w:r>
      <w:r>
        <w:rPr>
          <w:rFonts w:ascii="Times New Roman" w:eastAsia="仿宋" w:hAnsi="Times New Roman" w:cs="Times New Roman" w:hint="eastAsia"/>
          <w:sz w:val="28"/>
          <w:szCs w:val="28"/>
        </w:rPr>
        <w:t>和《“十四五”期间综合观测类工程项目新上设备验收技术指南</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极端灾害性天气短临预警能力提升工程分册》（</w:t>
      </w:r>
      <w:r>
        <w:rPr>
          <w:rFonts w:ascii="Times New Roman" w:eastAsia="仿宋" w:hAnsi="Times New Roman" w:cs="Times New Roman" w:hint="eastAsia"/>
          <w:sz w:val="28"/>
          <w:szCs w:val="28"/>
        </w:rPr>
        <w:t>气测函</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2026</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56</w:t>
      </w:r>
      <w:r>
        <w:rPr>
          <w:rFonts w:ascii="Times New Roman" w:eastAsia="仿宋" w:hAnsi="Times New Roman" w:cs="Times New Roman" w:hint="eastAsia"/>
          <w:sz w:val="28"/>
          <w:szCs w:val="28"/>
        </w:rPr>
        <w:t>号）以及中国气象局最新业务管理规定等有关文件要求开展检验考核。</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08"/>
          <w:docGrid w:type="linesAndChars" w:linePitch="312" w:charSpace="0"/>
        </w:sectPr>
      </w:pPr>
      <w:bookmarkEnd w:id="59"/>
    </w:p>
    <w:p>
      <w:pPr>
        <w:tabs>
          <w:tab w:val="left" w:pos="1573"/>
        </w:tabs>
        <w:adjustRightInd w:val="0"/>
        <w:snapToGrid w:val="0"/>
        <w:spacing w:line="360" w:lineRule="auto"/>
        <w:jc w:val="center"/>
        <w:outlineLvl w:val="1"/>
        <w:rPr>
          <w:b/>
          <w:bCs/>
          <w:sz w:val="30"/>
          <w:szCs w:val="30"/>
          <w:highlight w:val="none"/>
        </w:rPr>
      </w:pPr>
      <w:bookmarkStart w:id="70"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noWrap w:val="0"/>
            <w:vAlign w:val="top"/>
          </w:tcPr>
          <w:p>
            <w:pPr>
              <w:tabs>
                <w:tab w:val="left" w:pos="709"/>
              </w:tabs>
              <w:spacing w:line="360" w:lineRule="auto"/>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以下产品需要提供至投标截止日仍有效的《气象专用技术装备使用许可证》：</w:t>
            </w:r>
          </w:p>
          <w:p>
            <w:pPr>
              <w:tabs>
                <w:tab w:val="left" w:pos="709"/>
              </w:tabs>
              <w:spacing w:line="360" w:lineRule="auto"/>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第一包：相干多普勒测风激光雷达（远距型）；</w:t>
            </w:r>
          </w:p>
          <w:p>
            <w:pPr>
              <w:tabs>
                <w:tab w:val="left" w:pos="709"/>
              </w:tabs>
              <w:spacing w:line="360" w:lineRule="auto"/>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第二包：集成式交通气象监测仪；</w:t>
            </w:r>
          </w:p>
          <w:p>
            <w:pPr>
              <w:tabs>
                <w:tab w:val="left" w:pos="709"/>
              </w:tabs>
              <w:spacing w:line="360" w:lineRule="auto"/>
              <w:jc w:val="left"/>
              <w:rPr>
                <w:rFonts w:ascii="宋体" w:hAnsi="宋体" w:cs="微软雅黑" w:hint="eastAsia"/>
                <w:b/>
                <w:color w:val="0000FF"/>
                <w:kern w:val="0"/>
                <w:sz w:val="18"/>
                <w:szCs w:val="18"/>
                <w:highlight w:val="none"/>
              </w:rPr>
            </w:pPr>
            <w:r>
              <w:rPr>
                <w:rFonts w:asciiTheme="minorEastAsia" w:eastAsiaTheme="minorEastAsia" w:hAnsiTheme="minorEastAsia" w:cstheme="minorEastAsia" w:hint="eastAsia"/>
                <w:kern w:val="0"/>
                <w:szCs w:val="21"/>
              </w:rPr>
              <w:t>第</w:t>
            </w:r>
            <w:r>
              <w:rPr>
                <w:rFonts w:asciiTheme="minorEastAsia" w:eastAsiaTheme="minorEastAsia" w:hAnsiTheme="minorEastAsia" w:cstheme="minorEastAsia" w:hint="eastAsia"/>
                <w:kern w:val="0"/>
                <w:szCs w:val="21"/>
                <w:lang w:eastAsia="zh-CN"/>
              </w:rPr>
              <w:t>三</w:t>
            </w:r>
            <w:r>
              <w:rPr>
                <w:rFonts w:asciiTheme="minorEastAsia" w:eastAsiaTheme="minorEastAsia" w:hAnsiTheme="minorEastAsia" w:cstheme="minorEastAsia" w:hint="eastAsia"/>
                <w:kern w:val="0"/>
                <w:szCs w:val="21"/>
              </w:rPr>
              <w:t>包：核心产品（即</w:t>
            </w:r>
            <w:r>
              <w:rPr>
                <w:rFonts w:asciiTheme="minorEastAsia" w:eastAsiaTheme="minorEastAsia" w:hAnsiTheme="minorEastAsia" w:cstheme="minorEastAsia"/>
                <w:kern w:val="0"/>
                <w:szCs w:val="21"/>
              </w:rPr>
              <w:t>：</w:t>
            </w:r>
            <w:r>
              <w:rPr>
                <w:rFonts w:asciiTheme="minorEastAsia" w:eastAsiaTheme="minorEastAsia" w:hAnsiTheme="minorEastAsia" w:cstheme="minorEastAsia" w:hint="eastAsia"/>
                <w:kern w:val="0"/>
                <w:szCs w:val="21"/>
              </w:rPr>
              <w:t>集成式交通气象监测仪）</w:t>
            </w:r>
            <w:r>
              <w:rPr>
                <w:rFonts w:asciiTheme="minorEastAsia" w:eastAsiaTheme="minorEastAsia" w:hAnsiTheme="minorEastAsia" w:cstheme="minorEastAsia"/>
                <w:kern w:val="0"/>
                <w:szCs w:val="21"/>
              </w:rPr>
              <w:t>，以及</w:t>
            </w:r>
            <w:r>
              <w:rPr>
                <w:rFonts w:asciiTheme="minorEastAsia" w:eastAsiaTheme="minorEastAsia" w:hAnsiTheme="minorEastAsia" w:cstheme="minorEastAsia" w:hint="eastAsia"/>
                <w:kern w:val="0"/>
                <w:szCs w:val="21"/>
              </w:rPr>
              <w:t>翻斗式雨量传感器。</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7"/>
              </w:numPr>
              <w:rPr>
                <w:rFonts w:ascii="宋体" w:hAnsi="宋体" w:hint="eastAsia"/>
                <w:sz w:val="18"/>
                <w:szCs w:val="18"/>
                <w:highlight w:val="none"/>
              </w:rPr>
            </w:pPr>
          </w:p>
        </w:tc>
        <w:tc>
          <w:tcPr>
            <w:tcW w:w="898" w:type="dxa"/>
            <w:noWrap w:val="0"/>
            <w:vAlign w:val="center"/>
          </w:tcPr>
          <w:p>
            <w:pPr>
              <w:jc w:val="both"/>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default"/>
                <w:sz w:val="18"/>
                <w:szCs w:val="18"/>
                <w:highlight w:val="none"/>
              </w:rPr>
            </w:pPr>
            <w:r>
              <w:rPr>
                <w:rFonts w:asciiTheme="minorEastAsia" w:eastAsiaTheme="minorEastAsia" w:hAnsiTheme="minorEastAsia" w:cstheme="minorEastAsia" w:hint="eastAsia"/>
                <w:kern w:val="0"/>
                <w:szCs w:val="21"/>
              </w:rPr>
              <w:t>设备供应商对所有设备提供自验收合格后8年的质保服务。</w:t>
            </w:r>
            <w:r>
              <w:rPr>
                <w:rFonts w:asciiTheme="minorEastAsia" w:eastAsiaTheme="minorEastAsia" w:hAnsiTheme="minorEastAsia" w:cstheme="minorEastAsia"/>
                <w:kern w:val="0"/>
                <w:szCs w:val="21"/>
              </w:rPr>
              <w:t>需对质保期（保内、保外）政策进行阐述或承诺，列明有偿服务和无偿服务内容。</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7"/>
          <w:footerReference w:type="default" r:id="rId8"/>
          <w:pgSz w:w="11906" w:h="16838"/>
          <w:pgMar w:top="1440" w:right="1800" w:bottom="1440" w:left="1800" w:header="851" w:footer="992" w:gutter="0"/>
          <w:cols w:num="1" w:space="708"/>
          <w:docGrid w:type="lines" w:linePitch="312" w:charSpace="0"/>
        </w:sectPr>
      </w:pPr>
      <w:bookmarkEnd w:id="70"/>
    </w:p>
    <w:p w14:paraId="3EBE0A8A">
      <w:pPr>
        <w:spacing w:line="360" w:lineRule="auto"/>
        <w:jc w:val="center"/>
        <w:outlineLvl w:val="0"/>
        <w:rPr>
          <w:b/>
          <w:sz w:val="48"/>
          <w:szCs w:val="36"/>
          <w:highlight w:val="none"/>
        </w:rPr>
      </w:pPr>
      <w:r>
        <w:rPr>
          <w:rFonts w:hint="eastAsia"/>
          <w:b/>
          <w:sz w:val="48"/>
          <w:szCs w:val="36"/>
          <w:highlight w:val="none"/>
        </w:rPr>
        <w:t>第三分册：采购合同</w:t>
      </w:r>
    </w:p>
    <w:p w14:paraId="4151E839">
      <w:pPr>
        <w:spacing w:line="360" w:lineRule="auto"/>
        <w:rPr>
          <w:b/>
          <w:bCs/>
          <w:sz w:val="28"/>
          <w:szCs w:val="28"/>
          <w:highlight w:val="none"/>
        </w:rPr>
      </w:pPr>
    </w:p>
    <w:p>
      <w:pPr>
        <w:numPr>
          <w:ilvl w:val="0"/>
          <w:numId w:val="8"/>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0"/>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tabs>
          <w:tab w:val="left" w:pos="1573"/>
        </w:tabs>
        <w:adjustRightInd w:val="0"/>
        <w:snapToGrid w:val="0"/>
        <w:spacing w:line="360" w:lineRule="auto"/>
        <w:ind w:firstLine="630" w:firstLineChars="300"/>
        <w:jc w:val="left"/>
        <w:rPr>
          <w:rFonts w:ascii="宋体" w:hAnsi="宋体" w:hint="eastAsia"/>
          <w:szCs w:val="21"/>
          <w:highlight w:val="cyan"/>
        </w:rPr>
      </w:pPr>
      <w:r>
        <w:rPr>
          <w:rFonts w:ascii="宋体" w:hAnsi="宋体" w:hint="eastAsia"/>
          <w:szCs w:val="21"/>
          <w:highlight w:val="cyan"/>
          <w:lang w:eastAsia="zh-CN"/>
        </w:rPr>
        <w:t>第一包：</w:t>
      </w:r>
    </w:p>
    <w:p>
      <w:pPr>
        <w:tabs>
          <w:tab w:val="left" w:pos="1573"/>
        </w:tabs>
        <w:adjustRightInd w:val="0"/>
        <w:snapToGrid w:val="0"/>
        <w:spacing w:line="360" w:lineRule="auto"/>
        <w:ind w:firstLine="630" w:firstLineChars="300"/>
        <w:jc w:val="left"/>
        <w:rPr>
          <w:rFonts w:ascii="宋体" w:hAnsi="宋体"/>
          <w:szCs w:val="21"/>
          <w:highlight w:val="yellow"/>
        </w:rPr>
      </w:pPr>
      <w:r>
        <w:rPr>
          <w:rFonts w:ascii="宋体" w:hAnsi="宋体"/>
          <w:szCs w:val="21"/>
          <w:highlight w:val="yellow"/>
        </w:rPr>
        <w:t>1</w:t>
      </w:r>
      <w:r>
        <w:rPr>
          <w:rFonts w:ascii="宋体" w:hAnsi="宋体" w:hint="eastAsia"/>
          <w:szCs w:val="21"/>
          <w:highlight w:val="yellow"/>
        </w:rPr>
        <w:t>、合同生效后付款：双方签署合同后10个工作日内，</w:t>
      </w:r>
      <w:r>
        <w:rPr>
          <w:rFonts w:ascii="宋体" w:hAnsi="宋体" w:hint="eastAsia"/>
          <w:szCs w:val="21"/>
          <w:highlight w:val="yellow"/>
          <w:lang w:val="en-US" w:eastAsia="zh-CN"/>
        </w:rPr>
        <w:t>乙方向甲方提供合同总金额40%的发票后，</w:t>
      </w:r>
      <w:r>
        <w:rPr>
          <w:rFonts w:ascii="宋体" w:hAnsi="宋体" w:hint="eastAsia"/>
          <w:szCs w:val="21"/>
          <w:highlight w:val="yellow"/>
        </w:rPr>
        <w:t>甲方向乙方支付合同总金额的</w:t>
      </w:r>
      <w:r>
        <w:rPr>
          <w:rFonts w:ascii="宋体" w:hAnsi="宋体" w:hint="eastAsia"/>
          <w:szCs w:val="21"/>
          <w:highlight w:val="yellow"/>
          <w:lang w:val="en-US" w:eastAsia="zh-CN"/>
        </w:rPr>
        <w:t>40</w:t>
      </w:r>
      <w:r>
        <w:rPr>
          <w:rFonts w:ascii="宋体" w:hAnsi="宋体" w:cs="微软雅黑" w:hint="eastAsia"/>
          <w:b/>
          <w:kern w:val="0"/>
          <w:szCs w:val="21"/>
          <w:highlight w:val="yellow"/>
        </w:rPr>
        <w:t>%</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tabs>
          <w:tab w:val="left" w:pos="1573"/>
        </w:tabs>
        <w:adjustRightInd w:val="0"/>
        <w:snapToGrid w:val="0"/>
        <w:spacing w:line="360" w:lineRule="auto"/>
        <w:ind w:firstLine="630" w:firstLineChars="300"/>
        <w:jc w:val="left"/>
        <w:rPr>
          <w:rFonts w:ascii="宋体" w:hAnsi="宋体"/>
          <w:szCs w:val="21"/>
          <w:highlight w:val="yellow"/>
        </w:rPr>
      </w:pPr>
      <w:r>
        <w:rPr>
          <w:rFonts w:ascii="宋体" w:hAnsi="宋体"/>
          <w:szCs w:val="21"/>
          <w:highlight w:val="yellow"/>
        </w:rPr>
        <w:t>2</w:t>
      </w:r>
      <w:r>
        <w:rPr>
          <w:rFonts w:ascii="宋体" w:hAnsi="宋体" w:hint="eastAsia"/>
          <w:szCs w:val="21"/>
          <w:highlight w:val="yellow"/>
        </w:rPr>
        <w:t>、出厂测试合格后付款：双方签署出厂测试验收报告后10个工作日内，</w:t>
      </w:r>
      <w:r>
        <w:rPr>
          <w:rFonts w:ascii="宋体" w:hAnsi="宋体" w:hint="eastAsia"/>
          <w:szCs w:val="21"/>
          <w:highlight w:val="yellow"/>
          <w:lang w:val="en-US" w:eastAsia="zh-CN"/>
        </w:rPr>
        <w:t>乙方向甲方提供合同总金额50%的发票后</w:t>
      </w:r>
      <w:r>
        <w:rPr>
          <w:rFonts w:ascii="宋体" w:hAnsi="宋体" w:hint="eastAsia"/>
          <w:szCs w:val="21"/>
          <w:highlight w:val="yellow"/>
        </w:rPr>
        <w:t>，甲方向乙方支付合同总金额的</w:t>
      </w:r>
      <w:r>
        <w:rPr>
          <w:rFonts w:ascii="宋体" w:hAnsi="宋体" w:hint="eastAsia"/>
          <w:szCs w:val="21"/>
          <w:highlight w:val="yellow"/>
          <w:lang w:val="en-US" w:eastAsia="zh-CN"/>
        </w:rPr>
        <w:t>50</w:t>
      </w:r>
      <w:r>
        <w:rPr>
          <w:rFonts w:ascii="宋体" w:hAnsi="宋体" w:hint="eastAsia"/>
          <w:b/>
          <w:bCs/>
          <w:szCs w:val="21"/>
          <w:highlight w:val="yellow"/>
        </w:rPr>
        <w:t>%</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tabs>
          <w:tab w:val="left" w:pos="1573"/>
        </w:tabs>
        <w:adjustRightInd w:val="0"/>
        <w:snapToGrid w:val="0"/>
        <w:spacing w:line="360" w:lineRule="auto"/>
        <w:ind w:firstLine="630" w:firstLineChars="300"/>
        <w:jc w:val="left"/>
        <w:rPr>
          <w:rFonts w:hAnsi="宋体"/>
          <w:kern w:val="0"/>
        </w:rPr>
      </w:pPr>
      <w:r>
        <w:rPr>
          <w:rFonts w:ascii="宋体" w:hAnsi="宋体"/>
          <w:szCs w:val="21"/>
          <w:highlight w:val="yellow"/>
        </w:rPr>
        <w:t>3</w:t>
      </w:r>
      <w:r>
        <w:rPr>
          <w:rFonts w:ascii="宋体" w:hAnsi="宋体" w:hint="eastAsia"/>
          <w:szCs w:val="21"/>
          <w:highlight w:val="yellow"/>
        </w:rPr>
        <w:t>、合同验收通过后付款:合同验收通过后10个工作日内，乙方开具合同总金额</w:t>
      </w:r>
      <w:r>
        <w:rPr>
          <w:rFonts w:ascii="宋体" w:hAnsi="宋体" w:hint="eastAsia"/>
          <w:b/>
          <w:bCs/>
          <w:szCs w:val="21"/>
          <w:highlight w:val="yellow"/>
          <w:lang w:eastAsia="zh-CN"/>
        </w:rPr>
        <w:t>1</w:t>
      </w:r>
      <w:r>
        <w:rPr>
          <w:rFonts w:ascii="宋体" w:hAnsi="宋体" w:hint="eastAsia"/>
          <w:b/>
          <w:bCs/>
          <w:szCs w:val="21"/>
          <w:highlight w:val="yellow"/>
          <w:lang w:val="en-US" w:eastAsia="zh-CN"/>
        </w:rPr>
        <w:t>2</w:t>
      </w:r>
      <w:r>
        <w:rPr>
          <w:rFonts w:ascii="宋体" w:hAnsi="宋体" w:hint="eastAsia"/>
          <w:b/>
          <w:bCs/>
          <w:szCs w:val="21"/>
          <w:highlight w:val="yellow"/>
        </w:rPr>
        <w:t>%</w:t>
      </w:r>
      <w:r>
        <w:rPr>
          <w:rFonts w:ascii="宋体" w:hAnsi="宋体" w:hint="eastAsia"/>
          <w:szCs w:val="21"/>
          <w:highlight w:val="yellow"/>
        </w:rPr>
        <w:t>的</w:t>
      </w:r>
      <w:r>
        <w:rPr>
          <w:rFonts w:ascii="宋体" w:hAnsi="宋体" w:hint="eastAsia"/>
          <w:szCs w:val="21"/>
          <w:highlight w:val="yellow"/>
          <w:lang w:val="en-US" w:eastAsia="zh-CN"/>
        </w:rPr>
        <w:t>预付款</w:t>
      </w:r>
      <w:r>
        <w:rPr>
          <w:rFonts w:ascii="宋体" w:hAnsi="宋体" w:hint="eastAsia"/>
          <w:szCs w:val="21"/>
          <w:highlight w:val="yellow"/>
        </w:rPr>
        <w:t>保函(后八年质量维保费提前预付)，甲方在收到</w:t>
      </w:r>
      <w:r>
        <w:rPr>
          <w:rFonts w:ascii="宋体" w:hAnsi="宋体" w:hint="eastAsia"/>
          <w:szCs w:val="21"/>
          <w:highlight w:val="yellow"/>
          <w:lang w:val="en-US" w:eastAsia="zh-CN"/>
        </w:rPr>
        <w:t>预付款</w:t>
      </w:r>
      <w:r>
        <w:rPr>
          <w:rFonts w:ascii="宋体" w:hAnsi="宋体" w:hint="eastAsia"/>
          <w:szCs w:val="21"/>
          <w:highlight w:val="yellow"/>
        </w:rPr>
        <w:t>保函后，向乙方支付合同总金额的</w:t>
      </w:r>
      <w:r>
        <w:rPr>
          <w:rFonts w:ascii="宋体" w:hAnsi="宋体" w:hint="eastAsia"/>
          <w:szCs w:val="21"/>
          <w:highlight w:val="yellow"/>
          <w:lang w:val="en-US" w:eastAsia="zh-CN"/>
        </w:rPr>
        <w:t>10</w:t>
      </w:r>
      <w:r>
        <w:rPr>
          <w:rFonts w:ascii="宋体" w:hAnsi="宋体" w:hint="eastAsia"/>
          <w:b/>
          <w:bCs/>
          <w:szCs w:val="21"/>
          <w:highlight w:val="yellow"/>
        </w:rPr>
        <w:t>%</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snapToGrid w:val="0"/>
        <w:spacing w:line="400" w:lineRule="exact"/>
        <w:ind w:firstLine="630" w:firstLineChars="300"/>
        <w:rPr>
          <w:rFonts w:ascii="宋体" w:hAnsi="宋体" w:hint="eastAsia"/>
          <w:szCs w:val="21"/>
          <w:highlight w:val="none"/>
          <w:u w:val="single"/>
        </w:rPr>
      </w:pPr>
    </w:p>
    <w:p>
      <w:pPr>
        <w:snapToGrid w:val="0"/>
        <w:spacing w:line="400" w:lineRule="exact"/>
        <w:ind w:firstLine="630" w:firstLineChars="300"/>
        <w:rPr>
          <w:rFonts w:ascii="宋体" w:hAnsi="宋体" w:hint="eastAsia"/>
          <w:szCs w:val="21"/>
          <w:highlight w:val="cyan"/>
          <w:u w:val="single"/>
        </w:rPr>
      </w:pPr>
      <w:r>
        <w:rPr>
          <w:rFonts w:ascii="宋体" w:hAnsi="宋体" w:hint="eastAsia"/>
          <w:szCs w:val="21"/>
          <w:highlight w:val="cyan"/>
          <w:u w:val="single"/>
          <w:lang w:eastAsia="zh-CN"/>
        </w:rPr>
        <w:t>第二包、第三包：</w:t>
      </w:r>
    </w:p>
    <w:p>
      <w:pPr>
        <w:numPr>
          <w:ilvl w:val="0"/>
          <w:numId w:val="11"/>
        </w:numPr>
        <w:snapToGrid w:val="0"/>
        <w:spacing w:line="400" w:lineRule="exact"/>
        <w:ind w:firstLine="630" w:firstLineChars="300"/>
        <w:rPr>
          <w:rFonts w:ascii="宋体" w:hAnsi="宋体" w:hint="eastAsia"/>
          <w:szCs w:val="21"/>
          <w:highlight w:val="yellow"/>
        </w:rPr>
      </w:pPr>
      <w:r>
        <w:rPr>
          <w:rFonts w:ascii="宋体" w:hAnsi="宋体" w:hint="eastAsia"/>
          <w:szCs w:val="21"/>
          <w:highlight w:val="yellow"/>
        </w:rPr>
        <w:t>签订本协议后</w:t>
      </w:r>
      <w:r>
        <w:rPr>
          <w:rFonts w:ascii="宋体" w:hAnsi="宋体" w:hint="eastAsia"/>
          <w:szCs w:val="21"/>
          <w:highlight w:val="yellow"/>
          <w:u w:val="single"/>
        </w:rPr>
        <w:t xml:space="preserve">  </w:t>
      </w:r>
      <w:r>
        <w:rPr>
          <w:rFonts w:hint="eastAsia"/>
          <w:highlight w:val="yellow"/>
          <w:lang w:val="en-US" w:eastAsia="zh-CN"/>
        </w:rPr>
        <w:t>15</w:t>
      </w:r>
      <w:r>
        <w:rPr>
          <w:rFonts w:ascii="宋体" w:hAnsi="宋体" w:hint="eastAsia"/>
          <w:szCs w:val="21"/>
          <w:highlight w:val="yellow"/>
          <w:u w:val="single"/>
        </w:rPr>
        <w:t xml:space="preserve"> 个工作</w:t>
      </w:r>
      <w:r>
        <w:rPr>
          <w:rFonts w:ascii="宋体" w:hAnsi="宋体" w:hint="eastAsia"/>
          <w:szCs w:val="21"/>
          <w:highlight w:val="yellow"/>
        </w:rPr>
        <w:t>日内甲方支付乙方合同金额的</w:t>
      </w:r>
      <w:r>
        <w:rPr>
          <w:rFonts w:ascii="宋体" w:hAnsi="宋体"/>
          <w:szCs w:val="21"/>
          <w:highlight w:val="yellow"/>
          <w:u w:val="single"/>
        </w:rPr>
        <w:t xml:space="preserve">   </w:t>
      </w:r>
      <w:r>
        <w:rPr>
          <w:rFonts w:hint="eastAsia"/>
          <w:highlight w:val="yellow"/>
          <w:lang w:val="en-US" w:eastAsia="zh-CN"/>
        </w:rPr>
        <w:t>40</w:t>
      </w:r>
      <w:r>
        <w:rPr>
          <w:rFonts w:ascii="宋体" w:hAnsi="宋体"/>
          <w:szCs w:val="21"/>
          <w:highlight w:val="yellow"/>
          <w:u w:val="single"/>
        </w:rPr>
        <w:t xml:space="preserve">  </w:t>
      </w:r>
      <w:r>
        <w:rPr>
          <w:rFonts w:ascii="宋体" w:hAnsi="宋体" w:hint="eastAsia"/>
          <w:szCs w:val="21"/>
          <w:highlight w:val="yellow"/>
          <w:u w:val="single"/>
        </w:rPr>
        <w:t>%，</w:t>
      </w:r>
      <w:r>
        <w:rPr>
          <w:rFonts w:ascii="宋体" w:hAnsi="宋体" w:hint="eastAsia"/>
          <w:szCs w:val="21"/>
          <w:highlight w:val="yellow"/>
        </w:rPr>
        <w:t>即人民币</w:t>
      </w:r>
    </w:p>
    <w:p>
      <w:pPr>
        <w:snapToGrid w:val="0"/>
        <w:spacing w:line="400" w:lineRule="exact"/>
        <w:rPr>
          <w:rFonts w:ascii="宋体" w:hAnsi="宋体" w:hint="eastAsia"/>
          <w:szCs w:val="21"/>
          <w:highlight w:val="yellow"/>
        </w:rPr>
      </w:pPr>
      <w:r>
        <w:rPr>
          <w:rFonts w:ascii="宋体" w:hAnsi="宋体" w:hint="eastAsia"/>
          <w:szCs w:val="21"/>
          <w:highlight w:val="yellow"/>
        </w:rPr>
        <w:t xml:space="preserve"> </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numPr>
          <w:ilvl w:val="0"/>
          <w:numId w:val="11"/>
        </w:numPr>
        <w:snapToGrid w:val="0"/>
        <w:spacing w:line="400" w:lineRule="exact"/>
        <w:ind w:firstLine="630" w:firstLineChars="300"/>
        <w:rPr>
          <w:rFonts w:ascii="宋体" w:hAnsi="宋体" w:hint="eastAsia"/>
          <w:szCs w:val="21"/>
          <w:highlight w:val="yellow"/>
        </w:rPr>
      </w:pPr>
      <w:r>
        <w:rPr>
          <w:rFonts w:ascii="宋体" w:hAnsi="宋体" w:hint="eastAsia"/>
          <w:szCs w:val="21"/>
          <w:highlight w:val="yellow"/>
        </w:rPr>
        <w:t>到货且完成现场安装，</w:t>
      </w:r>
      <w:r>
        <w:rPr>
          <w:rFonts w:hAnsi="宋体" w:hint="eastAsia"/>
          <w:kern w:val="0"/>
          <w:highlight w:val="yellow"/>
        </w:rPr>
        <w:t>经甲方核对无误、检验合格后</w:t>
      </w:r>
      <w:r>
        <w:rPr>
          <w:rFonts w:hint="eastAsia"/>
          <w:highlight w:val="yellow"/>
          <w:lang w:val="en-US" w:eastAsia="zh-CN"/>
        </w:rPr>
        <w:t>15</w:t>
      </w:r>
      <w:r>
        <w:rPr>
          <w:rFonts w:hAnsi="宋体" w:hint="eastAsia"/>
          <w:kern w:val="0"/>
          <w:highlight w:val="yellow"/>
          <w:u w:val="single"/>
        </w:rPr>
        <w:t>个工作日内</w:t>
      </w:r>
      <w:r>
        <w:rPr>
          <w:rFonts w:hAnsi="宋体" w:hint="eastAsia"/>
          <w:kern w:val="0"/>
          <w:highlight w:val="yellow"/>
        </w:rPr>
        <w:t>，</w:t>
      </w:r>
      <w:r>
        <w:rPr>
          <w:rFonts w:ascii="宋体" w:hAnsi="宋体" w:hint="eastAsia"/>
          <w:szCs w:val="21"/>
          <w:highlight w:val="yellow"/>
        </w:rPr>
        <w:t>甲方向乙方支付合同总金额的</w:t>
      </w:r>
      <w:r>
        <w:rPr>
          <w:rFonts w:ascii="宋体" w:hAnsi="宋体" w:hint="eastAsia"/>
          <w:szCs w:val="21"/>
          <w:highlight w:val="yellow"/>
          <w:u w:val="single"/>
        </w:rPr>
        <w:t xml:space="preserve">  </w:t>
      </w:r>
      <w:r>
        <w:rPr>
          <w:rFonts w:hint="eastAsia"/>
          <w:highlight w:val="yellow"/>
          <w:lang w:val="en-US" w:eastAsia="zh-CN"/>
        </w:rPr>
        <w:t>55</w:t>
      </w:r>
      <w:r>
        <w:rPr>
          <w:rFonts w:ascii="宋体" w:hAnsi="宋体" w:hint="eastAsia"/>
          <w:szCs w:val="21"/>
          <w:highlight w:val="yellow"/>
          <w:u w:val="single"/>
        </w:rPr>
        <w:t xml:space="preserve">  </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numPr>
          <w:ilvl w:val="0"/>
          <w:numId w:val="11"/>
        </w:numPr>
        <w:snapToGrid w:val="0"/>
        <w:spacing w:line="400" w:lineRule="exact"/>
        <w:ind w:firstLine="630" w:firstLineChars="300"/>
        <w:rPr>
          <w:rFonts w:ascii="宋体" w:hAnsi="宋体" w:hint="eastAsia"/>
          <w:szCs w:val="21"/>
          <w:highlight w:val="none"/>
          <w:u w:val="single"/>
        </w:rPr>
      </w:pPr>
      <w:r>
        <w:rPr>
          <w:rFonts w:hint="eastAsia"/>
          <w:highlight w:val="yellow"/>
        </w:rPr>
        <w:t>完成现场验收和合同验收后</w:t>
      </w:r>
      <w:r>
        <w:rPr>
          <w:rFonts w:hint="eastAsia"/>
          <w:highlight w:val="yellow"/>
          <w:lang w:val="en-US" w:eastAsia="zh-CN"/>
        </w:rPr>
        <w:t>30</w:t>
      </w:r>
      <w:r>
        <w:rPr>
          <w:rFonts w:hAnsi="宋体" w:hint="eastAsia"/>
          <w:kern w:val="0"/>
          <w:highlight w:val="yellow"/>
          <w:u w:val="single"/>
        </w:rPr>
        <w:t>个工作日内</w:t>
      </w:r>
      <w:r>
        <w:rPr>
          <w:rFonts w:hAnsi="宋体" w:hint="eastAsia"/>
          <w:kern w:val="0"/>
          <w:highlight w:val="yellow"/>
        </w:rPr>
        <w:t>，</w:t>
      </w:r>
      <w:r>
        <w:rPr>
          <w:rFonts w:hAnsi="宋体" w:hint="eastAsia"/>
          <w:kern w:val="0"/>
          <w:highlight w:val="yellow"/>
          <w:lang w:val="en-US" w:eastAsia="zh-CN"/>
        </w:rPr>
        <w:t>且乙方向甲方提供合同金额5%的预付款保函（</w:t>
      </w:r>
      <w:r>
        <w:rPr>
          <w:rFonts w:ascii="宋体" w:hAnsi="宋体" w:hint="eastAsia"/>
          <w:szCs w:val="21"/>
          <w:highlight w:val="yellow"/>
          <w:u w:val="single"/>
          <w:lang w:val="en-US" w:eastAsia="zh-CN"/>
        </w:rPr>
        <w:t>后八年质量维保费提前预付</w:t>
      </w:r>
      <w:r>
        <w:rPr>
          <w:rFonts w:hAnsi="宋体" w:hint="eastAsia"/>
          <w:kern w:val="0"/>
          <w:highlight w:val="yellow"/>
          <w:lang w:val="en-US" w:eastAsia="zh-CN"/>
        </w:rPr>
        <w:t>）后，</w:t>
      </w:r>
      <w:r>
        <w:rPr>
          <w:rFonts w:ascii="宋体" w:hAnsi="宋体" w:hint="eastAsia"/>
          <w:szCs w:val="21"/>
          <w:highlight w:val="yellow"/>
        </w:rPr>
        <w:t>甲方向乙方支付合同总金额的</w:t>
      </w:r>
      <w:r>
        <w:rPr>
          <w:rFonts w:ascii="宋体" w:hAnsi="宋体" w:hint="eastAsia"/>
          <w:szCs w:val="21"/>
          <w:highlight w:val="yellow"/>
          <w:u w:val="single"/>
        </w:rPr>
        <w:t xml:space="preserve">  </w:t>
      </w:r>
      <w:r>
        <w:rPr>
          <w:rFonts w:hint="eastAsia"/>
          <w:highlight w:val="yellow"/>
          <w:lang w:val="en-US" w:eastAsia="zh-CN"/>
        </w:rPr>
        <w:t>5</w:t>
      </w:r>
      <w:r>
        <w:rPr>
          <w:rFonts w:ascii="宋体" w:hAnsi="宋体" w:hint="eastAsia"/>
          <w:szCs w:val="21"/>
          <w:highlight w:val="yellow"/>
          <w:u w:val="single"/>
        </w:rPr>
        <w:t xml:space="preserve">   </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9"/>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r>
        <w:rPr>
          <w:rFonts w:ascii="宋体" w:hAnsi="宋体" w:hint="eastAsia"/>
          <w:b/>
          <w:szCs w:val="21"/>
          <w:highlight w:val="cyan"/>
          <w:lang w:eastAsia="zh-CN"/>
        </w:rPr>
        <w:t>（第二包、第三包）</w:t>
      </w:r>
    </w:p>
    <w:p>
      <w:pPr>
        <w:adjustRightInd w:val="0"/>
        <w:snapToGrid w:val="0"/>
        <w:spacing w:line="360" w:lineRule="auto"/>
        <w:ind w:left="420"/>
        <w:rPr>
          <w:rFonts w:ascii="Times New Roman" w:eastAsia="宋体" w:hAnsi="Times New Roman" w:cs="Times New Roman"/>
          <w:b/>
        </w:rPr>
      </w:pPr>
      <w:r>
        <w:rPr>
          <w:rFonts w:ascii="Times New Roman" w:eastAsia="宋体" w:hAnsi="Times New Roman" w:cs="Times New Roman" w:hint="eastAsia"/>
          <w:b/>
        </w:rPr>
        <w:t>（1）质量标准及保证</w:t>
      </w:r>
    </w:p>
    <w:p>
      <w:pPr>
        <w:numPr>
          <w:ilvl w:val="0"/>
          <w:numId w:val="12"/>
        </w:numPr>
        <w:tabs>
          <w:tab w:val="left" w:pos="1573"/>
        </w:tabs>
        <w:adjustRightInd w:val="0"/>
        <w:snapToGrid w:val="0"/>
        <w:spacing w:line="360" w:lineRule="auto"/>
        <w:ind w:firstLine="420" w:firstLineChars="200"/>
        <w:rPr>
          <w:rFonts w:ascii="Times New Roman" w:eastAsia="宋体" w:hAnsi="Times New Roman" w:cs="Times New Roman" w:hint="eastAsia"/>
        </w:rPr>
      </w:pPr>
      <w:r>
        <w:rPr>
          <w:rFonts w:ascii="Times New Roman" w:eastAsia="宋体" w:hAnsi="Times New Roman" w:cs="Times New Roman" w:hint="eastAsia"/>
        </w:rPr>
        <w:t>乙方应提供产品达到合格标准的出厂测试报告。</w:t>
      </w:r>
    </w:p>
    <w:p>
      <w:pPr>
        <w:numPr>
          <w:ilvl w:val="0"/>
          <w:numId w:val="12"/>
        </w:numPr>
        <w:tabs>
          <w:tab w:val="left" w:pos="1573"/>
        </w:tabs>
        <w:adjustRightInd w:val="0"/>
        <w:snapToGrid w:val="0"/>
        <w:spacing w:line="360" w:lineRule="auto"/>
        <w:ind w:firstLine="420" w:firstLineChars="200"/>
        <w:rPr>
          <w:rFonts w:ascii="Times New Roman" w:eastAsia="宋体" w:hAnsi="Times New Roman" w:cs="Times New Roman" w:hint="eastAsia"/>
        </w:rPr>
      </w:pPr>
      <w:r>
        <w:rPr>
          <w:rFonts w:ascii="Times New Roman" w:eastAsia="宋体" w:hAnsi="Times New Roman" w:cs="Times New Roman" w:hint="eastAsia"/>
        </w:rPr>
        <w:t>合同签订后</w:t>
      </w:r>
      <w:r>
        <w:rPr>
          <w:rFonts w:ascii="Times New Roman" w:eastAsia="宋体" w:hAnsi="Times New Roman" w:cs="Times New Roman" w:hint="eastAsia"/>
          <w:highlight w:val="yellow"/>
          <w:lang w:val="en-US" w:eastAsia="zh-CN"/>
        </w:rPr>
        <w:t>XX</w:t>
      </w:r>
      <w:r>
        <w:rPr>
          <w:rFonts w:ascii="Times New Roman" w:eastAsia="宋体" w:hAnsi="Times New Roman" w:cs="Times New Roman" w:hint="eastAsia"/>
        </w:rPr>
        <w:t>天内，完成设备出厂测试，</w:t>
      </w:r>
      <w:r>
        <w:rPr>
          <w:rFonts w:ascii="Times New Roman" w:eastAsia="宋体" w:hAnsi="Times New Roman" w:cs="Times New Roman" w:hint="eastAsia"/>
          <w:highlight w:val="yellow"/>
          <w:lang w:val="en-US" w:eastAsia="zh-CN"/>
        </w:rPr>
        <w:t>40</w:t>
      </w:r>
      <w:r>
        <w:rPr>
          <w:rFonts w:ascii="Times New Roman" w:eastAsia="宋体" w:hAnsi="Times New Roman" w:cs="Times New Roman" w:hint="eastAsia"/>
        </w:rPr>
        <w:t>天内发货</w:t>
      </w:r>
    </w:p>
    <w:p>
      <w:pPr>
        <w:numPr>
          <w:ilvl w:val="0"/>
          <w:numId w:val="12"/>
        </w:numPr>
        <w:tabs>
          <w:tab w:val="left" w:pos="1573"/>
        </w:tabs>
        <w:adjustRightInd w:val="0"/>
        <w:snapToGrid w:val="0"/>
        <w:spacing w:line="360" w:lineRule="auto"/>
        <w:ind w:firstLine="420" w:firstLineChars="200"/>
        <w:rPr>
          <w:rFonts w:ascii="Times New Roman" w:eastAsia="宋体" w:hAnsi="Times New Roman" w:cs="Times New Roman" w:hint="eastAsia"/>
        </w:rPr>
      </w:pPr>
      <w:r>
        <w:rPr>
          <w:rFonts w:ascii="Times New Roman" w:eastAsia="宋体" w:hAnsi="Times New Roman" w:cs="Times New Roman" w:hint="eastAsia"/>
        </w:rPr>
        <w:t>合同签订后</w:t>
      </w:r>
      <w:r>
        <w:rPr>
          <w:rFonts w:ascii="Times New Roman" w:eastAsia="宋体" w:hAnsi="Times New Roman" w:cs="Times New Roman" w:hint="eastAsia"/>
          <w:highlight w:val="yellow"/>
          <w:lang w:val="en-US" w:eastAsia="zh-CN"/>
        </w:rPr>
        <w:t>XX</w:t>
      </w:r>
      <w:r>
        <w:rPr>
          <w:rFonts w:ascii="Times New Roman" w:eastAsia="宋体" w:hAnsi="Times New Roman" w:cs="Times New Roman" w:hint="eastAsia"/>
        </w:rPr>
        <w:t>天内，完成现场后安装、测试和数据上传。</w:t>
      </w:r>
    </w:p>
    <w:p>
      <w:pPr>
        <w:numPr>
          <w:ilvl w:val="0"/>
          <w:numId w:val="12"/>
        </w:numPr>
        <w:tabs>
          <w:tab w:val="left" w:pos="1573"/>
        </w:tabs>
        <w:adjustRightInd w:val="0"/>
        <w:snapToGrid w:val="0"/>
        <w:spacing w:line="360" w:lineRule="auto"/>
        <w:ind w:firstLine="420" w:firstLineChars="200"/>
        <w:rPr>
          <w:rFonts w:ascii="Times New Roman" w:eastAsia="宋体" w:hAnsi="Times New Roman" w:cs="Times New Roman"/>
        </w:rPr>
      </w:pPr>
      <w:r>
        <w:rPr>
          <w:rFonts w:ascii="Times New Roman" w:eastAsia="宋体" w:hAnsi="Times New Roman" w:cs="Times New Roman" w:hint="eastAsia"/>
        </w:rPr>
        <w:t>合同签订后</w:t>
      </w:r>
      <w:r>
        <w:rPr>
          <w:rFonts w:ascii="Times New Roman" w:eastAsia="宋体" w:hAnsi="Times New Roman" w:cs="Times New Roman" w:hint="eastAsia"/>
          <w:highlight w:val="yellow"/>
          <w:lang w:val="en-US" w:eastAsia="zh-CN"/>
        </w:rPr>
        <w:t>60</w:t>
      </w:r>
      <w:r>
        <w:rPr>
          <w:rFonts w:ascii="Times New Roman" w:eastAsia="宋体" w:hAnsi="Times New Roman" w:cs="Times New Roman" w:hint="eastAsia"/>
        </w:rPr>
        <w:t>天内，完成现场验收</w:t>
      </w:r>
      <w:r>
        <w:rPr>
          <w:rFonts w:ascii="Times New Roman" w:eastAsia="宋体" w:hAnsi="Times New Roman" w:cs="Times New Roman" w:hint="eastAsia"/>
          <w:highlight w:val="yellow"/>
        </w:rPr>
        <w:t>和合同验收</w:t>
      </w:r>
      <w:r>
        <w:rPr>
          <w:rFonts w:ascii="Times New Roman" w:eastAsia="宋体" w:hAnsi="Times New Roman" w:cs="Times New Roman" w:hint="eastAsia"/>
        </w:rPr>
        <w:t>。</w:t>
      </w:r>
    </w:p>
    <w:p>
      <w:pPr>
        <w:numPr>
          <w:ilvl w:val="0"/>
          <w:numId w:val="12"/>
        </w:numPr>
        <w:tabs>
          <w:tab w:val="left" w:pos="1573"/>
        </w:tabs>
        <w:adjustRightInd w:val="0"/>
        <w:snapToGrid w:val="0"/>
        <w:spacing w:line="360" w:lineRule="auto"/>
        <w:ind w:firstLine="420" w:firstLineChars="200"/>
        <w:rPr>
          <w:rFonts w:ascii="Times New Roman" w:eastAsia="宋体" w:hAnsi="Times New Roman" w:cs="Times New Roman" w:hint="eastAsia"/>
        </w:rPr>
      </w:pPr>
      <w:r>
        <w:rPr>
          <w:rFonts w:ascii="Times New Roman" w:eastAsia="宋体" w:hAnsi="Times New Roman" w:cs="Times New Roman" w:hint="eastAsia"/>
        </w:rPr>
        <w:t>备品备件、故障维修、巡检巡查等具体要求按照</w:t>
      </w:r>
      <w:r>
        <w:rPr>
          <w:rFonts w:ascii="Times New Roman" w:eastAsia="宋体" w:hAnsi="仿宋_GB2312" w:cs="仿宋_GB2312" w:hint="eastAsia"/>
          <w:color w:val="3366FF"/>
          <w:highlight w:val="yellow"/>
        </w:rPr>
        <w:t>XXXXXX招标文件具体要求执行（省里补充）</w:t>
      </w:r>
    </w:p>
    <w:p>
      <w:pPr>
        <w:numPr>
          <w:ilvl w:val="0"/>
          <w:numId w:val="12"/>
        </w:numPr>
        <w:tabs>
          <w:tab w:val="left" w:pos="1573"/>
        </w:tabs>
        <w:adjustRightInd w:val="0"/>
        <w:snapToGrid w:val="0"/>
        <w:spacing w:line="360" w:lineRule="auto"/>
        <w:ind w:firstLine="420" w:firstLineChars="200"/>
        <w:rPr>
          <w:rFonts w:ascii="Times New Roman" w:eastAsia="宋体" w:hAnsi="Times New Roman" w:cs="Times New Roman" w:hint="eastAsia"/>
          <w:highlight w:val="yellow"/>
        </w:rPr>
      </w:pPr>
      <w:r>
        <w:rPr>
          <w:rFonts w:ascii="Times New Roman" w:eastAsia="宋体" w:hAnsi="Times New Roman" w:cs="Times New Roman" w:hint="eastAsia"/>
          <w:i w:val="0"/>
          <w:iCs w:val="0"/>
          <w:caps w:val="0"/>
          <w:color w:val="0F1115"/>
          <w:spacing w:val="0"/>
          <w:sz w:val="21"/>
          <w:szCs w:val="22"/>
          <w:highlight w:val="yellow"/>
          <w:shd w:val="clear" w:color="auto" w:fill="auto"/>
        </w:rPr>
        <w:t>本合同约定的各项技术标准、规范及验收依据，应以合同签订时有效的最新版本为准。在合同履行期间，若前述规范发生修订，乙方应遵照执行，甲方不因此增加合同价款。</w:t>
      </w:r>
    </w:p>
    <w:p>
      <w:pPr>
        <w:numPr>
          <w:ilvl w:val="0"/>
          <w:numId w:val="10"/>
        </w:numPr>
        <w:adjustRightInd w:val="0"/>
        <w:snapToGrid w:val="0"/>
        <w:spacing w:line="360" w:lineRule="auto"/>
        <w:ind w:left="420"/>
        <w:rPr>
          <w:rFonts w:ascii="Times New Roman" w:eastAsia="宋体" w:hAnsi="Times New Roman" w:cs="Times New Roman"/>
          <w:b/>
        </w:rPr>
      </w:pPr>
      <w:r>
        <w:rPr>
          <w:rFonts w:ascii="Times New Roman" w:eastAsia="宋体" w:hAnsi="Times New Roman" w:cs="Times New Roman" w:hint="eastAsia"/>
          <w:b/>
        </w:rPr>
        <w:t>验收</w:t>
      </w:r>
    </w:p>
    <w:p>
      <w:pPr>
        <w:widowControl w:val="0"/>
        <w:numPr>
          <w:ilvl w:val="0"/>
          <w:numId w:val="13"/>
        </w:numPr>
        <w:spacing w:after="120"/>
        <w:ind w:left="1271" w:hanging="420" w:leftChars="0" w:firstLineChars="0"/>
        <w:jc w:val="both"/>
        <w:rPr>
          <w:rFonts w:ascii="Times New Roman" w:eastAsia="宋体" w:hAnsi="Times New Roman" w:cs="Times New Roman" w:hint="eastAsia"/>
          <w:highlight w:val="yellow"/>
        </w:rPr>
      </w:pPr>
      <w:r>
        <w:rPr>
          <w:rFonts w:ascii="Times New Roman" w:eastAsia="宋体" w:hAnsi="Times New Roman" w:cs="Times New Roman" w:hint="eastAsia"/>
          <w:kern w:val="2"/>
          <w:sz w:val="21"/>
          <w:szCs w:val="22"/>
          <w:highlight w:val="yellow"/>
          <w:lang w:val="en-US" w:eastAsia="zh-CN" w:bidi="ar-SA"/>
        </w:rPr>
        <w:t>乙方应按照甲方要求提交合同实施情况报告、出厂测试报告、货物/服务接收清单、现场验收报告、安装后测试报告、业务运行准入测试报告等。</w:t>
      </w:r>
      <w:r>
        <w:rPr>
          <w:rFonts w:ascii="Times New Roman" w:eastAsia="宋体" w:hAnsi="Times New Roman" w:cs="Times New Roman" w:hint="eastAsia"/>
          <w:color w:val="FF0000"/>
          <w:kern w:val="2"/>
          <w:sz w:val="21"/>
          <w:szCs w:val="22"/>
          <w:highlight w:val="yellow"/>
          <w:lang w:val="en-US" w:eastAsia="zh-CN" w:bidi="ar-SA"/>
        </w:rPr>
        <w:t>集成式交通气象监测仪</w:t>
      </w:r>
      <w:r>
        <w:rPr>
          <w:rFonts w:ascii="Times New Roman" w:eastAsia="宋体" w:hAnsi="Times New Roman" w:cs="Times New Roman" w:hint="eastAsia"/>
          <w:kern w:val="2"/>
          <w:sz w:val="21"/>
          <w:szCs w:val="22"/>
          <w:highlight w:val="yellow"/>
          <w:lang w:val="en-US" w:eastAsia="zh-CN" w:bidi="ar-SA"/>
        </w:rPr>
        <w:t>需具备</w:t>
      </w:r>
      <w:r>
        <w:rPr>
          <w:rFonts w:ascii="Times New Roman" w:eastAsia="宋体" w:hAnsi="Times New Roman" w:cs="Times New Roman" w:hint="eastAsia"/>
          <w:color w:val="FF0000"/>
          <w:kern w:val="2"/>
          <w:sz w:val="21"/>
          <w:szCs w:val="22"/>
          <w:highlight w:val="yellow"/>
          <w:lang w:val="en-US" w:eastAsia="zh-CN" w:bidi="ar-SA"/>
        </w:rPr>
        <w:t>集成式交通气象监测仪装备许可</w:t>
      </w:r>
      <w:r>
        <w:rPr>
          <w:rFonts w:ascii="Times New Roman" w:eastAsia="宋体" w:hAnsi="Times New Roman" w:cs="Times New Roman" w:hint="eastAsia"/>
          <w:kern w:val="2"/>
          <w:sz w:val="21"/>
          <w:szCs w:val="22"/>
          <w:highlight w:val="yellow"/>
          <w:lang w:val="en-US" w:eastAsia="zh-CN" w:bidi="ar-SA"/>
        </w:rPr>
        <w:t>，</w:t>
      </w:r>
      <w:r>
        <w:rPr>
          <w:rFonts w:ascii="Times New Roman" w:eastAsia="宋体" w:hAnsi="Times New Roman" w:cs="Times New Roman" w:hint="eastAsia"/>
          <w:color w:val="FF0000"/>
          <w:kern w:val="2"/>
          <w:sz w:val="21"/>
          <w:szCs w:val="22"/>
          <w:highlight w:val="yellow"/>
          <w:lang w:val="en-US" w:eastAsia="zh-CN" w:bidi="ar-SA"/>
        </w:rPr>
        <w:t>移动式观测设备</w:t>
      </w:r>
      <w:r>
        <w:rPr>
          <w:rFonts w:ascii="Times New Roman" w:eastAsia="宋体" w:hAnsi="Times New Roman" w:cs="Times New Roman" w:hint="eastAsia"/>
          <w:kern w:val="2"/>
          <w:sz w:val="21"/>
          <w:szCs w:val="22"/>
          <w:highlight w:val="yellow"/>
          <w:lang w:val="en-US" w:eastAsia="zh-CN" w:bidi="ar-SA"/>
        </w:rPr>
        <w:t>需具备</w:t>
      </w:r>
      <w:r>
        <w:rPr>
          <w:rFonts w:ascii="Times New Roman" w:eastAsia="宋体" w:hAnsi="Times New Roman" w:cs="Times New Roman" w:hint="eastAsia"/>
          <w:color w:val="FF0000"/>
          <w:kern w:val="2"/>
          <w:sz w:val="21"/>
          <w:szCs w:val="22"/>
          <w:highlight w:val="yellow"/>
          <w:lang w:val="en-US" w:eastAsia="zh-CN" w:bidi="ar-SA"/>
        </w:rPr>
        <w:t>集成式交通气象监测仪、翻斗式雨量传感器、智能能见度测量仪3个装备许可</w:t>
      </w:r>
      <w:r>
        <w:rPr>
          <w:rFonts w:ascii="Times New Roman" w:eastAsia="宋体" w:hAnsi="Times New Roman" w:cs="Times New Roman" w:hint="eastAsia"/>
          <w:kern w:val="2"/>
          <w:sz w:val="21"/>
          <w:szCs w:val="22"/>
          <w:highlight w:val="yellow"/>
          <w:lang w:val="en-US" w:eastAsia="zh-CN" w:bidi="ar-SA"/>
        </w:rPr>
        <w:t>否则验收为不合格，追究乙方责任。满足《“十四五”期间综合观测类工程项目新上设备验收技术指南》验收要求。</w:t>
      </w:r>
    </w:p>
    <w:p>
      <w:pPr>
        <w:widowControl w:val="0"/>
        <w:numPr>
          <w:ilvl w:val="0"/>
          <w:numId w:val="13"/>
        </w:numPr>
        <w:spacing w:after="120"/>
        <w:ind w:left="1271" w:hanging="420" w:leftChars="0" w:firstLineChars="0"/>
        <w:jc w:val="both"/>
        <w:rPr>
          <w:rFonts w:ascii="Times New Roman" w:eastAsia="宋体" w:hAnsi="Times New Roman" w:cs="Times New Roman" w:hint="eastAsia"/>
          <w:highlight w:val="yellow"/>
        </w:rPr>
      </w:pPr>
      <w:r>
        <w:rPr>
          <w:rFonts w:ascii="Times New Roman" w:eastAsia="宋体" w:hAnsi="Times New Roman" w:cs="Times New Roman" w:hint="eastAsia"/>
          <w:kern w:val="2"/>
          <w:sz w:val="21"/>
          <w:szCs w:val="22"/>
          <w:highlight w:val="yellow"/>
          <w:lang w:val="en-US" w:eastAsia="zh-CN" w:bidi="ar-SA"/>
        </w:rPr>
        <w:t>乙方按照相关规范和投标设备说明书的规定完成设备供货、安装、调试及试运行。</w:t>
      </w:r>
    </w:p>
    <w:p>
      <w:pPr>
        <w:widowControl w:val="0"/>
        <w:numPr>
          <w:ilvl w:val="0"/>
          <w:numId w:val="13"/>
        </w:numPr>
        <w:spacing w:after="120"/>
        <w:ind w:left="1271" w:hanging="420" w:leftChars="0" w:firstLineChars="0"/>
        <w:jc w:val="both"/>
        <w:rPr>
          <w:rFonts w:ascii="Times New Roman" w:eastAsia="宋体" w:hAnsi="Times New Roman" w:cs="Times New Roman" w:hint="eastAsia"/>
          <w:highlight w:val="yellow"/>
        </w:rPr>
      </w:pPr>
      <w:r>
        <w:rPr>
          <w:rFonts w:ascii="Times New Roman" w:eastAsia="宋体" w:hAnsi="Times New Roman" w:cs="Times New Roman" w:hint="eastAsia"/>
          <w:kern w:val="2"/>
          <w:sz w:val="21"/>
          <w:szCs w:val="22"/>
          <w:highlight w:val="yellow"/>
          <w:lang w:val="en-US" w:eastAsia="zh-CN" w:bidi="ar-SA"/>
        </w:rPr>
        <w:t>在设备安装、调试合格后，提交检验测试报告，经甲方验收合格后签署现场验收报告。</w:t>
      </w:r>
    </w:p>
    <w:p>
      <w:pPr>
        <w:widowControl w:val="0"/>
        <w:numPr>
          <w:ilvl w:val="0"/>
          <w:numId w:val="13"/>
        </w:numPr>
        <w:spacing w:after="120"/>
        <w:ind w:left="1271" w:hanging="420" w:leftChars="0" w:firstLineChars="0"/>
        <w:jc w:val="both"/>
        <w:rPr>
          <w:rFonts w:ascii="Times New Roman" w:eastAsia="宋体" w:hAnsi="Times New Roman" w:cs="Times New Roman" w:hint="eastAsia"/>
          <w:highlight w:val="yellow"/>
        </w:rPr>
      </w:pPr>
      <w:r>
        <w:rPr>
          <w:rFonts w:ascii="Times New Roman" w:eastAsia="宋体" w:hAnsi="Times New Roman" w:cs="Times New Roman" w:hint="eastAsia"/>
          <w:kern w:val="2"/>
          <w:sz w:val="21"/>
          <w:szCs w:val="22"/>
          <w:highlight w:val="yellow"/>
          <w:lang w:val="en-US" w:eastAsia="zh-CN" w:bidi="ar-SA"/>
        </w:rPr>
        <w:t>在设备试运行结束后，经甲方验收合格后给出合同验收意见。</w:t>
      </w:r>
    </w:p>
    <w:p>
      <w:pPr>
        <w:widowControl w:val="0"/>
        <w:numPr>
          <w:ilvl w:val="0"/>
          <w:numId w:val="13"/>
        </w:numPr>
        <w:spacing w:after="120"/>
        <w:ind w:left="1271" w:hanging="420" w:leftChars="0" w:firstLineChars="0"/>
        <w:jc w:val="both"/>
        <w:rPr>
          <w:rFonts w:ascii="Calibri" w:eastAsia="宋体" w:hAnsi="Calibri" w:cs="Times New Roman" w:hint="eastAsia"/>
          <w:highlight w:val="yellow"/>
        </w:rPr>
      </w:pPr>
      <w:r>
        <w:rPr>
          <w:rFonts w:ascii="Times New Roman" w:eastAsia="宋体" w:hAnsi="Times New Roman" w:cs="Times New Roman" w:hint="eastAsia"/>
          <w:kern w:val="2"/>
          <w:sz w:val="21"/>
          <w:szCs w:val="22"/>
          <w:highlight w:val="yellow"/>
          <w:lang w:val="en-US" w:eastAsia="zh-CN" w:bidi="ar-SA"/>
        </w:rPr>
        <w:t>其中</w:t>
      </w:r>
      <w:r>
        <w:rPr>
          <w:rFonts w:ascii="Times New Roman" w:eastAsia="宋体" w:hAnsi="Times New Roman" w:cs="Times New Roman" w:hint="eastAsia"/>
          <w:color w:val="FF0000"/>
          <w:kern w:val="2"/>
          <w:sz w:val="21"/>
          <w:szCs w:val="22"/>
          <w:highlight w:val="yellow"/>
          <w:lang w:val="en-US" w:eastAsia="zh-CN" w:bidi="ar-SA"/>
        </w:rPr>
        <w:t>集成式交通气象监测仪</w:t>
      </w:r>
      <w:r>
        <w:rPr>
          <w:rFonts w:ascii="Calibri" w:eastAsia="宋体" w:hAnsi="Calibri" w:cs="Times New Roman" w:hint="eastAsia"/>
          <w:kern w:val="2"/>
          <w:sz w:val="21"/>
          <w:szCs w:val="22"/>
          <w:highlight w:val="yellow"/>
          <w:lang w:val="en-US" w:eastAsia="zh-CN" w:bidi="ar-SA"/>
        </w:rPr>
        <w:t>按照相关数据要求生成标准格式数据，需满足通过约定的通信方式和数据协议，将数据上传至省级气象通信系统，在本省天擎进行解码、入库提供服务的同时，将数据上传至国家级气象通信系统，在国家级天擎进行解码、入库提供服务。</w:t>
      </w:r>
    </w:p>
    <w:p>
      <w:pPr>
        <w:adjustRightInd w:val="0"/>
        <w:snapToGrid w:val="0"/>
        <w:spacing w:line="360" w:lineRule="auto"/>
        <w:ind w:left="420"/>
        <w:rPr>
          <w:rFonts w:ascii="Times New Roman" w:eastAsia="宋体" w:hAnsi="Times New Roman" w:cs="Times New Roman"/>
          <w:b/>
        </w:rPr>
      </w:pPr>
      <w:r>
        <w:rPr>
          <w:rFonts w:ascii="Times New Roman" w:eastAsia="宋体" w:hAnsi="Times New Roman" w:cs="Times New Roman" w:hint="eastAsia"/>
          <w:b/>
        </w:rPr>
        <w:t>（3）运输</w:t>
      </w:r>
    </w:p>
    <w:p>
      <w:pPr>
        <w:widowControl w:val="0"/>
        <w:spacing w:after="120"/>
        <w:ind w:left="0" w:firstLine="420" w:leftChars="0" w:firstLineChars="200"/>
        <w:jc w:val="both"/>
        <w:rPr>
          <w:rFonts w:ascii="Times New Roman" w:eastAsia="宋体" w:hAnsi="Times New Roman" w:cs="Times New Roman"/>
          <w:highlight w:val="yellow"/>
        </w:rPr>
      </w:pPr>
      <w:r>
        <w:rPr>
          <w:rFonts w:ascii="Times New Roman" w:eastAsia="宋体" w:hAnsi="Times New Roman" w:cs="Times New Roman" w:hint="eastAsia"/>
          <w:kern w:val="2"/>
          <w:sz w:val="21"/>
          <w:szCs w:val="22"/>
          <w:highlight w:val="yellow"/>
          <w:lang w:val="en-US" w:eastAsia="zh-CN" w:bidi="ar-SA"/>
        </w:rPr>
        <w:t>供应商将所有设备运送到招标人指定地点（运输相关费用由供应商负责），并负责基建、安装调试。</w:t>
      </w:r>
    </w:p>
    <w:p>
      <w:pPr>
        <w:adjustRightInd w:val="0"/>
        <w:snapToGrid w:val="0"/>
        <w:spacing w:line="360" w:lineRule="auto"/>
        <w:ind w:left="420"/>
        <w:rPr>
          <w:rFonts w:ascii="Times New Roman" w:eastAsia="宋体" w:hAnsi="Times New Roman" w:cs="Times New Roman"/>
          <w:b/>
        </w:rPr>
      </w:pPr>
      <w:r>
        <w:rPr>
          <w:rFonts w:ascii="Times New Roman" w:eastAsia="宋体" w:hAnsi="Times New Roman" w:cs="Times New Roman" w:hint="eastAsia"/>
          <w:b/>
        </w:rPr>
        <w:t>（4）技术服务和保修责任方式</w:t>
      </w:r>
    </w:p>
    <w:p>
      <w:pPr>
        <w:tabs>
          <w:tab w:val="left" w:pos="1573"/>
        </w:tabs>
        <w:adjustRightInd w:val="0"/>
        <w:snapToGrid w:val="0"/>
        <w:spacing w:line="360" w:lineRule="auto"/>
        <w:ind w:left="840"/>
        <w:rPr>
          <w:rFonts w:ascii="宋体" w:eastAsia="宋体" w:hAnsi="宋体" w:cs="Times New Roman"/>
          <w:szCs w:val="21"/>
        </w:rPr>
      </w:pPr>
      <w:r>
        <w:rPr>
          <w:rFonts w:ascii="宋体" w:eastAsia="宋体" w:hAnsi="宋体" w:cs="Times New Roman" w:hint="eastAsia"/>
          <w:szCs w:val="21"/>
        </w:rPr>
        <w:t>1）乙方对合同货物的质量保修期为验收报告签署之日起96 个月。</w:t>
      </w:r>
    </w:p>
    <w:p>
      <w:pPr>
        <w:tabs>
          <w:tab w:val="left" w:pos="1573"/>
        </w:tabs>
        <w:adjustRightInd w:val="0"/>
        <w:snapToGrid w:val="0"/>
        <w:spacing w:line="360" w:lineRule="auto"/>
        <w:ind w:left="840"/>
        <w:rPr>
          <w:rFonts w:ascii="宋体" w:eastAsia="宋体" w:hAnsi="宋体" w:cs="Times New Roman"/>
          <w:szCs w:val="21"/>
        </w:rPr>
      </w:pPr>
      <w:r>
        <w:rPr>
          <w:rFonts w:ascii="宋体" w:eastAsia="宋体" w:hAnsi="宋体" w:cs="Times New Roman" w:hint="eastAsia"/>
          <w:szCs w:val="21"/>
        </w:rPr>
        <w:t>2）在保修期内，如果设备发生故障，乙方将调查故障原因及修复情况及时上报甲方。</w:t>
      </w:r>
    </w:p>
    <w:p>
      <w:pPr>
        <w:tabs>
          <w:tab w:val="left" w:pos="1573"/>
        </w:tabs>
        <w:adjustRightInd w:val="0"/>
        <w:snapToGrid w:val="0"/>
        <w:spacing w:line="360" w:lineRule="auto"/>
        <w:ind w:left="840"/>
        <w:rPr>
          <w:rFonts w:ascii="宋体" w:eastAsia="宋体" w:hAnsi="宋体" w:cs="Times New Roman" w:hint="eastAsia"/>
          <w:szCs w:val="21"/>
          <w:highlight w:val="yellow"/>
        </w:rPr>
      </w:pPr>
      <w:r>
        <w:rPr>
          <w:rFonts w:ascii="宋体" w:eastAsia="宋体" w:hAnsi="宋体" w:cs="Times New Roman" w:hint="eastAsia"/>
          <w:color w:val="FF0000"/>
          <w:szCs w:val="21"/>
        </w:rPr>
        <w:t>3）</w:t>
      </w:r>
      <w:r>
        <w:rPr>
          <w:rFonts w:ascii="宋体" w:eastAsia="宋体" w:hAnsi="宋体" w:cs="Times New Roman" w:hint="eastAsia"/>
          <w:szCs w:val="21"/>
          <w:highlight w:val="yellow"/>
        </w:rPr>
        <w:t>乙方承诺在</w:t>
      </w:r>
      <w:r>
        <w:rPr>
          <w:rFonts w:ascii="宋体" w:eastAsia="宋体" w:hAnsi="宋体" w:cs="Times New Roman" w:hint="eastAsia"/>
          <w:color w:val="FF0000"/>
          <w:szCs w:val="21"/>
          <w:highlight w:val="yellow"/>
        </w:rPr>
        <w:t>质保期内</w:t>
      </w:r>
      <w:r>
        <w:rPr>
          <w:rFonts w:ascii="宋体" w:eastAsia="宋体" w:hAnsi="宋体" w:cs="Times New Roman" w:hint="eastAsia"/>
          <w:szCs w:val="21"/>
          <w:highlight w:val="yellow"/>
        </w:rPr>
        <w:t>为甲方提供免费7天×24小时技术支持服务。当货物遭到损坏或出现故障时，要在用户报修之时起</w:t>
      </w:r>
      <w:r>
        <w:rPr>
          <w:rFonts w:ascii="宋体" w:eastAsia="宋体" w:hAnsi="宋体" w:cs="Times New Roman" w:hint="eastAsia"/>
          <w:szCs w:val="21"/>
          <w:highlight w:val="yellow"/>
          <w:lang w:val="en-US" w:eastAsia="zh-CN"/>
        </w:rPr>
        <w:t>1</w:t>
      </w:r>
      <w:r>
        <w:rPr>
          <w:rFonts w:ascii="宋体" w:eastAsia="宋体" w:hAnsi="宋体" w:cs="Times New Roman" w:hint="eastAsia"/>
          <w:szCs w:val="21"/>
          <w:highlight w:val="yellow"/>
        </w:rPr>
        <w:t>小时内做出响应，</w:t>
      </w:r>
      <w:r>
        <w:rPr>
          <w:rFonts w:ascii="宋体" w:eastAsia="宋体" w:hAnsi="宋体" w:cs="Times New Roman" w:hint="eastAsia"/>
          <w:szCs w:val="21"/>
          <w:highlight w:val="yellow"/>
          <w:lang w:val="en-US" w:eastAsia="zh-CN"/>
        </w:rPr>
        <w:t>24小时内</w:t>
      </w:r>
      <w:r>
        <w:rPr>
          <w:rFonts w:ascii="宋体" w:eastAsia="宋体" w:hAnsi="宋体" w:cs="Times New Roman" w:hint="eastAsia"/>
          <w:szCs w:val="21"/>
          <w:highlight w:val="yellow"/>
        </w:rPr>
        <w:t>开展维修维护工作，到场维修或更换有缺陷的设备或部件，设备</w:t>
      </w:r>
      <w:r>
        <w:rPr>
          <w:rFonts w:ascii="宋体" w:eastAsia="宋体" w:hAnsi="宋体" w:cs="Times New Roman" w:hint="eastAsia"/>
          <w:szCs w:val="21"/>
          <w:highlight w:val="yellow"/>
          <w:lang w:val="en-US" w:eastAsia="zh-CN"/>
        </w:rPr>
        <w:t>在36小时内</w:t>
      </w:r>
      <w:r>
        <w:rPr>
          <w:rFonts w:ascii="宋体" w:eastAsia="宋体" w:hAnsi="宋体" w:cs="Times New Roman" w:hint="eastAsia"/>
          <w:szCs w:val="21"/>
          <w:highlight w:val="yellow"/>
        </w:rPr>
        <w:t>恢复正常运行时限。前述维修更换产生的所有费用由乙方自行承担；逾期未完成的，甲方有权自行或委托第三方维修，产生的全部费用由乙方承担，甲方可直接从应付乙方款项或履约保证金中扣除。</w:t>
      </w:r>
    </w:p>
    <w:p>
      <w:pPr>
        <w:tabs>
          <w:tab w:val="left" w:pos="1573"/>
        </w:tabs>
        <w:adjustRightInd w:val="0"/>
        <w:snapToGrid w:val="0"/>
        <w:spacing w:line="360" w:lineRule="auto"/>
        <w:ind w:left="840"/>
        <w:rPr>
          <w:rFonts w:ascii="宋体" w:eastAsia="宋体" w:hAnsi="宋体" w:cs="Times New Roman" w:hint="eastAsia"/>
          <w:szCs w:val="21"/>
          <w:highlight w:val="yellow"/>
        </w:rPr>
      </w:pPr>
      <w:r>
        <w:rPr>
          <w:rFonts w:ascii="宋体" w:eastAsia="宋体" w:hAnsi="宋体" w:cs="Times New Roman" w:hint="eastAsia"/>
          <w:szCs w:val="21"/>
          <w:highlight w:val="yellow"/>
          <w:lang w:eastAsia="zh-CN"/>
        </w:rPr>
        <w:t>4</w:t>
      </w:r>
      <w:r>
        <w:rPr>
          <w:rFonts w:ascii="宋体" w:eastAsia="宋体" w:hAnsi="宋体" w:cs="Times New Roman" w:hint="eastAsia"/>
          <w:szCs w:val="21"/>
          <w:highlight w:val="yellow"/>
        </w:rPr>
        <w:t>)在质量保证期内，如果设备的质量或规格与合同不符，或证实设备是有缺陷的，包括潜在的缺陷或使用不符合要求的材料等，甲方有权自行或委托第三方维修，产生的全部费用由乙方承担，甲方可直接从应付乙方款项或履约保证金中扣除。</w:t>
      </w:r>
    </w:p>
    <w:p>
      <w:pPr>
        <w:tabs>
          <w:tab w:val="left" w:pos="1573"/>
        </w:tabs>
        <w:adjustRightInd w:val="0"/>
        <w:snapToGrid w:val="0"/>
        <w:spacing w:line="360" w:lineRule="auto"/>
        <w:ind w:left="840"/>
        <w:rPr>
          <w:rFonts w:ascii="宋体" w:eastAsia="宋体" w:hAnsi="宋体" w:cs="Times New Roman" w:hint="eastAsia"/>
          <w:szCs w:val="21"/>
          <w:highlight w:val="yellow"/>
        </w:rPr>
      </w:pPr>
      <w:r>
        <w:rPr>
          <w:rFonts w:ascii="宋体" w:eastAsia="宋体" w:hAnsi="宋体" w:cs="Times New Roman" w:hint="eastAsia"/>
          <w:szCs w:val="21"/>
          <w:highlight w:val="yellow"/>
          <w:lang w:eastAsia="zh-CN"/>
        </w:rPr>
        <w:t>5</w:t>
      </w:r>
      <w:r>
        <w:rPr>
          <w:rFonts w:ascii="宋体" w:eastAsia="宋体" w:hAnsi="宋体" w:cs="Times New Roman" w:hint="eastAsia"/>
          <w:szCs w:val="21"/>
          <w:highlight w:val="yellow"/>
        </w:rPr>
        <w:t>)乙方在约定的时间内未能弥补缺陷，甲方可采取必要的补救措施，但其风险和费用将由乙方承担，甲方根据合同约定对乙方行使的其他权利不受影响。</w:t>
      </w:r>
    </w:p>
    <w:p>
      <w:pPr>
        <w:tabs>
          <w:tab w:val="left" w:pos="1573"/>
        </w:tabs>
        <w:adjustRightInd w:val="0"/>
        <w:snapToGrid w:val="0"/>
        <w:spacing w:line="360" w:lineRule="auto"/>
        <w:ind w:left="840"/>
        <w:rPr>
          <w:rFonts w:ascii="宋体" w:eastAsia="宋体" w:hAnsi="宋体" w:cs="Times New Roman" w:hint="eastAsia"/>
          <w:color w:val="FF0000"/>
          <w:szCs w:val="21"/>
          <w:highlight w:val="yellow"/>
        </w:rPr>
      </w:pPr>
      <w:r>
        <w:rPr>
          <w:rFonts w:ascii="宋体" w:eastAsia="宋体" w:hAnsi="宋体" w:cs="Times New Roman" w:hint="eastAsia"/>
          <w:szCs w:val="21"/>
          <w:highlight w:val="yellow"/>
          <w:lang w:val="en-US" w:eastAsia="zh-CN"/>
        </w:rPr>
        <w:t>6</w:t>
      </w:r>
      <w:r>
        <w:rPr>
          <w:rFonts w:ascii="宋体" w:eastAsia="宋体" w:hAnsi="宋体" w:cs="Times New Roman" w:hint="eastAsia"/>
          <w:szCs w:val="21"/>
          <w:highlight w:val="yellow"/>
        </w:rPr>
        <w:t>）质保期内提供</w:t>
      </w:r>
      <w:r>
        <w:rPr>
          <w:rFonts w:ascii="宋体" w:eastAsia="宋体" w:hAnsi="宋体" w:cs="Times New Roman" w:hint="eastAsia"/>
          <w:szCs w:val="21"/>
          <w:highlight w:val="yellow"/>
          <w:lang w:val="en-US" w:eastAsia="zh-CN"/>
        </w:rPr>
        <w:t>1</w:t>
      </w:r>
      <w:r>
        <w:rPr>
          <w:rFonts w:ascii="宋体" w:eastAsia="宋体" w:hAnsi="宋体" w:cs="Times New Roman" w:hint="eastAsia"/>
          <w:szCs w:val="21"/>
          <w:highlight w:val="yellow"/>
        </w:rPr>
        <w:t xml:space="preserve"> 次现场培训和</w:t>
      </w:r>
      <w:r>
        <w:rPr>
          <w:rFonts w:ascii="宋体" w:eastAsia="宋体" w:hAnsi="宋体" w:cs="Times New Roman" w:hint="eastAsia"/>
          <w:szCs w:val="21"/>
          <w:highlight w:val="yellow"/>
          <w:lang w:val="en-US" w:eastAsia="zh-CN"/>
        </w:rPr>
        <w:t>1</w:t>
      </w:r>
      <w:r>
        <w:rPr>
          <w:rFonts w:ascii="宋体" w:eastAsia="宋体" w:hAnsi="宋体" w:cs="Times New Roman" w:hint="eastAsia"/>
          <w:szCs w:val="21"/>
          <w:highlight w:val="yellow"/>
        </w:rPr>
        <w:t>次集中培训</w:t>
      </w:r>
      <w:r>
        <w:rPr>
          <w:rFonts w:ascii="宋体" w:eastAsia="宋体" w:hAnsi="宋体" w:cs="Times New Roman" w:hint="eastAsia"/>
          <w:szCs w:val="21"/>
          <w:highlight w:val="yellow"/>
          <w:lang w:eastAsia="zh-CN"/>
        </w:rPr>
        <w:t>。</w:t>
      </w:r>
    </w:p>
    <w:p>
      <w:pPr>
        <w:adjustRightInd w:val="0"/>
        <w:snapToGrid w:val="0"/>
        <w:spacing w:line="360" w:lineRule="auto"/>
        <w:ind w:left="420"/>
        <w:rPr>
          <w:rFonts w:ascii="Times New Roman" w:eastAsia="宋体" w:hAnsi="Times New Roman" w:cs="Times New Roman"/>
          <w:b/>
        </w:rPr>
      </w:pPr>
      <w:r>
        <w:rPr>
          <w:rFonts w:ascii="Times New Roman" w:eastAsia="宋体" w:hAnsi="Times New Roman" w:cs="Times New Roman" w:hint="eastAsia"/>
          <w:b/>
        </w:rPr>
        <w:t>（5）安全生产责任</w:t>
      </w:r>
    </w:p>
    <w:p>
      <w:pPr>
        <w:tabs>
          <w:tab w:val="left" w:pos="1573"/>
        </w:tabs>
        <w:adjustRightInd w:val="0"/>
        <w:snapToGrid w:val="0"/>
        <w:spacing w:line="360" w:lineRule="auto"/>
        <w:ind w:left="840" w:leftChars="0"/>
        <w:rPr>
          <w:rFonts w:ascii="宋体" w:eastAsia="宋体" w:hAnsi="宋体" w:cs="Times New Roman" w:hint="eastAsia"/>
          <w:color w:val="FF0000"/>
          <w:szCs w:val="21"/>
          <w:highlight w:val="none"/>
        </w:rPr>
      </w:pPr>
      <w:r>
        <w:rPr>
          <w:rFonts w:ascii="宋体" w:eastAsia="宋体" w:hAnsi="宋体" w:cs="Times New Roman" w:hint="eastAsia"/>
          <w:szCs w:val="21"/>
          <w:highlight w:val="none"/>
          <w:lang w:val="en-US" w:eastAsia="zh-CN"/>
        </w:rPr>
        <w:t>1</w:t>
      </w:r>
      <w:r>
        <w:rPr>
          <w:rFonts w:ascii="宋体" w:eastAsia="宋体" w:hAnsi="宋体" w:cs="Times New Roman" w:hint="eastAsia"/>
          <w:szCs w:val="21"/>
          <w:highlight w:val="none"/>
          <w:lang w:eastAsia="zh-CN"/>
        </w:rPr>
        <w:t>）</w:t>
      </w:r>
      <w:r>
        <w:rPr>
          <w:rFonts w:ascii="宋体" w:eastAsia="宋体" w:hAnsi="宋体" w:cs="Times New Roman" w:hint="eastAsia"/>
          <w:color w:val="FF0000"/>
          <w:szCs w:val="21"/>
          <w:highlight w:val="none"/>
        </w:rPr>
        <w:t>乙方是施工期间安全生产的直接责任人 。对其员工、设备、操作过程负全责。</w:t>
      </w:r>
    </w:p>
    <w:p>
      <w:pPr>
        <w:tabs>
          <w:tab w:val="left" w:pos="1573"/>
        </w:tabs>
        <w:adjustRightInd w:val="0"/>
        <w:snapToGrid w:val="0"/>
        <w:spacing w:line="360" w:lineRule="auto"/>
        <w:ind w:left="840" w:leftChars="0"/>
        <w:rPr>
          <w:rFonts w:ascii="宋体" w:eastAsia="宋体" w:hAnsi="宋体" w:cs="Times New Roman" w:hint="eastAsia"/>
          <w:color w:val="FF0000"/>
          <w:szCs w:val="21"/>
          <w:highlight w:val="none"/>
        </w:rPr>
      </w:pPr>
      <w:r>
        <w:rPr>
          <w:rFonts w:ascii="宋体" w:eastAsia="宋体" w:hAnsi="宋体" w:cs="Times New Roman" w:hint="eastAsia"/>
          <w:color w:val="FF0000"/>
          <w:szCs w:val="21"/>
          <w:highlight w:val="none"/>
        </w:rPr>
        <w:t>一切损失由乙方承担 。施工期间，因乙方原因（包括设备缺陷、操作失误等）导致任何人员伤亡、甲方或第三方财产损失，全部赔偿和法律责任由乙方独立承担 。</w:t>
      </w:r>
    </w:p>
    <w:p>
      <w:pPr>
        <w:tabs>
          <w:tab w:val="left" w:pos="1573"/>
        </w:tabs>
        <w:adjustRightInd w:val="0"/>
        <w:snapToGrid w:val="0"/>
        <w:spacing w:line="360" w:lineRule="auto"/>
        <w:ind w:left="840" w:leftChars="0"/>
        <w:rPr>
          <w:rFonts w:ascii="宋体" w:eastAsia="宋体" w:hAnsi="宋体" w:cs="Times New Roman" w:hint="eastAsia"/>
          <w:color w:val="FF0000"/>
          <w:szCs w:val="21"/>
          <w:highlight w:val="none"/>
        </w:rPr>
      </w:pPr>
      <w:r>
        <w:rPr>
          <w:rFonts w:ascii="宋体" w:eastAsia="宋体" w:hAnsi="宋体" w:cs="Times New Roman" w:hint="eastAsia"/>
          <w:szCs w:val="21"/>
          <w:highlight w:val="none"/>
          <w:lang w:val="en-US" w:eastAsia="zh-CN"/>
        </w:rPr>
        <w:t>2</w:t>
      </w:r>
      <w:r>
        <w:rPr>
          <w:rFonts w:ascii="宋体" w:eastAsia="宋体" w:hAnsi="宋体" w:cs="Times New Roman" w:hint="eastAsia"/>
          <w:szCs w:val="21"/>
          <w:highlight w:val="none"/>
          <w:lang w:eastAsia="zh-CN"/>
        </w:rPr>
        <w:t>）</w:t>
      </w:r>
      <w:r>
        <w:rPr>
          <w:rFonts w:ascii="宋体" w:eastAsia="宋体" w:hAnsi="宋体" w:cs="Times New Roman" w:hint="eastAsia"/>
          <w:color w:val="FF0000"/>
          <w:szCs w:val="21"/>
          <w:highlight w:val="none"/>
        </w:rPr>
        <w:t>甲方发现安全隐患有权要求乙方立即停工整改，但此监督权不减轻或转移乙方的任何安全责任 。</w:t>
      </w:r>
    </w:p>
    <w:p>
      <w:pPr>
        <w:tabs>
          <w:tab w:val="left" w:pos="1573"/>
        </w:tabs>
        <w:adjustRightInd w:val="0"/>
        <w:snapToGrid w:val="0"/>
        <w:spacing w:line="360" w:lineRule="auto"/>
        <w:ind w:left="840" w:leftChars="0"/>
        <w:rPr>
          <w:rFonts w:ascii="宋体" w:eastAsia="宋体" w:hAnsi="宋体" w:cs="Times New Roman" w:hint="eastAsia"/>
          <w:color w:val="FF0000"/>
          <w:szCs w:val="21"/>
          <w:highlight w:val="none"/>
        </w:rPr>
      </w:pPr>
      <w:r>
        <w:rPr>
          <w:rFonts w:ascii="宋体" w:eastAsia="宋体" w:hAnsi="宋体" w:cs="Times New Roman" w:hint="eastAsia"/>
          <w:szCs w:val="21"/>
          <w:highlight w:val="none"/>
          <w:lang w:val="en-US" w:eastAsia="zh-CN"/>
        </w:rPr>
        <w:t>3</w:t>
      </w:r>
      <w:r>
        <w:rPr>
          <w:rFonts w:ascii="宋体" w:eastAsia="宋体" w:hAnsi="宋体" w:cs="Times New Roman" w:hint="eastAsia"/>
          <w:szCs w:val="21"/>
          <w:highlight w:val="none"/>
          <w:lang w:eastAsia="zh-CN"/>
        </w:rPr>
        <w:t>）</w:t>
      </w:r>
      <w:r>
        <w:rPr>
          <w:rFonts w:ascii="宋体" w:eastAsia="宋体" w:hAnsi="宋体" w:cs="Times New Roman" w:hint="eastAsia"/>
          <w:color w:val="FF0000"/>
          <w:szCs w:val="21"/>
          <w:highlight w:val="none"/>
        </w:rPr>
        <w:t>特别保障 ：乙方同意，若发生上述安全事故，甲方有权从应付乙方的任何款项（包括但不限于质保金、尾款）中直接扣除 相应金额用于支付赔偿或处理事故，并有权要求乙方立即补足扣款部分。</w:t>
      </w:r>
    </w:p>
    <w:p>
      <w:pPr>
        <w:tabs>
          <w:tab w:val="left" w:pos="1573"/>
        </w:tabs>
        <w:adjustRightInd w:val="0"/>
        <w:snapToGrid w:val="0"/>
        <w:spacing w:line="360" w:lineRule="auto"/>
        <w:ind w:left="840" w:leftChars="0"/>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4</w:t>
      </w:r>
      <w:r>
        <w:rPr>
          <w:rFonts w:ascii="宋体" w:eastAsia="宋体" w:hAnsi="宋体" w:cs="Times New Roman" w:hint="eastAsia"/>
          <w:szCs w:val="21"/>
          <w:highlight w:val="none"/>
          <w:lang w:eastAsia="zh-CN"/>
        </w:rPr>
        <w:t>）</w:t>
      </w:r>
      <w:r>
        <w:rPr>
          <w:rFonts w:ascii="宋体" w:eastAsia="宋体" w:hAnsi="宋体" w:cs="Times New Roman" w:hint="eastAsia"/>
          <w:color w:val="FF0000"/>
          <w:szCs w:val="21"/>
          <w:highlight w:val="none"/>
        </w:rPr>
        <w:t>基础保障 ：乙方承诺其具备完成本合同项目的法定资质及安全生产条件。</w:t>
      </w:r>
    </w:p>
    <w:p>
      <w:pPr>
        <w:adjustRightInd w:val="0"/>
        <w:snapToGrid w:val="0"/>
        <w:spacing w:line="400" w:lineRule="exact"/>
        <w:ind w:left="420"/>
        <w:rPr>
          <w:rFonts w:ascii="宋体" w:eastAsia="宋体" w:hAnsi="宋体" w:cs="Times New Roman"/>
          <w:bCs/>
          <w:szCs w:val="21"/>
        </w:rPr>
      </w:pPr>
      <w:r>
        <w:rPr>
          <w:rFonts w:ascii="宋体" w:eastAsia="宋体" w:hAnsi="宋体" w:cs="Times New Roman" w:hint="eastAsia"/>
          <w:bCs/>
          <w:szCs w:val="21"/>
        </w:rPr>
        <w:t>（6）验收组织方式：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履约验收时间：</w:t>
      </w:r>
      <w:r>
        <w:rPr>
          <w:rFonts w:ascii="宋体" w:eastAsia="宋体" w:hAnsi="宋体" w:cs="Times New Roman" w:hint="eastAsia"/>
          <w:bCs/>
          <w:szCs w:val="21"/>
          <w:u w:val="single"/>
        </w:rPr>
        <w:t xml:space="preserve">（计划于何时验收/供应商提出验收申请之日起   日内组织验收） </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履约验收程序：</w:t>
      </w:r>
      <w:r>
        <w:rPr>
          <w:rFonts w:ascii="宋体" w:eastAsia="宋体" w:hAnsi="宋体" w:cs="Times New Roman" w:hint="eastAsia"/>
          <w:bCs/>
          <w:szCs w:val="21"/>
          <w:u w:val="single"/>
        </w:rPr>
        <w:t xml:space="preserve">                                         </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735" w:firstLineChars="350"/>
        <w:rPr>
          <w:rFonts w:ascii="宋体" w:eastAsia="宋体" w:hAnsi="宋体" w:cs="Times New Roman"/>
          <w:bCs/>
          <w:szCs w:val="21"/>
          <w:u w:val="single"/>
        </w:rPr>
      </w:pPr>
      <w:r>
        <w:rPr>
          <w:rFonts w:ascii="宋体" w:eastAsia="宋体" w:hAnsi="宋体" w:cs="Times New Roman" w:hint="eastAsia"/>
          <w:bCs/>
          <w:szCs w:val="21"/>
        </w:rPr>
        <w:t>履约验收标准：</w:t>
      </w:r>
      <w:r>
        <w:rPr>
          <w:rFonts w:ascii="宋体" w:eastAsia="宋体" w:hAnsi="宋体" w:cs="Times New Roman" w:hint="eastAsia"/>
          <w:bCs/>
          <w:szCs w:val="21"/>
          <w:u w:val="single"/>
        </w:rPr>
        <w:t xml:space="preserve">                                         </w:t>
      </w:r>
    </w:p>
    <w:p>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735" w:firstLineChars="350"/>
        <w:rPr>
          <w:rFonts w:ascii="宋体" w:eastAsia="宋体" w:hAnsi="宋体" w:cs="宋体"/>
          <w:bCs/>
          <w:szCs w:val="21"/>
          <w:u w:val="single"/>
        </w:rPr>
      </w:pPr>
      <w:r>
        <w:rPr>
          <w:rFonts w:ascii="宋体" w:eastAsia="宋体" w:hAnsi="宋体" w:cs="宋体" w:hint="eastAsia"/>
          <w:bCs/>
          <w:szCs w:val="21"/>
        </w:rPr>
        <w:t>履约验收其他事项：</w:t>
      </w:r>
      <w:r>
        <w:rPr>
          <w:rFonts w:ascii="宋体" w:eastAsia="宋体" w:hAnsi="宋体" w:cs="宋体" w:hint="eastAsia"/>
          <w:bCs/>
          <w:szCs w:val="21"/>
          <w:u w:val="single"/>
        </w:rPr>
        <w:t xml:space="preserve">      （产权过户登记等）          </w:t>
      </w:r>
    </w:p>
    <w:p>
      <w:pPr>
        <w:numPr>
          <w:ilvl w:val="0"/>
          <w:numId w:val="0"/>
        </w:numPr>
        <w:adjustRightInd w:val="0"/>
        <w:snapToGrid w:val="0"/>
        <w:spacing w:line="400" w:lineRule="exact"/>
        <w:rPr>
          <w:rFonts w:ascii="宋体" w:hAnsi="宋体"/>
          <w:b/>
          <w:szCs w:val="21"/>
          <w:highlight w:val="none"/>
        </w:rPr>
      </w:pP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4"/>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5"/>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6"/>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7"/>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8"/>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8"/>
        </w:numPr>
        <w:spacing w:line="360" w:lineRule="auto"/>
        <w:ind w:firstLine="3066" w:firstLineChars="1460"/>
        <w:jc w:val="left"/>
        <w:rPr>
          <w:rFonts w:hint="eastAsia"/>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DejaVu Sans"/>
    <w:panose1 w:val="02020603050405020304"/>
    <w:charset w:val="CC"/>
    <w:family w:val="roman"/>
    <w:pitch w:val="variable"/>
    <w:sig w:usb0="00000000" w:usb1="00000000" w:usb2="00000009" w:usb3="00000000" w:csb0="400001FF" w:csb1="FFFF0000"/>
  </w:font>
  <w:font w:name="宋体">
    <w:altName w:val="方正书宋_GBK"/>
    <w:panose1 w:val="00000000000000000000"/>
    <w:charset w:val="86"/>
    <w:family w:val="auto"/>
    <w:pitch w:val="variable"/>
    <w:sig w:usb0="00000000" w:usb1="00000000" w:usb2="00000000" w:usb3="00000000" w:csb0="00040001" w:csb1="00000000"/>
  </w:font>
  <w:font w:name="Wingdings">
    <w:altName w:val="DaHao"/>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variable"/>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DaHao"/>
    <w:panose1 w:val="02000609000000000000"/>
    <w:charset w:val="02"/>
    <w:family w:val="roman"/>
    <w:pitch w:val="variable"/>
    <w:sig w:usb0="800000AF" w:usb1="4000204A" w:usb2="00000000" w:usb3="00000000" w:csb0="A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variable"/>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微软雅黑">
    <w:altName w:val="方正黑体_GBK"/>
    <w:panose1 w:val="020B0503020204020204"/>
    <w:charset w:val="86"/>
    <w:family w:val="swiss"/>
    <w:pitch w:val="default"/>
    <w:sig w:usb0="00000000" w:usb1="00000000" w:usb2="00000016" w:usb3="00000000" w:csb0="0004001F" w:csb1="00000000"/>
  </w:font>
  <w:font w:name="Tahoma">
    <w:altName w:val="DejaVu Sans"/>
    <w:panose1 w:val="020B0604030504040204"/>
    <w:charset w:val="00"/>
    <w:family w:val="swiss"/>
    <w:pitch w:val="default"/>
    <w:sig w:usb0="00000000" w:usb1="00000000" w:usb2="00000029" w:usb3="00000000" w:csb0="200101FF" w:csb1="20280000"/>
  </w:font>
  <w:font w:name="华文楷体">
    <w:altName w:val="方正楷体_GBK"/>
    <w:panose1 w:val="02010600040101010101"/>
    <w:charset w:val="86"/>
    <w:family w:val="auto"/>
    <w:pitch w:val="default"/>
    <w:sig w:usb0="00000000" w:usb1="00000000" w:usb2="00000000" w:usb3="00000000" w:csb0="0004009F" w:csb1="DFD70000"/>
  </w:font>
  <w:font w:name="方正楷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华文仿宋">
    <w:altName w:val="汉仪仿宋简"/>
    <w:panose1 w:val="02010600040101010101"/>
    <w:charset w:val="86"/>
    <w:family w:val="auto"/>
    <w:pitch w:val="default"/>
    <w:sig w:usb0="00000000" w:usb1="00000000" w:usb2="00000000" w:usb3="00000000" w:csb0="0004009F" w:csb1="DFD70000"/>
  </w:font>
  <w:font w:name="汉仪仿宋简">
    <w:panose1 w:val="02010600000101010101"/>
    <w:charset w:val="86"/>
    <w:family w:val="auto"/>
    <w:pitch w:val="default"/>
    <w:sig w:usb0="00000001" w:usb1="080E0800" w:usb2="00000002" w:usb3="00000000" w:csb0="00040000" w:csb1="00000000"/>
  </w:font>
  <w:font w:name="仿宋">
    <w:altName w:val="方正仿宋_GBK"/>
    <w:panose1 w:val="02010609060101010101"/>
    <w:charset w:val="86"/>
    <w:family w:val="modern"/>
    <w:pitch w:val="fixed"/>
    <w:sig w:usb0="00000000" w:usb1="00000000" w:usb2="00000016" w:usb3="00000000" w:csb0="00040001" w:csb1="00000000"/>
  </w:font>
  <w:font w:name="拒绝">
    <w:altName w:val="思源宋体"/>
    <w:panose1 w:val="00000000000000000000"/>
    <w:charset w:val="86"/>
    <w:family w:val="roman"/>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楷体">
    <w:altName w:val="方正楷体_GBK"/>
    <w:panose1 w:val="02010609060101010101"/>
    <w:charset w:val="86"/>
    <w:family w:val="modern"/>
    <w:pitch w:val="default"/>
    <w:sig w:usb0="00000000" w:usb1="00000000"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汉仪书宋二S">
    <w:altName w:val="方正书宋_GBK"/>
    <w:panose1 w:val="00000000000000000000"/>
    <w:charset w:val="00"/>
    <w:family w:val="auto"/>
    <w:pitch w:val="default"/>
    <w:sig w:usb0="00000000" w:usb1="00000000" w:usb2="00000000" w:usb3="00000000" w:csb0="00000001" w:csb1="00000000"/>
  </w:font>
  <w:font w:name="文泉驿微米黑">
    <w:panose1 w:val="020B0606030804020204"/>
    <w:charset w:val="86"/>
    <w:family w:val="auto"/>
    <w:pitch w:val="default"/>
    <w:sig w:usb0="E10002EF" w:usb1="6BDFFCFB" w:usb2="00800036" w:usb3="00000000" w:csb0="603E019F" w:csb1="DFD70000"/>
  </w:font>
  <w:font w:name="方正仿宋">
    <w:altName w:val="仿宋"/>
    <w:panose1 w:val="02010600030101010101"/>
    <w:charset w:val="86"/>
    <w:family w:val="script"/>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方正小标宋简体">
    <w:altName w:val="方正舒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FreeSerif">
    <w:panose1 w:val="02020603050405020304"/>
    <w:charset w:val="00"/>
    <w:family w:val="auto"/>
    <w:pitch w:val="default"/>
    <w:sig w:usb0="E59FAFFF" w:usb1="C200FDFF" w:usb2="43501B29" w:usb3="04000043" w:csb0="600101FF" w:csb1="FFFF0000"/>
  </w:font>
  <w:font w:name="DaHao">
    <w:panose1 w:val="03000509000000000000"/>
    <w:charset w:val="86"/>
    <w:family w:val="auto"/>
    <w:pitch w:val="default"/>
    <w:sig w:usb0="00000001" w:usb1="080E0000" w:usb2="00000000" w:usb3="00000000" w:csb0="003C0041" w:csb1="A00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53E904F">
    <w:pPr>
      <w:pStyle w:val="Footer"/>
      <w:jc w:val="center"/>
    </w:pPr>
    <w:r>
      <w:fldChar w:fldCharType="begin"/>
    </w:r>
    <w:r>
      <w:instrText xml:space="preserve"> PAGE   \* MERGEFORMAT </w:instrText>
    </w:r>
    <w:r>
      <w:fldChar w:fldCharType="separate"/>
    </w:r>
    <w:r>
      <w:rPr>
        <w:lang w:val="zh-CN"/>
      </w:rPr>
      <w:t>1</w:t>
    </w:r>
    <w:r>
      <w:fldChar w:fldCharType="end"/>
    </w:r>
  </w:p>
  <w:p w14:paraId="506DC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DC789">
    <w:pPr>
      <w:pStyle w:val="Footer"/>
      <w:jc w:val="center"/>
    </w:pPr>
    <w:r>
      <w:fldChar w:fldCharType="begin"/>
    </w:r>
    <w:r>
      <w:instrText xml:space="preserve"> PAGE   \* MERGEFORMAT </w:instrText>
    </w:r>
    <w:r>
      <w:fldChar w:fldCharType="separate"/>
    </w:r>
    <w:r>
      <w:rPr>
        <w:lang w:val="zh-CN"/>
      </w:rPr>
      <w:t>71</w:t>
    </w:r>
    <w:r>
      <w:fldChar w:fldCharType="end"/>
    </w:r>
  </w:p>
  <w:p w14:paraId="48673C4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85904D">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534A9D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8F653B3"/>
    <w:multiLevelType w:val="singleLevel"/>
    <w:tmpl w:val="88F653B3"/>
    <w:lvl w:ilvl="0">
      <w:start w:val="4"/>
      <w:numFmt w:val="chineseCounting"/>
      <w:suff w:val="nothing"/>
      <w:lvlText w:val="%1、"/>
      <w:lvlJc w:val="left"/>
      <w:rPr>
        <w:rFonts w:hint="eastAsia"/>
      </w:rPr>
    </w:lvl>
  </w:abstractNum>
  <w:abstractNum w:abstractNumId="1">
    <w:nsid w:val="A87AE6D4"/>
    <w:multiLevelType w:val="singleLevel"/>
    <w:tmpl w:val="A87AE6D4"/>
    <w:lvl w:ilvl="0">
      <w:start w:val="2"/>
      <w:numFmt w:val="chineseCounting"/>
      <w:suff w:val="space"/>
      <w:lvlText w:val="(%1)"/>
      <w:lvlJc w:val="left"/>
      <w:rPr>
        <w:rFonts w:hint="eastAsia"/>
      </w:rPr>
    </w:lvl>
  </w:abstractNum>
  <w:abstractNum w:abstractNumId="2">
    <w:nsid w:val="BF6BC116"/>
    <w:multiLevelType w:val="singleLevel"/>
    <w:tmpl w:val="BF6BC116"/>
    <w:lvl w:ilvl="0">
      <w:start w:val="16"/>
      <w:numFmt w:val="decimal"/>
      <w:suff w:val="space"/>
      <w:lvlText w:val="%1."/>
      <w:lvlJc w:val="left"/>
    </w:lvl>
  </w:abstractNum>
  <w:abstractNum w:abstractNumId="3">
    <w:nsid w:val="CFE7C3F8"/>
    <w:multiLevelType w:val="multilevel"/>
    <w:tmpl w:val="CFE7C3F8"/>
    <w:lvl w:ilvl="0">
      <w:start w:val="1"/>
      <w:numFmt w:val="decimal"/>
      <w:suff w:val="nothing"/>
      <w:lvlText w:val="（%1）"/>
      <w:lvlJc w:val="left"/>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DDECD3BC"/>
    <w:multiLevelType w:val="singleLevel"/>
    <w:tmpl w:val="DDECD3BC"/>
    <w:lvl w:ilvl="0">
      <w:start w:val="6"/>
      <w:numFmt w:val="decimal"/>
      <w:suff w:val="space"/>
      <w:lvlText w:val="%1."/>
      <w:lvlJc w:val="left"/>
    </w:lvl>
  </w:abstractNum>
  <w:abstractNum w:abstractNumId="5">
    <w:nsid w:val="DE759F4B"/>
    <w:multiLevelType w:val="singleLevel"/>
    <w:tmpl w:val="DE759F4B"/>
    <w:lvl w:ilvl="0">
      <w:start w:val="2"/>
      <w:numFmt w:val="decimal"/>
      <w:suff w:val="space"/>
      <w:lvlText w:val="%1."/>
      <w:lvlJc w:val="left"/>
    </w:lvl>
  </w:abstractNum>
  <w:abstractNum w:abstractNumId="6">
    <w:nsid w:val="DEABE1DB"/>
    <w:multiLevelType w:val="singleLevel"/>
    <w:tmpl w:val="DEABE1DB"/>
    <w:lvl w:ilvl="0">
      <w:start w:val="23"/>
      <w:numFmt w:val="decimal"/>
      <w:suff w:val="space"/>
      <w:lvlText w:val="%1."/>
      <w:lvlJc w:val="left"/>
    </w:lvl>
  </w:abstractNum>
  <w:abstractNum w:abstractNumId="7">
    <w:nsid w:val="EFF0EB14"/>
    <w:multiLevelType w:val="singleLevel"/>
    <w:tmpl w:val="EFF0EB14"/>
    <w:lvl w:ilvl="0">
      <w:start w:val="1"/>
      <w:numFmt w:val="decimal"/>
      <w:suff w:val="nothing"/>
      <w:lvlText w:val="（%1）"/>
      <w:lvlJc w:val="left"/>
    </w:lvl>
  </w:abstractNum>
  <w:abstractNum w:abstractNumId="8">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1530C5B"/>
    <w:multiLevelType w:val="singleLevel"/>
    <w:tmpl w:val="21530C5B"/>
    <w:lvl w:ilvl="0">
      <w:start w:val="1"/>
      <w:numFmt w:val="decimal"/>
      <w:lvlText w:val="%1)"/>
      <w:lvlJc w:val="left"/>
      <w:pPr>
        <w:ind w:left="562" w:hanging="420"/>
      </w:p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6307C022"/>
    <w:multiLevelType w:val="singleLevel"/>
    <w:tmpl w:val="6307C022"/>
    <w:lvl w:ilvl="0">
      <w:start w:val="1"/>
      <w:numFmt w:val="decimal"/>
      <w:suff w:val="nothing"/>
      <w:lvlText w:val="%1）"/>
      <w:lvlJc w:val="left"/>
    </w:lvl>
  </w:abstractNum>
  <w:abstractNum w:abstractNumId="16">
    <w:nsid w:val="71896B7A"/>
    <w:multiLevelType w:val="multilevel"/>
    <w:tmpl w:val="71896B7A"/>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17">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0"/>
  </w:num>
  <w:num w:numId="4">
    <w:abstractNumId w:val="1"/>
  </w:num>
  <w:num w:numId="5">
    <w:abstractNumId w:val="0"/>
  </w:num>
  <w:num w:numId="6">
    <w:abstractNumId w:val="7"/>
  </w:num>
  <w:num w:numId="7">
    <w:abstractNumId w:val="12"/>
  </w:num>
  <w:num w:numId="8">
    <w:abstractNumId w:val="14"/>
  </w:num>
  <w:num w:numId="9">
    <w:abstractNumId w:val="17"/>
  </w:num>
  <w:num w:numId="10">
    <w:abstractNumId w:val="3"/>
  </w:num>
  <w:num w:numId="11">
    <w:abstractNumId w:val="15"/>
  </w:num>
  <w:num w:numId="12">
    <w:abstractNumId w:val="11"/>
  </w:num>
  <w:num w:numId="13">
    <w:abstractNumId w:val="16"/>
  </w:num>
  <w:num w:numId="14">
    <w:abstractNumId w:val="5"/>
  </w:num>
  <w:num w:numId="15">
    <w:abstractNumId w:val="4"/>
  </w:num>
  <w:num w:numId="16">
    <w:abstractNumId w:val="13"/>
  </w:num>
  <w:num w:numId="17">
    <w:abstractNumId w:val="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documentProtection w:edit="trackedChanges" w:enforcement="0"/>
  <w:defaultTabStop w:val="420"/>
  <w:drawingGridHorizontalSpacing w:val="105"/>
  <w:drawingGridVerticalSpacing w:val="156"/>
  <w:noPunctuationKerning/>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2B0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6723"/>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1FD6F61C"/>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0" w:unhideWhenUsed="0" w:qFormat="1"/>
    <w:lsdException w:name="Document Map" w:semiHidden="0"/>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DocumentMap">
    <w:name w:val="Document Map"/>
    <w:basedOn w:val="Normal"/>
    <w:link w:val="Char"/>
    <w:uiPriority w:val="99"/>
    <w:unhideWhenUsed/>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Emphasis">
    <w:name w:val="Emphasis"/>
    <w:qFormat/>
    <w:rPr>
      <w:i/>
    </w:rPr>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rPr>
      <w:rFonts w:ascii="Cambria" w:eastAsia="宋体" w:hAnsi="Cambria" w:cs="Times New Roman"/>
      <w:b/>
      <w:bCs/>
      <w:kern w:val="2"/>
      <w:sz w:val="24"/>
      <w:szCs w:val="24"/>
    </w:rPr>
  </w:style>
  <w:style w:type="character" w:customStyle="1" w:styleId="Char">
    <w:name w:val="文档结构图 Char"/>
    <w:link w:val="DocumentMap"/>
    <w:uiPriority w:val="99"/>
    <w:semiHidden/>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rPr>
      <w:kern w:val="2"/>
      <w:sz w:val="21"/>
      <w:szCs w:val="24"/>
    </w:rPr>
  </w:style>
  <w:style w:type="character" w:customStyle="1" w:styleId="Char3">
    <w:name w:val="纯文本 Char"/>
    <w:link w:val="PlainText"/>
    <w:rPr>
      <w:rFonts w:ascii="宋体" w:hAnsi="Courier New"/>
      <w:kern w:val="2"/>
      <w:sz w:val="21"/>
      <w:szCs w:val="21"/>
    </w:rPr>
  </w:style>
  <w:style w:type="character" w:customStyle="1" w:styleId="Char4">
    <w:name w:val="批注框文本 Char"/>
    <w:link w:val="BalloonText"/>
    <w:rPr>
      <w:kern w:val="2"/>
      <w:sz w:val="18"/>
      <w:szCs w:val="18"/>
    </w:rPr>
  </w:style>
  <w:style w:type="character" w:customStyle="1" w:styleId="Char5">
    <w:name w:val="页脚 Char"/>
    <w:link w:val="Footer"/>
    <w:uiPriority w:val="99"/>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user</cp:lastModifiedBy>
  <cp:revision>2</cp:revision>
  <cp:lastPrinted>2014-06-19T14:19:00Z</cp:lastPrinted>
  <dcterms:created xsi:type="dcterms:W3CDTF">2023-10-16T10:37:00Z</dcterms:created>
  <dcterms:modified xsi:type="dcterms:W3CDTF">2026-09-30T16:12:56Z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2052-12.1.2.24722</vt:lpwstr>
  </property>
  <property fmtid="{D5CDD505-2E9C-101B-9397-08002B2CF9AE}" pid="4" name="KSOTemplateDocerSaveRecord">
    <vt:lpwstr>eyJoZGlkIjoiM2FkMjdjNjAxZjdmYjI5MjMyNmE5MTA5ZjJkMDM4NmEiLCJ1c2VySWQiOiI0MTI2MjIxMDYifQ==</vt:lpwstr>
  </property>
</Properties>
</file>