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甘肃省人影作业地面焰条采购项目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ZQCD-26055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甘肃省人工影响天气办公室</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甘肃省人影作业地面焰条采购项目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ZQCD-26055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合同签订后30天内交货验收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甘肃省兰州市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2026年05月06日 00:00:00</w:t>
      </w:r>
      <w:bookmarkEnd w:id="26"/>
      <w:r>
        <w:rPr>
          <w:rFonts w:ascii="宋体" w:hint="eastAsia"/>
          <w:szCs w:val="21"/>
          <w:highlight w:val="none"/>
        </w:rPr>
        <w:t>至</w:t>
      </w:r>
      <w:bookmarkStart w:id="27" w:name="项目公告_signUpLastTime"/>
      <w:r>
        <w:rPr>
          <w:rFonts w:ascii="宋体" w:hint="eastAsia"/>
          <w:szCs w:val="21"/>
          <w:highlight w:val="none"/>
        </w:rPr>
        <w:t>2026年05月13日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2026年05月28日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甘肃省人工影响天气办公室</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刘莹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0931-2402980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甘肃省兰州市和平镇和平大道7号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甘肃省人工影响天气办公室</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不允许（仅针对以下产品：地面焰条不允许代理商投标）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设有，核心产品为地面焰条</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甘肃省人影作业地面焰条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(2)</w:t>
            </w:r>
          </w:p>
        </w:tc>
        <w:tc>
          <w:tcPr/>
          <w:p>
            <w:r>
              <w:t>评审标准：</w:t>
            </w:r>
          </w:p>
          <w:p>
            <w:r>
              <w:t>投标人具有 ISO9000系列或GJB9001质量管理体系认证，得2分。否则不得分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(6)</w:t>
            </w:r>
          </w:p>
        </w:tc>
        <w:tc>
          <w:tcPr/>
          <w:p>
            <w:r>
              <w:t>评审标准：</w:t>
            </w:r>
          </w:p>
          <w:p>
            <w:r>
              <w:t>销售合同必须包括地面焰条，每提供1份合同得2分，最多得6分。否则不得分。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(4)</w:t>
            </w:r>
          </w:p>
        </w:tc>
        <w:tc>
          <w:tcPr/>
          <w:p>
            <w:r>
              <w:t>评审标准：</w:t>
            </w:r>
          </w:p>
          <w:p>
            <w:r>
              <w:t>一档0分</w:t>
              <w:cr/>
              <w:t>二档1分</w:t>
              <w:cr/>
              <w:t>三档2分</w:t>
              <w:cr/>
              <w:t>四档4分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针对本项目采购的地面焰条（产品名称），承诺提前10天交货的得1分，否则不得分。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(6)</w:t>
            </w:r>
          </w:p>
        </w:tc>
        <w:tc>
          <w:tcPr/>
          <w:p>
            <w:r>
              <w:t>评审标准：</w:t>
            </w:r>
          </w:p>
          <w:p>
            <w:r>
              <w:t>针对地面焰条，每提供1份用户满意度证明材料得2分，最多得6分。否则不得分。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区间打分</w:t>
            </w:r>
            <w:r>
              <w:t>(5)</w:t>
            </w:r>
          </w:p>
        </w:tc>
        <w:tc>
          <w:tcPr/>
          <w:p>
            <w:r>
              <w:t>评审标准：</w:t>
            </w:r>
          </w:p>
          <w:p>
            <w:r>
              <w:t>1、投标人为本项目拟派的服务团队中项目经理应具有3年以上相关工作经验的得2分;</w:t>
              <w:cr/>
              <w:t>2、除项目经理外至少2人具有2年及以上相关工作经验的，得3分。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(30)</w:t>
            </w:r>
          </w:p>
        </w:tc>
        <w:tc>
          <w:tcPr/>
          <w:p>
            <w:r>
              <w:t>评审标准：</w:t>
            </w:r>
          </w:p>
          <w:p>
            <w:r>
              <w:t>标注“#”的重要指标共6项，每满足一项得4分，一共24分；</w:t>
              <w:cr/>
              <w:t>标注“▲”的一般指标共3项，每满足一项得2分，一共6分。</w:t>
            </w:r>
          </w:p>
          <w:p>
            <w:r>
              <w:t>评审标准说明：</w:t>
            </w:r>
          </w:p>
          <w:p>
            <w:r>
              <w:t>需提供技术文档。响应且满足招标文件第七章详细技术指标要求，标注#和▲的指标需提供产品技术参数说明书或网站宣传页等证明材料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根据投标人提供的技术方案和能证明投标产品技术性能的产品技术参数说明书或网站宣传页等证明材料进行评分，具体评分标准如下：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注：应提供能证明投标产品技术性能的证明材料，并加盖投标人公章。其中，测试内容应包括但不限于标注#和▲的指标。综合技术性能由评审委员会根据技术性能指标，主观综合评判。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pStyle w:val="BodyText"/>
        <w:spacing w:line="408" w:lineRule="auto"/>
        <w:ind w:left="119" w:right="166" w:firstLine="422"/>
        <w:jc w:val="both"/>
        <w:rPr>
          <w:rFonts w:ascii="宋体" w:hAnsi="宋体"/>
          <w:szCs w:val="21"/>
        </w:rPr>
      </w:pPr>
      <w:r>
        <w:rPr>
          <w:rFonts w:ascii="宋体" w:eastAsia="宋体" w:hAnsi="宋体" w:cs="宋体" w:hint="eastAsia"/>
          <w:color w:val="000000"/>
          <w:kern w:val="2"/>
          <w:szCs w:val="21"/>
          <w:lang w:val="en-US"/>
        </w:rPr>
        <w:t xml:space="preserve">本项目所招产品为我省人工增雨用地面焰条，根据中国气象局关于人工影响天气作业的安全管理要求，结合近年来各地出现的相关人影作业事故案例，本项目所招产品必须完全满足配套我省现有地面烟炉系统使用条件，以保证地面烟炉作业的稳定性、安全性，出现事故后能够及时解决。 </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Normal"/>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2485"/>
        <w:gridCol w:w="3284"/>
        <w:gridCol w:w="2541"/>
      </w:tblGrid>
      <w:tr>
        <w:tblPrEx>
          <w:tblW w:w="8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firstLine="420"/>
              <w:rPr>
                <w:color w:val="000000"/>
                <w:szCs w:val="21"/>
              </w:rPr>
            </w:pPr>
            <w:r>
              <w:rPr>
                <w:color w:val="000000"/>
                <w:szCs w:val="21"/>
              </w:rPr>
              <w:t>项目</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firstLine="420"/>
              <w:rPr>
                <w:color w:val="000000"/>
                <w:szCs w:val="21"/>
              </w:rPr>
            </w:pPr>
            <w:r>
              <w:rPr>
                <w:color w:val="000000"/>
                <w:szCs w:val="21"/>
              </w:rPr>
              <w:t>性能参数描述</w:t>
            </w:r>
          </w:p>
        </w:tc>
        <w:tc>
          <w:tcPr>
            <w:tcW w:w="2541"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ind w:left="542" w:firstLine="420"/>
              <w:rPr>
                <w:color w:val="000000"/>
                <w:szCs w:val="21"/>
              </w:rPr>
            </w:pPr>
            <w:r>
              <w:rPr>
                <w:rFonts w:hint="eastAsia"/>
                <w:color w:val="000000"/>
                <w:szCs w:val="21"/>
              </w:rPr>
              <w:t>说明</w:t>
            </w:r>
          </w:p>
        </w:tc>
      </w:tr>
      <w:tr>
        <w:tblPrEx>
          <w:tblW w:w="8310" w:type="dxa"/>
          <w:jc w:val="center"/>
          <w:tblLayout w:type="fixed"/>
          <w:tblCellMar>
            <w:top w:w="0" w:type="dxa"/>
            <w:left w:w="0" w:type="dxa"/>
            <w:bottom w:w="0" w:type="dxa"/>
            <w:right w:w="0" w:type="dxa"/>
          </w:tblCellMar>
        </w:tblPrEx>
        <w:trPr>
          <w:trHeight w:hRule="exact" w:val="551"/>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rFonts w:hint="eastAsia"/>
                <w:color w:val="000000"/>
                <w:szCs w:val="21"/>
              </w:rPr>
              <w:t>焰条类型</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地面焰条</w:t>
            </w:r>
          </w:p>
          <w:p>
            <w:pPr>
              <w:pStyle w:val="BodyText"/>
              <w:adjustRightInd w:val="0"/>
              <w:snapToGrid w:val="0"/>
              <w:spacing w:after="0" w:line="240" w:lineRule="exact"/>
              <w:ind w:left="544" w:firstLine="420"/>
              <w:jc w:val="center"/>
              <w:rPr>
                <w:color w:val="000000"/>
                <w:szCs w:val="21"/>
              </w:rPr>
            </w:pPr>
          </w:p>
        </w:tc>
        <w:tc>
          <w:tcPr>
            <w:tcW w:w="2541" w:type="dxa"/>
            <w:vMerge w:val="restart"/>
            <w:tcBorders>
              <w:top w:val="single" w:sz="4" w:space="0" w:color="000000"/>
              <w:left w:val="single" w:sz="4" w:space="0" w:color="000000"/>
              <w:right w:val="single" w:sz="4" w:space="0" w:color="000000"/>
            </w:tcBorders>
            <w:vAlign w:val="center"/>
          </w:tcPr>
          <w:p>
            <w:pPr>
              <w:pStyle w:val="BodyText"/>
              <w:adjustRightInd w:val="0"/>
              <w:snapToGrid w:val="0"/>
              <w:spacing w:after="0" w:line="240" w:lineRule="exact"/>
              <w:ind w:firstLine="630" w:firstLineChars="300"/>
              <w:rPr>
                <w:color w:val="000000"/>
                <w:szCs w:val="21"/>
              </w:rPr>
            </w:pPr>
            <w:r>
              <w:rPr>
                <w:rFonts w:hint="eastAsia"/>
                <w:color w:val="000000"/>
                <w:szCs w:val="21"/>
              </w:rPr>
              <w:t>需证明材料</w:t>
            </w:r>
          </w:p>
        </w:tc>
      </w:tr>
      <w:tr>
        <w:tblPrEx>
          <w:tblW w:w="8310" w:type="dxa"/>
          <w:jc w:val="center"/>
          <w:tblLayout w:type="fixed"/>
          <w:tblCellMar>
            <w:top w:w="0" w:type="dxa"/>
            <w:left w:w="0" w:type="dxa"/>
            <w:bottom w:w="0" w:type="dxa"/>
            <w:right w:w="0" w:type="dxa"/>
          </w:tblCellMar>
        </w:tblPrEx>
        <w:trPr>
          <w:trHeight w:hRule="exact" w:val="64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color w:val="FF0000"/>
                <w:szCs w:val="21"/>
              </w:rPr>
              <w:t>#</w:t>
            </w:r>
            <w:r>
              <w:rPr>
                <w:rFonts w:hint="eastAsia"/>
                <w:color w:val="000000"/>
                <w:szCs w:val="21"/>
              </w:rPr>
              <w:t>焰条规格</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48mm×330mm</w:t>
            </w:r>
          </w:p>
          <w:p>
            <w:pPr>
              <w:pStyle w:val="BodyText"/>
              <w:adjustRightInd w:val="0"/>
              <w:snapToGrid w:val="0"/>
              <w:spacing w:after="0" w:line="240" w:lineRule="exact"/>
              <w:ind w:left="542" w:firstLine="420"/>
              <w:jc w:val="center"/>
              <w:rPr>
                <w:color w:val="000000"/>
                <w:szCs w:val="21"/>
              </w:rPr>
            </w:pP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color w:val="FF0000"/>
                <w:szCs w:val="21"/>
              </w:rPr>
              <w:t>#</w:t>
            </w:r>
            <w:r>
              <w:rPr>
                <w:rFonts w:hint="eastAsia"/>
                <w:color w:val="000000"/>
                <w:szCs w:val="21"/>
              </w:rPr>
              <w:t>焰条AgI含量</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rFonts w:hint="eastAsia"/>
                <w:color w:val="000000"/>
                <w:szCs w:val="21"/>
              </w:rPr>
              <w:t>≥6g/根</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color w:val="FF0000"/>
                <w:szCs w:val="21"/>
              </w:rPr>
              <w:t>#</w:t>
            </w:r>
            <w:r>
              <w:rPr>
                <w:rFonts w:hint="eastAsia"/>
                <w:color w:val="000000"/>
                <w:szCs w:val="21"/>
              </w:rPr>
              <w:t>焰条燃烧时间</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≥5分钟</w:t>
            </w:r>
          </w:p>
          <w:p>
            <w:pPr>
              <w:pStyle w:val="BodyText"/>
              <w:adjustRightInd w:val="0"/>
              <w:snapToGrid w:val="0"/>
              <w:spacing w:after="0" w:line="240" w:lineRule="exact"/>
              <w:ind w:left="542" w:firstLine="420"/>
              <w:jc w:val="center"/>
              <w:rPr>
                <w:color w:val="000000"/>
                <w:szCs w:val="21"/>
              </w:rPr>
            </w:pP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color w:val="FF0000"/>
                <w:szCs w:val="21"/>
              </w:rPr>
              <w:t>#</w:t>
            </w:r>
            <w:r>
              <w:rPr>
                <w:rFonts w:hint="eastAsia"/>
                <w:color w:val="000000"/>
                <w:szCs w:val="21"/>
              </w:rPr>
              <w:t>焰条成核率(-10°C)</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≥10</w:t>
            </w:r>
            <w:r>
              <w:rPr>
                <w:rFonts w:ascii="Cambria" w:eastAsia="微软雅黑" w:hAnsi="Cambria" w:hint="eastAsia"/>
                <w:color w:val="000000"/>
                <w:kern w:val="20"/>
                <w:szCs w:val="21"/>
                <w:vertAlign w:val="superscript"/>
                <w:lang w:val="zh-CN"/>
              </w:rPr>
              <w:t>13</w:t>
            </w:r>
            <w:r>
              <w:rPr>
                <w:rFonts w:ascii="Cambria" w:eastAsia="微软雅黑" w:hAnsi="Cambria" w:hint="eastAsia"/>
                <w:color w:val="000000"/>
                <w:kern w:val="20"/>
                <w:szCs w:val="21"/>
                <w:lang w:val="zh-CN"/>
              </w:rPr>
              <w:t>个/克</w:t>
            </w:r>
          </w:p>
          <w:p>
            <w:pPr>
              <w:pStyle w:val="BodyText"/>
              <w:adjustRightInd w:val="0"/>
              <w:snapToGrid w:val="0"/>
              <w:spacing w:after="0" w:line="240" w:lineRule="exact"/>
              <w:ind w:left="542" w:firstLine="420"/>
              <w:jc w:val="center"/>
              <w:rPr>
                <w:color w:val="000000"/>
                <w:szCs w:val="21"/>
              </w:rPr>
            </w:pP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color w:val="FF0000"/>
                <w:szCs w:val="21"/>
              </w:rPr>
              <w:t>#</w:t>
            </w:r>
            <w:r>
              <w:rPr>
                <w:rFonts w:hint="eastAsia"/>
                <w:color w:val="000000"/>
                <w:szCs w:val="21"/>
              </w:rPr>
              <w:t>焰条焰剂携带量</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≥0.5kg</w:t>
            </w:r>
          </w:p>
          <w:p>
            <w:pPr>
              <w:pStyle w:val="BodyText"/>
              <w:adjustRightInd w:val="0"/>
              <w:snapToGrid w:val="0"/>
              <w:spacing w:after="0" w:line="240" w:lineRule="exact"/>
              <w:ind w:left="542" w:firstLine="420"/>
              <w:jc w:val="center"/>
              <w:rPr>
                <w:color w:val="000000"/>
                <w:szCs w:val="21"/>
              </w:rPr>
            </w:pP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rFonts w:ascii="微软雅黑" w:eastAsia="微软雅黑" w:hAnsi="微软雅黑" w:cs="微软雅黑" w:hint="eastAsia"/>
                <w:color w:val="000000"/>
                <w:szCs w:val="21"/>
              </w:rPr>
              <w:t>▲</w:t>
            </w:r>
            <w:r>
              <w:rPr>
                <w:rFonts w:hint="eastAsia"/>
                <w:color w:val="000000"/>
                <w:szCs w:val="21"/>
              </w:rPr>
              <w:t>配套类型</w:t>
            </w:r>
          </w:p>
        </w:tc>
        <w:tc>
          <w:tcPr>
            <w:tcW w:w="3284"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rFonts w:hint="eastAsia"/>
                <w:color w:val="000000"/>
                <w:szCs w:val="21"/>
              </w:rPr>
              <w:t>适用于现有地面烟炉</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rFonts w:ascii="微软雅黑" w:eastAsia="微软雅黑" w:hAnsi="微软雅黑" w:cs="微软雅黑" w:hint="eastAsia"/>
                <w:color w:val="000000"/>
                <w:szCs w:val="21"/>
              </w:rPr>
              <w:t>▲</w:t>
            </w:r>
            <w:r>
              <w:rPr>
                <w:rFonts w:hint="eastAsia"/>
                <w:color w:val="000000"/>
                <w:szCs w:val="21"/>
              </w:rPr>
              <w:t>控制点火方式</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GSM短信或控制台</w:t>
            </w:r>
          </w:p>
          <w:p>
            <w:pPr>
              <w:pStyle w:val="BodyText"/>
              <w:adjustRightInd w:val="0"/>
              <w:snapToGrid w:val="0"/>
              <w:spacing w:after="0" w:line="240" w:lineRule="exact"/>
              <w:ind w:left="542" w:firstLine="420"/>
              <w:jc w:val="center"/>
              <w:rPr>
                <w:color w:val="000000"/>
                <w:szCs w:val="21"/>
              </w:rPr>
            </w:pP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color w:val="FF0000"/>
                <w:szCs w:val="21"/>
              </w:rPr>
              <w:t>#</w:t>
            </w:r>
            <w:r>
              <w:rPr>
                <w:rFonts w:hint="eastAsia"/>
                <w:color w:val="000000"/>
                <w:szCs w:val="21"/>
              </w:rPr>
              <w:t>工作温度</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-30°C~+70°C</w:t>
            </w:r>
          </w:p>
          <w:p>
            <w:pPr>
              <w:pStyle w:val="BodyText"/>
              <w:adjustRightInd w:val="0"/>
              <w:snapToGrid w:val="0"/>
              <w:spacing w:after="0" w:line="240" w:lineRule="exact"/>
              <w:ind w:left="542" w:firstLine="420"/>
              <w:jc w:val="center"/>
              <w:rPr>
                <w:color w:val="000000"/>
                <w:szCs w:val="21"/>
              </w:rPr>
            </w:pP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r>
        <w:tblPrEx>
          <w:tblW w:w="8310" w:type="dxa"/>
          <w:jc w:val="center"/>
          <w:tblLayout w:type="fixed"/>
          <w:tblCellMar>
            <w:top w:w="0" w:type="dxa"/>
            <w:left w:w="0" w:type="dxa"/>
            <w:bottom w:w="0" w:type="dxa"/>
            <w:right w:w="0" w:type="dxa"/>
          </w:tblCellMar>
        </w:tblPrEx>
        <w:trPr>
          <w:trHeight w:hRule="exact" w:val="568"/>
          <w:jc w:val="center"/>
        </w:trPr>
        <w:tc>
          <w:tcPr>
            <w:tcW w:w="2485" w:type="dxa"/>
            <w:tcBorders>
              <w:top w:val="single" w:sz="4" w:space="0" w:color="000000"/>
              <w:left w:val="single" w:sz="4" w:space="0" w:color="000000"/>
              <w:bottom w:val="single" w:sz="4" w:space="0" w:color="000000"/>
              <w:right w:val="single" w:sz="4" w:space="0" w:color="000000"/>
            </w:tcBorders>
            <w:vAlign w:val="center"/>
          </w:tcPr>
          <w:p>
            <w:pPr>
              <w:pStyle w:val="BodyText"/>
              <w:adjustRightInd w:val="0"/>
              <w:snapToGrid w:val="0"/>
              <w:spacing w:after="0" w:line="240" w:lineRule="exact"/>
              <w:jc w:val="center"/>
              <w:rPr>
                <w:color w:val="000000"/>
                <w:szCs w:val="21"/>
              </w:rPr>
            </w:pPr>
            <w:r>
              <w:rPr>
                <w:rFonts w:ascii="微软雅黑" w:eastAsia="微软雅黑" w:hAnsi="微软雅黑" w:cs="微软雅黑" w:hint="eastAsia"/>
                <w:color w:val="000000"/>
                <w:szCs w:val="21"/>
              </w:rPr>
              <w:t>▲</w:t>
            </w:r>
            <w:r>
              <w:rPr>
                <w:rFonts w:hint="eastAsia"/>
                <w:color w:val="000000"/>
                <w:szCs w:val="21"/>
              </w:rPr>
              <w:t>工作湿度</w:t>
            </w:r>
          </w:p>
        </w:tc>
        <w:tc>
          <w:tcPr>
            <w:tcW w:w="3284" w:type="dxa"/>
            <w:tcBorders>
              <w:top w:val="single" w:sz="4" w:space="0" w:color="000000"/>
              <w:left w:val="single" w:sz="4" w:space="0" w:color="000000"/>
              <w:bottom w:val="single" w:sz="4" w:space="0" w:color="000000"/>
              <w:right w:val="single" w:sz="4" w:space="0" w:color="000000"/>
            </w:tcBorders>
            <w:vAlign w:val="center"/>
          </w:tcPr>
          <w:p>
            <w:pPr>
              <w:spacing w:line="360" w:lineRule="auto"/>
              <w:jc w:val="center"/>
              <w:rPr>
                <w:rFonts w:ascii="Cambria" w:eastAsia="微软雅黑" w:hAnsi="Cambria"/>
                <w:color w:val="000000"/>
                <w:kern w:val="20"/>
                <w:szCs w:val="21"/>
                <w:lang w:val="zh-CN"/>
              </w:rPr>
            </w:pPr>
            <w:r>
              <w:rPr>
                <w:rFonts w:ascii="Cambria" w:eastAsia="微软雅黑" w:hAnsi="Cambria" w:hint="eastAsia"/>
                <w:color w:val="000000"/>
                <w:kern w:val="20"/>
                <w:szCs w:val="21"/>
                <w:lang w:val="zh-CN"/>
              </w:rPr>
              <w:t>R.H.20%~100%</w:t>
            </w:r>
          </w:p>
        </w:tc>
        <w:tc>
          <w:tcPr>
            <w:tcW w:w="2541" w:type="dxa"/>
            <w:vMerge/>
            <w:tcBorders>
              <w:left w:val="single" w:sz="4" w:space="0" w:color="000000"/>
              <w:right w:val="single" w:sz="4" w:space="0" w:color="000000"/>
            </w:tcBorders>
            <w:vAlign w:val="center"/>
          </w:tcPr>
          <w:p>
            <w:pPr>
              <w:pStyle w:val="BodyText"/>
              <w:adjustRightInd w:val="0"/>
              <w:snapToGrid w:val="0"/>
              <w:spacing w:after="0" w:line="240" w:lineRule="exact"/>
              <w:ind w:left="542" w:firstLine="420"/>
              <w:jc w:val="center"/>
              <w:rPr>
                <w:color w:val="000000"/>
                <w:szCs w:val="21"/>
              </w:rPr>
            </w:pPr>
          </w:p>
        </w:tc>
      </w:tr>
    </w:tbl>
    <w:p>
      <w:pPr>
        <w:pStyle w:val="BodyText"/>
        <w:spacing w:before="66"/>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四、验收 </w:t>
      </w:r>
    </w:p>
    <w:p>
      <w:pPr>
        <w:adjustRightInd w:val="0"/>
        <w:snapToGrid w:val="0"/>
        <w:spacing w:line="360" w:lineRule="auto"/>
        <w:ind w:firstLine="420" w:firstLineChars="200"/>
        <w:rPr>
          <w:rFonts w:ascii="宋体" w:hAnsi="宋体" w:cs="宋体"/>
          <w:color w:val="000000" w:themeColor="text1"/>
          <w:szCs w:val="21"/>
        </w:rPr>
      </w:pPr>
      <w:r>
        <w:rPr>
          <w:rFonts w:ascii="宋体" w:eastAsia="宋体" w:hAnsi="宋体" w:cs="宋体" w:hint="eastAsia"/>
          <w:color w:val="000000" w:themeColor="text1"/>
          <w:szCs w:val="21"/>
        </w:rPr>
        <w:t>1、合同签订后</w:t>
      </w:r>
      <w:r>
        <w:rPr>
          <w:rFonts w:ascii="宋体" w:eastAsia="宋体" w:hAnsi="宋体" w:cs="宋体" w:hint="eastAsia"/>
          <w:color w:val="000000" w:themeColor="text1"/>
          <w:szCs w:val="21"/>
          <w:lang w:val="en-US" w:eastAsia="zh-CN"/>
        </w:rPr>
        <w:t>30</w:t>
      </w:r>
      <w:r>
        <w:rPr>
          <w:rFonts w:ascii="宋体" w:eastAsia="宋体" w:hAnsi="宋体" w:cs="宋体" w:hint="eastAsia"/>
          <w:color w:val="000000" w:themeColor="text1"/>
          <w:szCs w:val="21"/>
        </w:rPr>
        <w:t>天内交货</w:t>
      </w:r>
      <w:r>
        <w:rPr>
          <w:rFonts w:ascii="宋体" w:eastAsia="宋体" w:hAnsi="宋体" w:cs="宋体" w:hint="eastAsia"/>
          <w:color w:val="000000" w:themeColor="text1"/>
          <w:szCs w:val="21"/>
          <w:lang w:eastAsia="zh-CN"/>
        </w:rPr>
        <w:t>验收</w:t>
      </w:r>
      <w:r>
        <w:rPr>
          <w:rFonts w:ascii="宋体" w:eastAsia="宋体" w:hAnsi="宋体" w:cs="宋体" w:hint="eastAsia"/>
          <w:color w:val="000000" w:themeColor="text1"/>
          <w:szCs w:val="21"/>
        </w:rPr>
        <w:t>，产品质量达到设计要求。</w:t>
      </w:r>
    </w:p>
    <w:p>
      <w:pPr>
        <w:pStyle w:val="BodyText"/>
        <w:spacing w:before="66"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szCs w:val="21"/>
        </w:rPr>
        <w:t>2、到货验收。到货后用户检查包装并核对货物品种、数量以及完好性。未通过验收</w:t>
      </w:r>
      <w:r>
        <w:rPr>
          <w:rFonts w:ascii="宋体" w:eastAsia="宋体" w:hAnsi="宋体" w:cs="宋体" w:hint="eastAsia"/>
          <w:color w:val="000000" w:themeColor="text1"/>
          <w:kern w:val="2"/>
          <w:szCs w:val="21"/>
          <w:lang w:val="en-US"/>
        </w:rPr>
        <w:t xml:space="preserve">的货物，将不予接受。 </w:t>
      </w:r>
    </w:p>
    <w:p>
      <w:pPr>
        <w:pStyle w:val="BodyText"/>
        <w:spacing w:before="66"/>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五、包装和运输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1、包装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应按相关包装规范或者其他相关规定进行包装。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2、运输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出厂验收合格后，中标供应商负责用专用车辆将产品运输到用户指定的地点，运输过程应当遵守国家有关管理的法律、法规。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六、技术服务和质保期服务要求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1、培训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中标供应商应负责对采购单位人员进行专业培训，直至能完全操作。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2、技术支持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中标供应商提供服务电话、保障服务货物收发联系部门及人员的名称和联系方式。产品的更换按照采购单位要求在约定时间内完成。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3、技术资料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提供完整的技术资料，包括：性能参数、存储、运输、使用等安全保障手册；使用说明书及合同中要求的其他文件资料。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4、质保期内服务内容 </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（1）质保期为出厂验收后 3 年；</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（2）因产品质量问题所造成的直接或间接损失由中标供应商负责，并且中标供应商应负责免费更换合格品；</w:t>
      </w:r>
    </w:p>
    <w:p>
      <w:pPr>
        <w:pStyle w:val="BodyText"/>
        <w:spacing w:after="0" w:line="360" w:lineRule="auto"/>
        <w:ind w:firstLine="420" w:firstLineChars="200"/>
        <w:rPr>
          <w:rFonts w:ascii="宋体" w:eastAsia="宋体" w:hAnsi="宋体" w:cs="宋体"/>
          <w:color w:val="000000" w:themeColor="text1"/>
          <w:kern w:val="2"/>
          <w:szCs w:val="21"/>
          <w:lang w:val="en-US"/>
        </w:rPr>
      </w:pPr>
      <w:r>
        <w:rPr>
          <w:rFonts w:ascii="宋体" w:eastAsia="宋体" w:hAnsi="宋体" w:cs="宋体" w:hint="eastAsia"/>
          <w:color w:val="000000" w:themeColor="text1"/>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pPr>
        <w:spacing w:line="360" w:lineRule="auto"/>
        <w:ind w:firstLine="420" w:firstLineChars="200"/>
        <w:rPr>
          <w:rFonts w:asciiTheme="minorEastAsia" w:hAnsiTheme="minorEastAsia" w:cstheme="minorEastAsia"/>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17"/>
        <w:gridCol w:w="2666"/>
        <w:gridCol w:w="847"/>
        <w:gridCol w:w="1178"/>
        <w:gridCol w:w="1343"/>
        <w:gridCol w:w="1509"/>
        <w:gridCol w:w="50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地面焰条播撒系统（焰条、焰弹）</w:t>
            </w:r>
          </w:p>
        </w:tc>
        <w:tc>
          <w:tcPr/>
          <w:p>
            <w:pPr>
              <w:autoSpaceDE w:val="0"/>
              <w:jc w:val="center"/>
              <w:rPr>
                <w:rFonts w:asciiTheme="minorEastAsia" w:hAnsiTheme="minorEastAsia" w:cstheme="minorEastAsia"/>
                <w:kern w:val="0"/>
                <w:szCs w:val="21"/>
              </w:rPr>
            </w:pPr>
            <w:r>
              <w:t>2000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1,300,000.00</w:t>
            </w:r>
          </w:p>
        </w:tc>
        <w:tc>
          <w:tcPr/>
          <w:p>
            <w:pPr>
              <w:autoSpaceDE w:val="0"/>
              <w:jc w:val="center"/>
              <w:rPr>
                <w:rFonts w:asciiTheme="minorEastAsia" w:hAnsiTheme="minorEastAsia" w:cstheme="minorEastAsia" w:hint="eastAsia"/>
                <w:kern w:val="0"/>
                <w:szCs w:val="21"/>
              </w:rPr>
            </w:pPr>
            <w:r>
              <w:t>合同签订后30天内</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38"/>
        <w:gridCol w:w="1348"/>
        <w:gridCol w:w="2259"/>
        <w:gridCol w:w="442"/>
        <w:gridCol w:w="998"/>
        <w:gridCol w:w="832"/>
        <w:gridCol w:w="998"/>
        <w:gridCol w:w="120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人影办(001056007)</w:t>
            </w:r>
          </w:p>
        </w:tc>
        <w:tc>
          <w:tcPr/>
          <w:p>
            <w:r>
              <w:t>地面焰条播撒系统（焰条、焰弹）</w:t>
            </w:r>
          </w:p>
        </w:tc>
        <w:tc>
          <w:tcPr/>
          <w:p>
            <w:r>
              <w:t>2000</w:t>
            </w:r>
          </w:p>
        </w:tc>
        <w:tc>
          <w:tcPr/>
          <w:p>
            <w:r>
              <w:t>1300000.00</w:t>
            </w:r>
          </w:p>
        </w:tc>
        <w:tc>
          <w:tcPr/>
          <w:p>
            <w:r>
              <w:t xml:space="preserve">1300000.00  </w:t>
            </w:r>
          </w:p>
        </w:tc>
        <w:tc>
          <w:tcPr/>
          <w:p>
            <w:r>
              <w:t>甲方指定地点</w:t>
            </w:r>
          </w:p>
        </w:tc>
        <w:tc>
          <w:tcPr/>
          <w:p>
            <w:r>
              <w:t>刘莹13070856286</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F87FA7" w:rsidP="00FF3902">
      <w:pPr>
        <w:numPr>
          <w:ilvl w:val="0"/>
          <w:numId w:val="4"/>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F87FA7">
      <w:pPr>
        <w:spacing w:line="360" w:lineRule="auto"/>
        <w:ind w:left="1680" w:firstLine="420"/>
        <w:jc w:val="left"/>
        <w:rPr>
          <w:b/>
          <w:bCs/>
          <w:szCs w:val="21"/>
        </w:rPr>
      </w:pPr>
      <w:r>
        <w:rPr>
          <w:rFonts w:hint="eastAsia"/>
          <w:b/>
          <w:bCs/>
          <w:szCs w:val="21"/>
        </w:rPr>
        <w:t>必须明确合同金额支付条件及支付比例</w:t>
      </w:r>
    </w:p>
    <w:p w:rsidR="00F87FA7">
      <w:pPr>
        <w:pStyle w:val="BodyText"/>
        <w:spacing w:after="0"/>
        <w:jc w:val="center"/>
        <w:rPr>
          <w:rFonts w:ascii="宋体" w:hAnsi="宋体" w:cs="宋体"/>
          <w:b/>
          <w:bCs/>
          <w:spacing w:val="-20"/>
          <w:kern w:val="44"/>
          <w:sz w:val="48"/>
          <w:szCs w:val="48"/>
        </w:rPr>
      </w:pPr>
      <w:r>
        <w:rPr>
          <w:b/>
          <w:bCs/>
          <w:szCs w:val="21"/>
        </w:rPr>
        <w:br w:type="page"/>
      </w:r>
      <w:bookmarkStart w:id="70" w:name="_Toc3995"/>
    </w:p>
    <w:p w:rsidR="00F87FA7">
      <w:pPr>
        <w:pStyle w:val="BodyText"/>
        <w:spacing w:after="0"/>
        <w:jc w:val="center"/>
        <w:rPr>
          <w:rFonts w:ascii="宋体" w:hAnsi="宋体" w:cs="宋体"/>
          <w:b/>
          <w:bCs/>
          <w:spacing w:val="-20"/>
          <w:kern w:val="44"/>
          <w:sz w:val="48"/>
          <w:szCs w:val="48"/>
        </w:rPr>
      </w:pPr>
    </w:p>
    <w:p w:rsidR="00F87FA7">
      <w:pPr>
        <w:pStyle w:val="BodyText"/>
        <w:spacing w:after="0"/>
        <w:jc w:val="center"/>
        <w:rPr>
          <w:rFonts w:ascii="宋体" w:hAnsi="宋体" w:cs="宋体"/>
          <w:b/>
          <w:bCs/>
          <w:spacing w:val="-20"/>
          <w:kern w:val="44"/>
          <w:sz w:val="48"/>
          <w:szCs w:val="48"/>
        </w:rPr>
      </w:pPr>
    </w:p>
    <w:p w:rsidR="00F87FA7">
      <w:pPr>
        <w:pStyle w:val="BodyText"/>
        <w:spacing w:after="0"/>
        <w:jc w:val="center"/>
        <w:rPr>
          <w:rFonts w:ascii="宋体" w:hAnsi="宋体" w:cs="宋体"/>
          <w:b/>
          <w:bCs/>
          <w:spacing w:val="-20"/>
          <w:kern w:val="44"/>
          <w:sz w:val="48"/>
          <w:szCs w:val="48"/>
        </w:rPr>
      </w:pPr>
    </w:p>
    <w:p w:rsidR="00F87FA7">
      <w:pPr>
        <w:pStyle w:val="BodyText"/>
        <w:spacing w:after="0"/>
        <w:jc w:val="center"/>
        <w:rPr>
          <w:rFonts w:ascii="宋体" w:hAnsi="宋体" w:cs="宋体"/>
          <w:b/>
          <w:bCs/>
          <w:spacing w:val="-20"/>
          <w:kern w:val="44"/>
          <w:sz w:val="48"/>
          <w:szCs w:val="48"/>
        </w:rPr>
      </w:pPr>
    </w:p>
    <w:p w:rsidR="00F87FA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F87FA7">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F87FA7">
      <w:pPr>
        <w:rPr>
          <w:rFonts w:ascii="宋体" w:hAnsi="宋体" w:cs="宋体"/>
          <w:b/>
          <w:bCs/>
          <w:spacing w:val="-20"/>
          <w:kern w:val="44"/>
          <w:sz w:val="40"/>
          <w:szCs w:val="40"/>
        </w:rPr>
      </w:pPr>
    </w:p>
    <w:p w:rsidR="00F87FA7">
      <w:pPr>
        <w:rPr>
          <w:rFonts w:ascii="宋体" w:hAnsi="宋体" w:cs="宋体"/>
          <w:b/>
          <w:bCs/>
          <w:spacing w:val="-20"/>
          <w:kern w:val="44"/>
          <w:sz w:val="40"/>
          <w:szCs w:val="40"/>
        </w:rPr>
      </w:pPr>
    </w:p>
    <w:p w:rsidR="00F87FA7">
      <w:pPr>
        <w:rPr>
          <w:rFonts w:ascii="宋体" w:hAnsi="宋体" w:cs="宋体"/>
          <w:b/>
          <w:bCs/>
          <w:spacing w:val="-20"/>
          <w:kern w:val="44"/>
          <w:sz w:val="40"/>
          <w:szCs w:val="40"/>
        </w:rPr>
      </w:pPr>
    </w:p>
    <w:p w:rsidR="00F87FA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F87FA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F87FA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F87FA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F87FA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F87FA7"/>
    <w:p w:rsidR="00F87FA7">
      <w:pPr>
        <w:rPr>
          <w:rFonts w:eastAsia="黑体"/>
          <w:sz w:val="44"/>
          <w:szCs w:val="44"/>
        </w:rPr>
      </w:pPr>
      <w:r>
        <w:rPr>
          <w:rFonts w:eastAsia="黑体"/>
          <w:sz w:val="44"/>
          <w:szCs w:val="44"/>
        </w:rPr>
        <w:br w:type="page"/>
      </w:r>
    </w:p>
    <w:p w:rsidR="00F87FA7">
      <w:pPr>
        <w:rPr>
          <w:rFonts w:eastAsia="黑体"/>
          <w:sz w:val="44"/>
          <w:szCs w:val="44"/>
        </w:rPr>
      </w:pPr>
    </w:p>
    <w:p w:rsidR="00F87FA7">
      <w:pPr>
        <w:rPr>
          <w:rFonts w:eastAsia="黑体"/>
          <w:sz w:val="44"/>
          <w:szCs w:val="44"/>
        </w:rPr>
      </w:pPr>
    </w:p>
    <w:p w:rsidR="00F87FA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F87FA7">
      <w:pPr>
        <w:ind w:firstLine="640" w:firstLineChars="200"/>
        <w:rPr>
          <w:rFonts w:ascii="仿宋_GB2312" w:eastAsia="仿宋_GB2312" w:hAnsi="仿宋_GB2312" w:cs="仿宋_GB2312"/>
          <w:sz w:val="32"/>
          <w:szCs w:val="32"/>
        </w:rPr>
      </w:pPr>
    </w:p>
    <w:p w:rsidR="00F87FA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F87FA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F87FA7">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F87FA7">
      <w:pPr>
        <w:rPr>
          <w:rFonts w:eastAsia="黑体"/>
          <w:sz w:val="44"/>
          <w:szCs w:val="44"/>
        </w:rPr>
        <w:sectPr>
          <w:pgSz w:w="11906" w:h="16838"/>
          <w:pgMar w:top="1440" w:right="1800" w:bottom="1440" w:left="1800" w:header="851" w:footer="992" w:gutter="0"/>
          <w:cols w:space="425"/>
          <w:docGrid w:type="lines" w:linePitch="312"/>
        </w:sectPr>
      </w:pPr>
    </w:p>
    <w:p w:rsidR="00F87FA7">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F87FA7">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F87FA7">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F87FA7">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F87FA7">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F87FA7">
      <w:pPr>
        <w:spacing w:line="400" w:lineRule="exact"/>
      </w:pPr>
    </w:p>
    <w:p w:rsidR="00F87FA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F87FA7" w:rsidP="00FF3902">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F87FA7">
      <w:pPr>
        <w:pStyle w:val="BodyTextIndent"/>
        <w:numPr>
          <w:ilvl w:val="0"/>
          <w:numId w:val="6"/>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F87FA7">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F87FA7">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F87FA7">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F87FA7">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F87FA7">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F87FA7">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F87FA7">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F87FA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F87FA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F87FA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F87FA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F87FA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F87FA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F87FA7">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F87FA7">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F87FA7">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F87FA7">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F87FA7">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F87FA7">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87FA7">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87FA7">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87FA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F87FA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F87FA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F87FA7">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F87FA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F87FA7">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F87FA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F87FA7">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F87FA7">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F87FA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F87FA7">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F87FA7">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F87FA7">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F87FA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F87FA7">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F87FA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F87FA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F87FA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F87FA7">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F87FA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F87FA7">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F87FA7">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F87FA7">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F87FA7">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F87FA7">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F87FA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F87FA7">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F87FA7" w:rsidP="00FF3902">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F87FA7">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F87FA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F87FA7">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F87FA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F87FA7">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F87FA7">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F87FA7">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F87FA7" w:rsidP="00FF3902">
      <w:pPr>
        <w:adjustRightInd w:val="0"/>
        <w:snapToGrid w:val="0"/>
        <w:spacing w:line="400" w:lineRule="exact"/>
        <w:ind w:firstLine="630" w:firstLineChars="300"/>
        <w:rPr>
          <w:rFonts w:ascii="宋体" w:hAnsi="宋体"/>
          <w:szCs w:val="21"/>
          <w:u w:val="single"/>
        </w:rPr>
      </w:pPr>
      <w:r w:rsidRPr="00FF3902">
        <w:rPr>
          <w:rFonts w:ascii="Wingdings" w:hAnsi="Wingdings" w:hint="eastAsia"/>
          <w:b/>
          <w:szCs w:val="21"/>
        </w:rPr>
        <w:t>√</w:t>
      </w:r>
      <w:r w:rsidR="00E9192D">
        <w:rPr>
          <w:rFonts w:ascii="宋体" w:hAnsi="宋体" w:hint="eastAsia"/>
          <w:szCs w:val="21"/>
        </w:rPr>
        <w:t>全额付款：</w:t>
      </w:r>
      <w:r w:rsidR="00E9192D">
        <w:rPr>
          <w:rFonts w:ascii="宋体" w:hAnsi="宋体" w:hint="eastAsia"/>
          <w:szCs w:val="21"/>
          <w:u w:val="single"/>
        </w:rPr>
        <w:t xml:space="preserve">     </w:t>
      </w:r>
      <w:r w:rsidR="00E9192D">
        <w:rPr>
          <w:rFonts w:ascii="宋体" w:hAnsi="宋体" w:hint="eastAsia"/>
          <w:szCs w:val="21"/>
          <w:u w:val="single"/>
        </w:rPr>
        <w:t>（应明确一次性支付合同款项的条件）</w:t>
      </w:r>
      <w:r w:rsidR="00E9192D">
        <w:rPr>
          <w:rFonts w:ascii="宋体" w:hAnsi="宋体" w:hint="eastAsia"/>
          <w:szCs w:val="21"/>
          <w:u w:val="single"/>
        </w:rPr>
        <w:t xml:space="preserve">                    </w:t>
      </w:r>
    </w:p>
    <w:p w:rsidR="00F87FA7">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F87FA7">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F87FA7">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F87FA7" w:rsidP="00FF3902">
      <w:pPr>
        <w:numPr>
          <w:ilvl w:val="0"/>
          <w:numId w:val="5"/>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F87FA7">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F87FA7">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F87FA7">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F87FA7">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F87FA7">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F87FA7">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F87FA7">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F87FA7">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F87FA7" w:rsidP="00FF3902">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F87FA7">
      <w:pPr>
        <w:numPr>
          <w:ilvl w:val="0"/>
          <w:numId w:val="7"/>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F87FA7">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F87FA7">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87FA7">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87FA7">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87FA7">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87FA7">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87FA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F87FA7">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F87FA7">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F87FA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F87FA7">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F87FA7">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F87FA7">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F87FA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F87FA7">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F87FA7">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F87FA7">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F87FA7" w:rsidP="00FF3902">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F87FA7">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F87FA7" w:rsidP="00FF3902">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F87FA7" w:rsidP="00FF3902">
      <w:pPr>
        <w:numPr>
          <w:ilvl w:val="0"/>
          <w:numId w:val="5"/>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F87FA7">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F87FA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F87FA7">
      <w:r>
        <w:rPr>
          <w:rFonts w:hint="eastAsia"/>
        </w:rPr>
        <w:br w:type="page"/>
      </w:r>
    </w:p>
    <w:p w:rsidR="00F87FA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F87FA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F87FA7">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法定代表人</w:t>
            </w:r>
          </w:p>
          <w:p w:rsidR="00F87FA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法定代表人</w:t>
            </w:r>
          </w:p>
          <w:p w:rsidR="00F87FA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F87FA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F87FA7">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F87FA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F87FA7">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F87FA7">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F87FA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F87FA7">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F87FA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F87FA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F87FA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F87FA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F87FA7">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F87FA7">
      <w:pPr>
        <w:numPr>
          <w:ilvl w:val="0"/>
          <w:numId w:val="8"/>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F87FA7">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F87FA7">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F87FA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F87FA7">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F87FA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F87FA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F87FA7">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F87FA7">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F87FA7">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F87FA7">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F87FA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F87FA7">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F87FA7">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F87FA7">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F87FA7">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F87FA7">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F87FA7">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F87FA7">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F87FA7">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F87FA7">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F87FA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F87FA7">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F87FA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F87FA7">
      <w:pPr>
        <w:numPr>
          <w:ilvl w:val="1"/>
          <w:numId w:val="10"/>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F87FA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F87FA7">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F87FA7">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F87FA7">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F87FA7">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F87FA7">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F87FA7">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F87FA7">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F87FA7">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F87FA7">
      <w:pPr>
        <w:numPr>
          <w:ilvl w:val="0"/>
          <w:numId w:val="11"/>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F87FA7">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F87FA7">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F87FA7">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F87FA7">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F87FA7">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F87FA7">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F87FA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F87FA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F87FA7">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F87FA7">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F87FA7">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F87FA7">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F87FA7">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F87FA7">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F87FA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F87FA7">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F87FA7">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F87FA7">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F87FA7">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F87FA7">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F87FA7">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F87FA7">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F87FA7">
      <w:pPr>
        <w:numPr>
          <w:ilvl w:val="0"/>
          <w:numId w:val="12"/>
        </w:numPr>
        <w:adjustRightInd w:val="0"/>
        <w:snapToGrid w:val="0"/>
        <w:spacing w:line="400" w:lineRule="exact"/>
        <w:jc w:val="left"/>
        <w:rPr>
          <w:rFonts w:ascii="宋体" w:hAnsi="宋体"/>
          <w:b/>
          <w:bCs/>
        </w:rPr>
      </w:pPr>
      <w:r>
        <w:rPr>
          <w:rFonts w:ascii="宋体" w:hAnsi="宋体" w:hint="eastAsia"/>
          <w:b/>
          <w:bCs/>
          <w:sz w:val="24"/>
        </w:rPr>
        <w:t>合同未尽事项</w:t>
      </w:r>
    </w:p>
    <w:p w:rsidR="00F87FA7">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F87FA7">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F87FA7">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F87FA7">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F87FA7"/>
        </w:tc>
      </w:tr>
      <w:tr>
        <w:tblPrEx>
          <w:tblW w:w="8519" w:type="dxa"/>
          <w:tblInd w:w="108" w:type="dxa"/>
          <w:tblLayout w:type="fixed"/>
          <w:tblLook w:val="04A0"/>
        </w:tblPrEx>
        <w:trPr>
          <w:trHeight w:val="667"/>
        </w:trPr>
        <w:tc>
          <w:tcPr>
            <w:tcW w:w="1607" w:type="dxa"/>
            <w:vMerge/>
            <w:vAlign w:val="center"/>
          </w:tcPr>
          <w:p w:rsidR="00F87FA7">
            <w:pPr>
              <w:adjustRightInd w:val="0"/>
              <w:snapToGrid w:val="0"/>
              <w:jc w:val="center"/>
              <w:rPr>
                <w:rFonts w:ascii="宋体" w:hAnsi="宋体"/>
                <w:szCs w:val="21"/>
              </w:rPr>
            </w:pPr>
          </w:p>
        </w:tc>
        <w:tc>
          <w:tcPr>
            <w:tcW w:w="1742" w:type="dxa"/>
            <w:vAlign w:val="center"/>
          </w:tcPr>
          <w:p w:rsidR="00F87FA7">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F87FA7"/>
        </w:tc>
      </w:tr>
      <w:tr>
        <w:tblPrEx>
          <w:tblW w:w="8519" w:type="dxa"/>
          <w:tblInd w:w="108" w:type="dxa"/>
          <w:tblLayout w:type="fixed"/>
          <w:tblLook w:val="04A0"/>
        </w:tblPrEx>
        <w:trPr>
          <w:trHeight w:val="772"/>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F87FA7"/>
        </w:tc>
      </w:tr>
      <w:tr>
        <w:tblPrEx>
          <w:tblW w:w="8519" w:type="dxa"/>
          <w:tblInd w:w="108" w:type="dxa"/>
          <w:tblLayout w:type="fixed"/>
          <w:tblLook w:val="04A0"/>
        </w:tblPrEx>
        <w:trPr>
          <w:trHeight w:val="667"/>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F87FA7"/>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F87FA7">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货物质量缺陷</w:t>
            </w:r>
          </w:p>
          <w:p w:rsidR="00F87FA7">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snapToGrid w:val="0"/>
              <w:jc w:val="center"/>
              <w:rPr>
                <w:rFonts w:ascii="宋体" w:hAnsi="宋体" w:cs="宋体"/>
                <w:szCs w:val="21"/>
              </w:rPr>
            </w:pPr>
            <w:r>
              <w:rPr>
                <w:rFonts w:ascii="宋体" w:hAnsi="宋体" w:cs="宋体" w:hint="eastAsia"/>
                <w:szCs w:val="21"/>
              </w:rPr>
              <w:t>第二节</w:t>
            </w:r>
          </w:p>
          <w:p w:rsidR="00F87FA7">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F87FA7">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F87FA7">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F87FA7">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F87FA7">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F87FA7">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F87FA7">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F87FA7">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F87FA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F87FA7">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F87FA7">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F87FA7">
            <w:pPr>
              <w:adjustRightInd w:val="0"/>
              <w:snapToGrid w:val="0"/>
              <w:jc w:val="center"/>
              <w:rPr>
                <w:rFonts w:ascii="宋体" w:hAnsi="宋体"/>
                <w:szCs w:val="21"/>
              </w:rPr>
            </w:pPr>
            <w:r>
              <w:rPr>
                <w:rFonts w:ascii="宋体" w:hAnsi="宋体" w:hint="eastAsia"/>
                <w:szCs w:val="21"/>
              </w:rPr>
              <w:t>第二节</w:t>
            </w:r>
          </w:p>
          <w:p w:rsidR="00F87FA7">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F87FA7">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F87FA7">
            <w:pPr>
              <w:adjustRightInd w:val="0"/>
              <w:snapToGrid w:val="0"/>
              <w:jc w:val="left"/>
              <w:rPr>
                <w:rFonts w:ascii="宋体" w:hAnsi="宋体"/>
                <w:szCs w:val="21"/>
              </w:rPr>
            </w:pPr>
          </w:p>
        </w:tc>
      </w:tr>
    </w:tbl>
    <w:p w:rsidR="00F87FA7"/>
    <w:p w:rsidR="00F87FA7">
      <w:pPr>
        <w:rPr>
          <w:b/>
          <w:bCs/>
          <w:sz w:val="44"/>
          <w:szCs w:val="44"/>
        </w:rPr>
      </w:pPr>
    </w:p>
    <w:p w:rsidR="00F87FA7"/>
    <w:p w:rsidR="00A77B3E"/>
    <w:p w:rsidR="00F87FA7" w:rsidP="00FF3902">
      <w:pPr>
        <w:numPr>
          <w:ilvl w:val="0"/>
          <w:numId w:val="4"/>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192D"/>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87FA7"/>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0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