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人工防雹作业潜力预报和条件预警功能模块智能化升级</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ZQCD-25386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青海省人工影响天气中心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人工防雹作业潜力预报和条件预警功能模块智能化升级</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ZQCD-25386</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合同签订后365天内完成系统建设、软件测试、业务试运行和项目验收。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青海省西宁市五四大街19号青海省人工影响天气中心业务平台</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2025年11月04日 00:00:00</w:t>
      </w:r>
      <w:bookmarkEnd w:id="27"/>
      <w:r>
        <w:rPr>
          <w:rFonts w:ascii="宋体" w:hint="eastAsia"/>
          <w:szCs w:val="21"/>
          <w:highlight w:val="none"/>
        </w:rPr>
        <w:t>至</w:t>
      </w:r>
      <w:bookmarkStart w:id="28" w:name="项目公告_signUpLastTime"/>
      <w:r>
        <w:rPr>
          <w:rFonts w:ascii="宋体" w:hint="eastAsia"/>
          <w:szCs w:val="21"/>
          <w:highlight w:val="none"/>
        </w:rPr>
        <w:t>2025年11月11日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2025年11月25日 14:00:00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刘亚明</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青海省人工影响天气中心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张博越</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0971-6114398</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青海省西宁市五四大街19号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青海省人工影响天气中心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4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（1）标的：人工防雹作业潜力预报和条件预警功能模块智能化升级 ，属于软件和信息技术服务行业；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是，代理服务费：1.7万元。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130.000000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130.000000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4"/>
        <w:gridCol w:w="301"/>
        <w:gridCol w:w="948"/>
        <w:gridCol w:w="301"/>
        <w:gridCol w:w="7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(2)</w:t>
            </w:r>
          </w:p>
        </w:tc>
        <w:tc>
          <w:tcPr/>
          <w:p>
            <w:r>
              <w:t>评审标准：</w:t>
            </w:r>
          </w:p>
          <w:p>
            <w:r>
              <w:t>1、投标人具有 ISO9000系列或GJB9001B质量管理体系认证；</w:t>
              <w:cr/>
              <w:t>2、知识产权管理体系认证；</w:t>
              <w:cr/>
              <w:t>以上每有一个证书得1分，满分2分。否则不得分。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每提供1份合同得1分，最多得8分。否则不得分。</w:t>
            </w:r>
          </w:p>
          <w:p>
            <w:r>
              <w:t>评审标准说明：</w:t>
            </w:r>
          </w:p>
          <w:p>
            <w:r>
              <w:t>1、需提供投标人与本项目类似的软件开发合同（必须包括合同首页、金额页、标的页、签字盖章页）复印件并加盖投标人公章。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(8)</w:t>
            </w:r>
          </w:p>
        </w:tc>
        <w:tc>
          <w:tcPr/>
          <w:p>
            <w:r>
              <w:t>评审标准：</w:t>
            </w:r>
          </w:p>
          <w:p>
            <w:r>
              <w:t>每提供 1份用户满意度证明得2分，最多得8分。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每提供1份软件著作权证书1分，1份发明专利得2分，最多得8分。</w:t>
            </w:r>
          </w:p>
          <w:p>
            <w:r>
              <w:t>评审标准说明：</w:t>
            </w:r>
          </w:p>
          <w:p>
            <w:r>
              <w:t>投标人提供原始取得的证书，并加盖投标人公章。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(11)</w:t>
            </w:r>
          </w:p>
        </w:tc>
        <w:tc>
          <w:tcPr/>
          <w:p>
            <w:r>
              <w:t>评审标准：</w:t>
            </w:r>
          </w:p>
          <w:p>
            <w:r>
              <w:t>投标人应组成本项目开发服务团队，团队组织结构清晰，应设服务团队负责人（项目经理）、技术负责人，人员专业背景齐全。具体如下：</w:t>
              <w:cr/>
              <w:t>1、团队人员中至少4人，其中至少2人以上驻场。完全满足得3分。</w:t>
              <w:cr/>
              <w:t>2、团队负责人（项目经理）具有电子、计算机类专业背景，且具有3年以上同类项目工作经验。完全满足得3分，否则不得分；</w:t>
              <w:cr/>
              <w:t>3、技术负责人必须具备软件设计/开发/集成等专业工程师（或以上）职称，且具有3年以上同类项目工作经验。完全满足得3分，否则不得分。</w:t>
              <w:cr/>
              <w:t>4、团队其他成员中至少2人具有2年以上同类项目工作经验。完全满足得2分，否则不得分。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系统接口设计技术方案（主观分）</w:t>
            </w:r>
          </w:p>
        </w:tc>
        <w:tc>
          <w:tcPr/>
          <w:p>
            <w:r>
              <w:t>勾选打分</w:t>
            </w:r>
            <w:r>
              <w:t>(4)</w:t>
            </w:r>
          </w:p>
        </w:tc>
        <w:tc>
          <w:tcPr/>
          <w:p>
            <w:r>
              <w:t>评审标准：</w:t>
            </w:r>
          </w:p>
          <w:p>
            <w:r>
              <w:t>一档0分</w:t>
              <w:cr/>
              <w:t>二档1分</w:t>
              <w:cr/>
              <w:t>三档2分</w:t>
              <w:cr/>
              <w:t>四档4分</w:t>
            </w:r>
          </w:p>
          <w:p>
            <w:r>
              <w:t>评审标准说明：</w:t>
            </w:r>
          </w:p>
          <w:p>
            <w:r>
              <w:t>与国省一体化人工影响天气综合业务平台（“天工”青海版）系统数据、功能模块调用对接方案，用于实现项目建设系统与“天工”系统之间的数据产品、功能模块的调用；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12</w:t>
            </w:r>
          </w:p>
        </w:tc>
        <w:tc>
          <w:tcPr>
            <w:vMerge/>
          </w:tcPr>
          <w:p>
            <w:r>
              <w:t>技术部分</w:t>
            </w:r>
          </w:p>
        </w:tc>
        <w:tc>
          <w:tcPr/>
          <w:p>
            <w:r>
              <w:t>模块设计技术方案（主观分）</w:t>
            </w:r>
          </w:p>
        </w:tc>
        <w:tc>
          <w:tcPr/>
          <w:p>
            <w:r>
              <w:t>区间打分</w:t>
            </w:r>
            <w:r>
              <w:t>(27)</w:t>
            </w:r>
          </w:p>
        </w:tc>
        <w:tc>
          <w:tcPr/>
          <w:p>
            <w:r>
              <w:t>评审标准：</w:t>
            </w:r>
          </w:p>
          <w:p>
            <w:r>
              <w:t>提交如下模块或功能技术方案：</w:t>
              <w:cr/>
              <w:t>1、X波段雷达资料应用子模块</w:t>
              <w:cr/>
              <w:t>2、冰雹预警升级子模块</w:t>
              <w:cr/>
              <w:t>3、作业时间批复指令文本生成子模块</w:t>
              <w:cr/>
              <w:t>4、基于CPEFS2.0资料的冰雹潜势识别子模块</w:t>
              <w:cr/>
              <w:t>5、重大活动保障子模块</w:t>
              <w:cr/>
              <w:t>6、防雹日志管理子模块</w:t>
              <w:cr/>
              <w:t>7、基于B/S架构的前端二维产品显示功能</w:t>
              <w:cr/>
              <w:t>8、基于B/S架构的前端三维格点产品显示功能</w:t>
              <w:cr/>
              <w:t>9、基于B/S架构的前端三维体积产品显示功能</w:t>
              <w:cr/>
              <w:t>以上每个部分</w:t>
              <w:cr/>
              <w:t>一档0分</w:t>
              <w:cr/>
              <w:t>二档1分</w:t>
              <w:cr/>
              <w:t>三档3分</w:t>
              <w:cr/>
              <w:t>以上共计9部分，满分27分。</w:t>
            </w:r>
          </w:p>
          <w:p>
            <w:r>
              <w:t>评审标准说明：</w:t>
            </w:r>
          </w:p>
          <w:p>
            <w:r>
              <w:t>按模块提出技术方案，每个模块评分标准如下：</w:t>
              <w:cr/>
              <w:t>一档：未提供或技术方案不完整，未覆盖项目的功能和非功能需求，描述不清楚、缺乏针对关建技术的分析，可行性针对性差。</w:t>
              <w:cr/>
              <w:t>二档：技术方案内容较完整，基本覆盖项目的功能和非功能需求，描述基本清楚；技术思路较合理、关建技术的分析较清晰，解决措施有一定可行性针对性，基本满足采购需求。</w:t>
              <w:cr/>
              <w:t>三档：技术方案内容完整、详实，覆盖项目的功能和非功能需求，描述清楚，逻辑性强，图文规范；技术先进，针对关建技术的分析详细，解决措施切实可行，针对性强，完全满足采购需求。</w:t>
            </w:r>
          </w:p>
          <w:p/>
        </w:tc>
      </w:tr>
    </w:tbl>
    <w:p w:rsidR="00A77B3E">
      <w:r>
        <w:t xml:space="preserve">      </w:t>
      </w:r>
    </w:p>
    <w:p w:rsidR="00A77B3E"/>
    <w:p w:rsidR="00A77B3E">
      <w:bookmarkEnd w:id="59"/>
    </w:p>
    <w:p>
      <w:pPr>
        <w:keepNext w:val="0"/>
        <w:keepLines w:val="0"/>
        <w:pageBreakBefore w:val="0"/>
        <w:numPr>
          <w:ilvl w:val="0"/>
          <w:numId w:val="4"/>
        </w:numPr>
        <w:kinsoku/>
        <w:wordWrap/>
        <w:overflowPunct/>
        <w:topLinePunct w:val="0"/>
        <w:autoSpaceDE/>
        <w:autoSpaceDN/>
        <w:bidi w:val="0"/>
        <w:adjustRightInd/>
        <w:snapToGrid/>
        <w:spacing w:before="156" w:beforeLines="50" w:line="640" w:lineRule="exact"/>
        <w:jc w:val="center"/>
        <w:textAlignment w:val="auto"/>
        <w:outlineLvl w:val="1"/>
        <w:rPr>
          <w:rFonts w:ascii="宋体" w:hAnsi="宋体" w:cs="宋体" w:hint="eastAsia"/>
          <w:b/>
          <w:sz w:val="30"/>
          <w:szCs w:val="30"/>
          <w:highlight w:val="none"/>
        </w:rPr>
      </w:pPr>
      <w:r>
        <w:rPr>
          <w:bCs/>
          <w:szCs w:val="21"/>
          <w:highlight w:val="none"/>
        </w:rPr>
        <w:br w:type="page"/>
      </w:r>
      <w:bookmarkStart w:id="60" w:name="插入_采购需求书"/>
      <w:r>
        <w:rPr>
          <w:rFonts w:ascii="宋体" w:eastAsia="宋体" w:hAnsi="宋体" w:cs="宋体" w:hint="eastAsia"/>
          <w:b/>
          <w:sz w:val="30"/>
          <w:szCs w:val="30"/>
          <w:highlight w:val="none"/>
        </w:rPr>
        <w:t xml:space="preserve"> 采购需求</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ascii="宋体" w:eastAsia="宋体" w:hAnsi="宋体" w:cs="宋体" w:hint="eastAsia"/>
          <w:kern w:val="2"/>
          <w:sz w:val="21"/>
          <w:highlight w:val="none"/>
          <w:lang w:val="zh-CN" w:bidi="ar-SA"/>
        </w:rPr>
      </w:pPr>
      <w:r>
        <w:rPr>
          <w:rFonts w:ascii="宋体" w:eastAsia="宋体" w:hAnsi="宋体" w:cs="宋体" w:hint="eastAsia"/>
          <w:b/>
          <w:bCs/>
          <w:kern w:val="2"/>
          <w:sz w:val="21"/>
          <w:szCs w:val="22"/>
          <w:highlight w:val="none"/>
          <w:lang w:val="en-US" w:eastAsia="zh-CN" w:bidi="ar-SA"/>
        </w:rPr>
        <w:t>项目概况：</w:t>
      </w:r>
      <w:r>
        <w:rPr>
          <w:rFonts w:ascii="宋体" w:eastAsia="宋体" w:hAnsi="宋体" w:cs="宋体" w:hint="eastAsia"/>
          <w:kern w:val="2"/>
          <w:sz w:val="21"/>
          <w:szCs w:val="22"/>
          <w:highlight w:val="none"/>
          <w:lang w:val="en-US" w:eastAsia="zh-CN" w:bidi="ar-SA"/>
        </w:rPr>
        <w:t>为进一步提升青海省人工防雹减灾效率，</w:t>
      </w:r>
      <w:r>
        <w:rPr>
          <w:rFonts w:ascii="宋体" w:eastAsia="宋体" w:hAnsi="宋体" w:cs="宋体" w:hint="eastAsia"/>
          <w:kern w:val="2"/>
          <w:sz w:val="21"/>
          <w:szCs w:val="22"/>
          <w:highlight w:val="none"/>
          <w:lang w:val="zh-CN" w:eastAsia="zh-CN" w:bidi="ar-SA"/>
        </w:rPr>
        <w:t>充分发挥近年来人影自建雷达在防雹预警中的作用，</w:t>
      </w:r>
      <w:r>
        <w:rPr>
          <w:rFonts w:ascii="宋体" w:eastAsia="宋体" w:hAnsi="宋体" w:cs="宋体" w:hint="eastAsia"/>
          <w:kern w:val="2"/>
          <w:sz w:val="21"/>
          <w:szCs w:val="22"/>
          <w:highlight w:val="none"/>
          <w:lang w:val="en-US" w:eastAsia="zh-CN" w:bidi="ar-SA"/>
        </w:rPr>
        <w:t>依托2025年省级气象发展资金项目建设，</w:t>
      </w:r>
      <w:r>
        <w:rPr>
          <w:rFonts w:ascii="宋体" w:eastAsia="宋体" w:hAnsi="宋体" w:cs="宋体" w:hint="eastAsia"/>
          <w:kern w:val="2"/>
          <w:sz w:val="21"/>
          <w:szCs w:val="22"/>
          <w:highlight w:val="none"/>
          <w:lang w:val="en-US" w:eastAsia="zh-CN" w:bidi="ar-SA"/>
        </w:rPr>
        <w:t>在</w:t>
      </w:r>
      <w:r>
        <w:rPr>
          <w:rFonts w:ascii="宋体" w:eastAsia="宋体" w:hAnsi="宋体" w:cs="宋体" w:hint="eastAsia"/>
          <w:kern w:val="2"/>
          <w:sz w:val="21"/>
          <w:szCs w:val="22"/>
          <w:highlight w:val="none"/>
          <w:lang w:val="zh-CN" w:eastAsia="zh-CN" w:bidi="ar-SA"/>
        </w:rPr>
        <w:t>现有“天工”国省一体化业务平台</w:t>
      </w:r>
      <w:r>
        <w:rPr>
          <w:rFonts w:ascii="宋体" w:eastAsia="宋体" w:hAnsi="宋体" w:cs="宋体" w:hint="eastAsia"/>
          <w:kern w:val="2"/>
          <w:sz w:val="21"/>
          <w:szCs w:val="22"/>
          <w:highlight w:val="none"/>
          <w:lang w:val="en-US" w:eastAsia="zh-CN" w:bidi="ar-SA"/>
        </w:rPr>
        <w:t>软件基础上对业务急需模块进行</w:t>
      </w:r>
      <w:r>
        <w:rPr>
          <w:rFonts w:ascii="宋体" w:eastAsia="宋体" w:hAnsi="宋体" w:cs="宋体" w:hint="eastAsia"/>
          <w:kern w:val="2"/>
          <w:sz w:val="21"/>
          <w:szCs w:val="22"/>
          <w:highlight w:val="none"/>
          <w:lang w:val="zh-CN" w:eastAsia="zh-CN" w:bidi="ar-SA"/>
        </w:rPr>
        <w:t>升级和</w:t>
      </w:r>
      <w:r>
        <w:rPr>
          <w:rFonts w:ascii="宋体" w:eastAsia="宋体" w:hAnsi="宋体" w:cs="宋体" w:hint="eastAsia"/>
          <w:kern w:val="2"/>
          <w:sz w:val="21"/>
          <w:szCs w:val="22"/>
          <w:highlight w:val="none"/>
          <w:lang w:val="en-US" w:eastAsia="zh-CN" w:bidi="ar-SA"/>
        </w:rPr>
        <w:t>新建</w:t>
      </w:r>
      <w:r>
        <w:rPr>
          <w:rFonts w:ascii="宋体" w:eastAsia="宋体" w:hAnsi="宋体" w:cs="宋体" w:hint="eastAsia"/>
          <w:kern w:val="2"/>
          <w:sz w:val="21"/>
          <w:szCs w:val="22"/>
          <w:highlight w:val="none"/>
          <w:lang w:val="zh-CN" w:eastAsia="zh-CN" w:bidi="ar-SA"/>
        </w:rPr>
        <w:t>，</w:t>
      </w:r>
      <w:r>
        <w:rPr>
          <w:rFonts w:ascii="宋体" w:eastAsia="宋体" w:hAnsi="宋体" w:cs="宋体" w:hint="eastAsia"/>
          <w:kern w:val="2"/>
          <w:sz w:val="21"/>
          <w:szCs w:val="22"/>
          <w:highlight w:val="none"/>
          <w:lang w:val="en-US" w:eastAsia="zh-CN" w:bidi="ar-SA"/>
        </w:rPr>
        <w:t>以达到</w:t>
      </w:r>
      <w:r>
        <w:rPr>
          <w:rFonts w:ascii="宋体" w:eastAsia="宋体" w:hAnsi="宋体" w:cs="宋体" w:hint="eastAsia"/>
          <w:kern w:val="2"/>
          <w:sz w:val="21"/>
          <w:szCs w:val="22"/>
          <w:highlight w:val="none"/>
          <w:lang w:val="zh-CN" w:eastAsia="zh-CN" w:bidi="ar-SA"/>
        </w:rPr>
        <w:t>提升防雹作业条件识别精细度、提高防雹预警信息的准确性和时效性的目的，为进一步提升人工防雹业务科学水平和防雹减灾效率提供支撑。</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440" w:lineRule="exact"/>
        <w:ind w:right="0"/>
        <w:jc w:val="both"/>
        <w:textAlignment w:val="auto"/>
        <w:outlineLvl w:val="0"/>
        <w:rPr>
          <w:rFonts w:ascii="宋体" w:eastAsia="宋体" w:hAnsi="宋体" w:cs="宋体" w:hint="eastAsia"/>
          <w:b/>
          <w:bCs/>
          <w:sz w:val="22"/>
          <w:highlight w:val="none"/>
        </w:rPr>
      </w:pPr>
      <w:r>
        <w:rPr>
          <w:rFonts w:ascii="宋体" w:eastAsia="宋体" w:hAnsi="宋体" w:cs="宋体" w:hint="eastAsia"/>
          <w:kern w:val="2"/>
          <w:sz w:val="21"/>
          <w:szCs w:val="22"/>
          <w:highlight w:val="none"/>
          <w:lang w:val="en-US" w:eastAsia="zh-CN" w:bidi="ar-SA"/>
        </w:rPr>
        <w:t>一．</w:t>
      </w:r>
      <w:r>
        <w:rPr>
          <w:rFonts w:ascii="宋体" w:eastAsia="宋体" w:hAnsi="宋体" w:cs="宋体" w:hint="eastAsia"/>
          <w:b/>
          <w:bCs/>
          <w:sz w:val="22"/>
          <w:szCs w:val="22"/>
          <w:highlight w:val="none"/>
          <w:lang w:val="en-US" w:eastAsia="zh-CN"/>
        </w:rPr>
        <w:t>采购标的需实现的功能或者目标，以及为落实政府采购政策需满足的要求</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lang w:val="zh-CN"/>
        </w:rPr>
      </w:pPr>
      <w:r>
        <w:rPr>
          <w:rFonts w:ascii="宋体" w:eastAsia="宋体" w:hAnsi="宋体" w:cs="宋体" w:hint="eastAsia"/>
          <w:highlight w:val="none"/>
          <w:lang w:val="en-US" w:eastAsia="zh-CN"/>
        </w:rPr>
        <w:t>项目</w:t>
      </w:r>
      <w:r>
        <w:rPr>
          <w:rFonts w:ascii="宋体" w:eastAsia="宋体" w:hAnsi="宋体" w:cs="宋体" w:hint="eastAsia"/>
          <w:highlight w:val="none"/>
          <w:lang w:val="zh-CN" w:eastAsia="zh-CN"/>
        </w:rPr>
        <w:t>人工防雹作业潜力预报和条件预警功能模块智能化升级主要包括六项</w:t>
      </w:r>
      <w:r>
        <w:rPr>
          <w:rFonts w:ascii="宋体" w:eastAsia="宋体" w:hAnsi="宋体" w:cs="宋体" w:hint="eastAsia"/>
          <w:highlight w:val="none"/>
          <w:lang w:val="en-US" w:eastAsia="zh-CN"/>
        </w:rPr>
        <w:t>建设</w:t>
      </w:r>
      <w:r>
        <w:rPr>
          <w:rFonts w:ascii="宋体" w:eastAsia="宋体" w:hAnsi="宋体" w:cs="宋体" w:hint="eastAsia"/>
          <w:highlight w:val="none"/>
          <w:lang w:val="zh-CN" w:eastAsia="zh-CN"/>
        </w:rPr>
        <w:t>内容：</w:t>
      </w:r>
      <w:bookmarkStart w:id="61" w:name="_Toc28050"/>
      <w:bookmarkStart w:id="62" w:name="_Toc444006129"/>
      <w:bookmarkStart w:id="63" w:name="_Toc84156508"/>
      <w:bookmarkStart w:id="64" w:name="_Toc664270688"/>
      <w:bookmarkStart w:id="65" w:name="_Toc1569502340"/>
      <w:bookmarkStart w:id="66" w:name="_Toc329715455"/>
      <w:bookmarkStart w:id="67" w:name="_Toc1872230404"/>
      <w:bookmarkStart w:id="68" w:name="_Toc23453"/>
      <w:bookmarkStart w:id="69" w:name="_Toc1456637790"/>
      <w:bookmarkStart w:id="70" w:name="_Toc1650177406"/>
      <w:bookmarkStart w:id="71" w:name="_Toc2135208761"/>
      <w:bookmarkStart w:id="72" w:name="_Toc560465724"/>
    </w:p>
    <w:bookmarkEnd w:id="61"/>
    <w:bookmarkEnd w:id="62"/>
    <w:bookmarkEnd w:id="63"/>
    <w:bookmarkEnd w:id="64"/>
    <w:bookmarkEnd w:id="65"/>
    <w:bookmarkEnd w:id="66"/>
    <w:bookmarkEnd w:id="67"/>
    <w:bookmarkEnd w:id="68"/>
    <w:bookmarkEnd w:id="69"/>
    <w:bookmarkEnd w:id="70"/>
    <w:bookmarkEnd w:id="71"/>
    <w:bookmarkEnd w:id="72"/>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X波段雷达资料应用、冰雹预警升级、基于CPEFS2.0资料的冰雹潜势识别</w:t>
      </w:r>
      <w:r>
        <w:rPr>
          <w:rFonts w:ascii="宋体" w:eastAsia="宋体" w:hAnsi="宋体" w:cs="宋体" w:hint="eastAsia"/>
          <w:highlight w:val="none"/>
          <w:lang w:val="en-US" w:eastAsia="zh-CN"/>
        </w:rPr>
        <w:t>子模块升级和</w:t>
      </w:r>
      <w:r>
        <w:rPr>
          <w:rFonts w:ascii="宋体" w:eastAsia="宋体" w:hAnsi="宋体" w:cs="宋体" w:hint="eastAsia"/>
          <w:highlight w:val="none"/>
          <w:lang w:val="zh-CN" w:eastAsia="zh-CN"/>
        </w:rPr>
        <w:t>作业时间批复指令文本生成、重大活动保障和防雹日志管理</w:t>
      </w:r>
      <w:r>
        <w:rPr>
          <w:rFonts w:ascii="宋体" w:eastAsia="宋体" w:hAnsi="宋体" w:cs="宋体" w:hint="eastAsia"/>
          <w:highlight w:val="none"/>
          <w:lang w:val="en-US" w:eastAsia="zh-CN"/>
        </w:rPr>
        <w:t>子模块建设</w:t>
      </w:r>
      <w:r>
        <w:rPr>
          <w:rFonts w:ascii="宋体" w:eastAsia="宋体" w:hAnsi="宋体" w:cs="宋体" w:hint="eastAsia"/>
          <w:highlight w:val="none"/>
          <w:lang w:val="zh-CN" w:eastAsia="zh-CN"/>
        </w:rPr>
        <w:t>。</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1. X波段雷达资料应用子模块</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利用国债</w:t>
      </w:r>
      <w:r>
        <w:rPr>
          <w:rFonts w:ascii="宋体" w:eastAsia="宋体" w:hAnsi="宋体" w:cs="宋体" w:hint="eastAsia"/>
          <w:highlight w:val="none"/>
          <w:lang w:val="en-US"/>
        </w:rPr>
        <w:t>等</w:t>
      </w:r>
      <w:r>
        <w:rPr>
          <w:rFonts w:ascii="宋体" w:eastAsia="宋体" w:hAnsi="宋体" w:cs="宋体" w:hint="eastAsia"/>
          <w:highlight w:val="none"/>
          <w:lang w:val="en-US" w:eastAsia="zh-CN"/>
        </w:rPr>
        <w:t>项目雷达建设成果，建立安全可行的传输方式，实现新建</w:t>
      </w:r>
      <w:r>
        <w:rPr>
          <w:rFonts w:ascii="宋体" w:eastAsia="宋体" w:hAnsi="宋体" w:cs="宋体" w:hint="eastAsia"/>
          <w:highlight w:val="none"/>
          <w:lang w:val="en-US"/>
        </w:rPr>
        <w:t>于</w:t>
      </w:r>
      <w:r>
        <w:rPr>
          <w:rFonts w:ascii="宋体" w:eastAsia="宋体" w:hAnsi="宋体" w:cs="宋体" w:hint="eastAsia"/>
          <w:highlight w:val="none"/>
          <w:lang w:val="en-US" w:eastAsia="zh-CN"/>
        </w:rPr>
        <w:t>大通、互助、湟中和乐都</w:t>
      </w:r>
      <w:r>
        <w:rPr>
          <w:rFonts w:ascii="宋体" w:eastAsia="宋体" w:hAnsi="宋体" w:cs="宋体" w:hint="eastAsia"/>
          <w:highlight w:val="none"/>
          <w:lang w:val="en-US"/>
        </w:rPr>
        <w:t>地区的</w:t>
      </w:r>
      <w:r>
        <w:rPr>
          <w:rFonts w:ascii="宋体" w:eastAsia="宋体" w:hAnsi="宋体" w:cs="宋体" w:hint="eastAsia"/>
          <w:highlight w:val="none"/>
          <w:lang w:val="en-US" w:eastAsia="zh-CN"/>
        </w:rPr>
        <w:t>4部X波段</w:t>
      </w:r>
      <w:r>
        <w:rPr>
          <w:rFonts w:ascii="宋体" w:eastAsia="宋体" w:hAnsi="宋体" w:cs="宋体" w:hint="eastAsia"/>
          <w:highlight w:val="none"/>
          <w:lang w:val="en-US"/>
        </w:rPr>
        <w:t>固定</w:t>
      </w:r>
      <w:r>
        <w:rPr>
          <w:rFonts w:ascii="宋体" w:eastAsia="宋体" w:hAnsi="宋体" w:cs="宋体" w:hint="eastAsia"/>
          <w:highlight w:val="none"/>
          <w:lang w:val="en-US" w:eastAsia="zh-CN"/>
        </w:rPr>
        <w:t>雷达资料的实时收集、数据解析处理，质量控制、数据存储，并对数据的实时入库进行监控。对新建</w:t>
      </w:r>
      <w:r>
        <w:rPr>
          <w:rFonts w:ascii="宋体" w:eastAsia="宋体" w:hAnsi="宋体" w:cs="宋体" w:hint="eastAsia"/>
          <w:highlight w:val="none"/>
          <w:lang w:val="en-US"/>
        </w:rPr>
        <w:t>的</w:t>
      </w:r>
      <w:r>
        <w:rPr>
          <w:rFonts w:ascii="宋体" w:eastAsia="宋体" w:hAnsi="宋体" w:cs="宋体" w:hint="eastAsia"/>
          <w:highlight w:val="none"/>
          <w:lang w:val="en-US" w:eastAsia="zh-CN"/>
        </w:rPr>
        <w:t>X波段雷达和原有</w:t>
      </w:r>
      <w:r>
        <w:rPr>
          <w:rFonts w:ascii="宋体" w:eastAsia="宋体" w:hAnsi="宋体" w:cs="宋体" w:hint="eastAsia"/>
          <w:highlight w:val="none"/>
          <w:lang w:val="en-US"/>
        </w:rPr>
        <w:t>的</w:t>
      </w:r>
      <w:r>
        <w:rPr>
          <w:rFonts w:ascii="宋体" w:eastAsia="宋体" w:hAnsi="宋体" w:cs="宋体" w:hint="eastAsia"/>
          <w:highlight w:val="none"/>
          <w:lang w:val="en-US" w:eastAsia="zh-CN"/>
        </w:rPr>
        <w:t>C波段雷达产品进行组网拼图，构建全省雷达拼图，对单站和组网产品进行可视化展示。</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2. 冰雹预警升级子模块</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升级基于C波段和X波段雷达数据智能外推算法</w:t>
      </w:r>
      <w:r>
        <w:rPr>
          <w:rFonts w:ascii="宋体" w:eastAsia="宋体" w:hAnsi="宋体" w:cs="宋体" w:hint="eastAsia"/>
          <w:highlight w:val="none"/>
          <w:lang w:val="en-US"/>
        </w:rPr>
        <w:t>，优化</w:t>
      </w:r>
      <w:r>
        <w:rPr>
          <w:rFonts w:ascii="宋体" w:eastAsia="宋体" w:hAnsi="宋体" w:cs="宋体" w:hint="eastAsia"/>
          <w:highlight w:val="none"/>
          <w:lang w:val="en-US" w:eastAsia="zh-CN"/>
        </w:rPr>
        <w:t>雷达外推防雹作业条件监测预警模型，实现未来两小时的人工防雹作业条件监测预警。配置分级预警策略，对达到防雹作业预警条件的区域进行实时分级预警。</w:t>
      </w:r>
      <w:r>
        <w:rPr>
          <w:rFonts w:ascii="宋体" w:eastAsia="宋体" w:hAnsi="宋体" w:cs="宋体" w:hint="eastAsia"/>
          <w:highlight w:val="none"/>
          <w:lang w:val="en-US"/>
        </w:rPr>
        <w:t>并根据云系垂直结构，给出作业方位角和仰角信息。</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bookmarkStart w:id="73" w:name="_Toc1396264174"/>
      <w:bookmarkStart w:id="74" w:name="_Toc1482478645"/>
      <w:bookmarkStart w:id="75" w:name="_Toc1271534530"/>
      <w:bookmarkStart w:id="76" w:name="_Toc1400602752"/>
      <w:bookmarkStart w:id="77" w:name="_Toc1607"/>
      <w:bookmarkStart w:id="78" w:name="_Toc463983915"/>
      <w:r>
        <w:rPr>
          <w:rFonts w:ascii="宋体" w:eastAsia="宋体" w:hAnsi="宋体" w:cs="宋体" w:hint="eastAsia"/>
          <w:highlight w:val="none"/>
          <w:lang w:val="en-US" w:eastAsia="zh-CN"/>
        </w:rPr>
        <w:t>3. 作业时间批复指令文本生成子模块</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rPr>
        <w:t>从目前业务运行的省级到空管部门或“天工”空域申请系统或模块中</w:t>
      </w:r>
      <w:r>
        <w:rPr>
          <w:rFonts w:ascii="宋体" w:eastAsia="宋体" w:hAnsi="宋体" w:cs="宋体" w:hint="eastAsia"/>
          <w:highlight w:val="none"/>
          <w:lang w:val="en-US" w:eastAsia="zh-CN"/>
        </w:rPr>
        <w:t>获取作业批复指令</w:t>
      </w:r>
      <w:r>
        <w:rPr>
          <w:rFonts w:ascii="宋体" w:eastAsia="宋体" w:hAnsi="宋体" w:cs="宋体" w:hint="eastAsia"/>
          <w:highlight w:val="none"/>
          <w:lang w:val="en-US"/>
        </w:rPr>
        <w:t>，根据</w:t>
      </w:r>
      <w:r>
        <w:rPr>
          <w:rFonts w:ascii="宋体" w:eastAsia="宋体" w:hAnsi="宋体" w:cs="宋体" w:hint="eastAsia"/>
          <w:highlight w:val="none"/>
          <w:lang w:val="en-US" w:eastAsia="zh-CN"/>
        </w:rPr>
        <w:t>青海省</w:t>
      </w:r>
      <w:r>
        <w:rPr>
          <w:rFonts w:ascii="宋体" w:eastAsia="宋体" w:hAnsi="宋体" w:cs="宋体" w:hint="eastAsia"/>
          <w:highlight w:val="none"/>
          <w:lang w:val="en-US"/>
        </w:rPr>
        <w:t>防雹</w:t>
      </w:r>
      <w:r>
        <w:rPr>
          <w:rFonts w:ascii="宋体" w:eastAsia="宋体" w:hAnsi="宋体" w:cs="宋体" w:hint="eastAsia"/>
          <w:highlight w:val="none"/>
          <w:lang w:val="en-US" w:eastAsia="zh-CN"/>
        </w:rPr>
        <w:t>视频监控系统的语音预警发布模块</w:t>
      </w:r>
      <w:r>
        <w:rPr>
          <w:rFonts w:ascii="宋体" w:eastAsia="宋体" w:hAnsi="宋体" w:cs="宋体" w:hint="eastAsia"/>
          <w:highlight w:val="none"/>
          <w:lang w:val="en-US"/>
        </w:rPr>
        <w:t>的实际需求，</w:t>
      </w:r>
      <w:r>
        <w:rPr>
          <w:rFonts w:ascii="宋体" w:eastAsia="宋体" w:hAnsi="宋体" w:cs="宋体" w:hint="eastAsia"/>
          <w:highlight w:val="none"/>
          <w:lang w:val="en-US" w:eastAsia="zh-CN"/>
        </w:rPr>
        <w:t>将指令消息转换</w:t>
      </w:r>
      <w:r>
        <w:rPr>
          <w:rFonts w:ascii="宋体" w:eastAsia="宋体" w:hAnsi="宋体" w:cs="宋体" w:hint="eastAsia"/>
          <w:highlight w:val="none"/>
          <w:lang w:val="en-US"/>
        </w:rPr>
        <w:t>并输出可直接用于语音播报的</w:t>
      </w:r>
      <w:r>
        <w:rPr>
          <w:rFonts w:ascii="宋体" w:eastAsia="宋体" w:hAnsi="宋体" w:cs="宋体" w:hint="eastAsia"/>
          <w:highlight w:val="none"/>
          <w:lang w:val="en-US" w:eastAsia="zh-CN"/>
        </w:rPr>
        <w:t>固定文本格式</w:t>
      </w:r>
      <w:r>
        <w:rPr>
          <w:rFonts w:ascii="宋体" w:eastAsia="宋体" w:hAnsi="宋体" w:cs="宋体" w:hint="eastAsia"/>
          <w:highlight w:val="none"/>
          <w:lang w:val="en-US"/>
        </w:rPr>
        <w:t>，以实现空域申请业务和防雹视频监控系统的对接的目的</w:t>
      </w:r>
      <w:r>
        <w:rPr>
          <w:rFonts w:ascii="宋体" w:eastAsia="宋体" w:hAnsi="宋体" w:cs="宋体" w:hint="eastAsia"/>
          <w:highlight w:val="none"/>
          <w:lang w:val="en-US" w:eastAsia="zh-CN"/>
        </w:rPr>
        <w:t>。</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4. 基于CPEFS2.0资料的冰雹潜势识别子模块</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rPr>
        <w:t>基于</w:t>
      </w:r>
      <w:r>
        <w:rPr>
          <w:rFonts w:ascii="宋体" w:eastAsia="宋体" w:hAnsi="宋体" w:cs="宋体" w:hint="eastAsia"/>
          <w:highlight w:val="none"/>
          <w:lang w:val="en-US" w:eastAsia="zh-CN"/>
        </w:rPr>
        <w:t>CPEFS2.0模式</w:t>
      </w:r>
      <w:r>
        <w:rPr>
          <w:rFonts w:ascii="宋体" w:eastAsia="宋体" w:hAnsi="宋体" w:cs="宋体" w:hint="eastAsia"/>
          <w:highlight w:val="none"/>
          <w:lang w:val="en-US"/>
        </w:rPr>
        <w:t>预报的云</w:t>
      </w:r>
      <w:r>
        <w:rPr>
          <w:rFonts w:ascii="宋体" w:eastAsia="宋体" w:hAnsi="宋体" w:cs="宋体" w:hint="eastAsia"/>
          <w:highlight w:val="none"/>
          <w:lang w:val="en-US" w:eastAsia="zh-CN"/>
        </w:rPr>
        <w:t>宏、微观物理量历史</w:t>
      </w:r>
      <w:r>
        <w:rPr>
          <w:rFonts w:ascii="宋体" w:eastAsia="宋体" w:hAnsi="宋体" w:cs="宋体" w:hint="eastAsia"/>
          <w:highlight w:val="none"/>
          <w:lang w:val="en-US"/>
        </w:rPr>
        <w:t>数据</w:t>
      </w:r>
      <w:r>
        <w:rPr>
          <w:rFonts w:ascii="宋体" w:eastAsia="宋体" w:hAnsi="宋体" w:cs="宋体" w:hint="eastAsia"/>
          <w:highlight w:val="none"/>
          <w:lang w:val="en-US" w:eastAsia="zh-CN"/>
        </w:rPr>
        <w:t>，</w:t>
      </w:r>
      <w:r>
        <w:rPr>
          <w:rFonts w:ascii="宋体" w:eastAsia="宋体" w:hAnsi="宋体" w:cs="宋体" w:hint="eastAsia"/>
          <w:highlight w:val="none"/>
          <w:lang w:val="en-US"/>
        </w:rPr>
        <w:t>利用</w:t>
      </w:r>
      <w:r>
        <w:rPr>
          <w:rFonts w:ascii="宋体" w:eastAsia="宋体" w:hAnsi="宋体" w:cs="宋体" w:hint="eastAsia"/>
          <w:highlight w:val="none"/>
          <w:lang w:val="en-US" w:eastAsia="zh-CN"/>
        </w:rPr>
        <w:t>机器学习方法构建冰雹潜势</w:t>
      </w:r>
      <w:r>
        <w:rPr>
          <w:rFonts w:ascii="宋体" w:eastAsia="宋体" w:hAnsi="宋体" w:cs="宋体" w:hint="eastAsia"/>
          <w:highlight w:val="none"/>
          <w:lang w:val="en-US"/>
        </w:rPr>
        <w:t>客观</w:t>
      </w:r>
      <w:r>
        <w:rPr>
          <w:rFonts w:ascii="宋体" w:eastAsia="宋体" w:hAnsi="宋体" w:cs="宋体" w:hint="eastAsia"/>
          <w:highlight w:val="none"/>
          <w:lang w:val="en-US" w:eastAsia="zh-CN"/>
        </w:rPr>
        <w:t>预报模型</w:t>
      </w:r>
      <w:r>
        <w:rPr>
          <w:rFonts w:ascii="宋体" w:eastAsia="宋体" w:hAnsi="宋体" w:cs="宋体" w:hint="eastAsia"/>
          <w:highlight w:val="none"/>
          <w:lang w:val="en-US"/>
        </w:rPr>
        <w:t>；基于实时的</w:t>
      </w:r>
      <w:r>
        <w:rPr>
          <w:rFonts w:ascii="宋体" w:eastAsia="宋体" w:hAnsi="宋体" w:cs="宋体" w:hint="eastAsia"/>
          <w:highlight w:val="none"/>
          <w:lang w:val="en-US" w:eastAsia="zh-CN"/>
        </w:rPr>
        <w:t>CPEFS2.0模式</w:t>
      </w:r>
      <w:r>
        <w:rPr>
          <w:rFonts w:ascii="宋体" w:eastAsia="宋体" w:hAnsi="宋体" w:cs="宋体" w:hint="eastAsia"/>
          <w:highlight w:val="none"/>
          <w:lang w:val="en-US"/>
        </w:rPr>
        <w:t>资料，调用构建的冰雹潜势客观预报模型进行模型运算，</w:t>
      </w:r>
      <w:r>
        <w:rPr>
          <w:rFonts w:ascii="宋体" w:eastAsia="宋体" w:hAnsi="宋体" w:cs="宋体" w:hint="eastAsia"/>
          <w:highlight w:val="none"/>
          <w:lang w:val="en-US" w:eastAsia="zh-CN"/>
        </w:rPr>
        <w:t>实现</w:t>
      </w:r>
      <w:r>
        <w:rPr>
          <w:rFonts w:ascii="宋体" w:eastAsia="宋体" w:hAnsi="宋体" w:cs="宋体" w:hint="eastAsia"/>
          <w:highlight w:val="none"/>
          <w:lang w:val="en-US"/>
        </w:rPr>
        <w:t>未来48小时逐小时的</w:t>
      </w:r>
      <w:r>
        <w:rPr>
          <w:rFonts w:ascii="宋体" w:eastAsia="宋体" w:hAnsi="宋体" w:cs="宋体" w:hint="eastAsia"/>
          <w:highlight w:val="none"/>
          <w:lang w:val="en-US" w:eastAsia="zh-CN"/>
        </w:rPr>
        <w:t>青海省冰雹</w:t>
      </w:r>
      <w:r>
        <w:rPr>
          <w:rFonts w:ascii="宋体" w:eastAsia="宋体" w:hAnsi="宋体" w:cs="宋体" w:hint="eastAsia"/>
          <w:highlight w:val="none"/>
          <w:lang w:val="en-US"/>
        </w:rPr>
        <w:t>落区</w:t>
      </w:r>
      <w:r>
        <w:rPr>
          <w:rFonts w:ascii="宋体" w:eastAsia="宋体" w:hAnsi="宋体" w:cs="宋体" w:hint="eastAsia"/>
          <w:highlight w:val="none"/>
          <w:lang w:val="en-US" w:eastAsia="zh-CN"/>
        </w:rPr>
        <w:t>潜势预报</w:t>
      </w:r>
      <w:r>
        <w:rPr>
          <w:rFonts w:ascii="宋体" w:eastAsia="宋体" w:hAnsi="宋体" w:cs="宋体" w:hint="eastAsia"/>
          <w:highlight w:val="none"/>
          <w:lang w:val="en-US"/>
        </w:rPr>
        <w:t>，</w:t>
      </w:r>
      <w:r>
        <w:rPr>
          <w:rFonts w:ascii="宋体" w:eastAsia="宋体" w:hAnsi="宋体" w:cs="宋体" w:hint="eastAsia"/>
          <w:highlight w:val="none"/>
          <w:lang w:val="en-US" w:eastAsia="zh-CN"/>
        </w:rPr>
        <w:t>提高冰雹潜力识别的精细化程度。</w:t>
      </w:r>
    </w:p>
    <w:bookmarkEnd w:id="73"/>
    <w:bookmarkEnd w:id="74"/>
    <w:bookmarkEnd w:id="75"/>
    <w:bookmarkEnd w:id="76"/>
    <w:bookmarkEnd w:id="77"/>
    <w:bookmarkEnd w:id="78"/>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bookmarkStart w:id="79" w:name="_Toc725602066"/>
      <w:bookmarkStart w:id="80" w:name="_Toc1068249109"/>
      <w:bookmarkStart w:id="81" w:name="_Toc11941"/>
      <w:bookmarkStart w:id="82" w:name="_Toc2139132033"/>
      <w:bookmarkStart w:id="83" w:name="_Toc809750950"/>
      <w:bookmarkStart w:id="84" w:name="_Toc9607940"/>
      <w:r>
        <w:rPr>
          <w:rFonts w:ascii="宋体" w:eastAsia="宋体" w:hAnsi="宋体" w:cs="宋体" w:hint="eastAsia"/>
          <w:highlight w:val="none"/>
          <w:lang w:val="en-US" w:eastAsia="zh-CN"/>
        </w:rPr>
        <w:t>5. 重大活动保障子模块</w:t>
      </w:r>
      <w:bookmarkEnd w:id="79"/>
      <w:bookmarkEnd w:id="80"/>
      <w:bookmarkEnd w:id="81"/>
      <w:bookmarkEnd w:id="82"/>
      <w:bookmarkEnd w:id="83"/>
      <w:bookmarkEnd w:id="84"/>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针对环</w:t>
      </w:r>
      <w:r>
        <w:rPr>
          <w:rFonts w:ascii="宋体" w:eastAsia="宋体" w:hAnsi="宋体" w:cs="宋体" w:hint="eastAsia"/>
          <w:highlight w:val="none"/>
          <w:lang w:val="en-US"/>
        </w:rPr>
        <w:t>青海</w:t>
      </w:r>
      <w:r>
        <w:rPr>
          <w:rFonts w:ascii="宋体" w:eastAsia="宋体" w:hAnsi="宋体" w:cs="宋体" w:hint="eastAsia"/>
          <w:highlight w:val="none"/>
          <w:lang w:val="en-US" w:eastAsia="zh-CN"/>
        </w:rPr>
        <w:t>湖</w:t>
      </w:r>
      <w:r>
        <w:rPr>
          <w:rFonts w:ascii="宋体" w:eastAsia="宋体" w:hAnsi="宋体" w:cs="宋体" w:hint="eastAsia"/>
          <w:highlight w:val="none"/>
          <w:lang w:val="en-US"/>
        </w:rPr>
        <w:t>国际公路</w:t>
      </w:r>
      <w:r>
        <w:rPr>
          <w:rFonts w:ascii="宋体" w:eastAsia="宋体" w:hAnsi="宋体" w:cs="宋体" w:hint="eastAsia"/>
          <w:highlight w:val="none"/>
          <w:lang w:val="en-US" w:eastAsia="zh-CN"/>
        </w:rPr>
        <w:t>自行车赛等重大活动，</w:t>
      </w:r>
      <w:r>
        <w:rPr>
          <w:rFonts w:ascii="宋体" w:eastAsia="宋体" w:hAnsi="宋体" w:cs="宋体" w:hint="eastAsia"/>
          <w:highlight w:val="none"/>
          <w:lang w:val="en-US"/>
        </w:rPr>
        <w:t>在“天工”（青海版）系统地图上实现</w:t>
      </w:r>
      <w:r>
        <w:rPr>
          <w:rFonts w:ascii="宋体" w:eastAsia="宋体" w:hAnsi="宋体" w:cs="宋体" w:hint="eastAsia"/>
          <w:highlight w:val="none"/>
          <w:lang w:val="en-US" w:eastAsia="zh-CN"/>
        </w:rPr>
        <w:t>赛段沿线</w:t>
      </w:r>
      <w:r>
        <w:rPr>
          <w:rFonts w:ascii="宋体" w:eastAsia="宋体" w:hAnsi="宋体" w:cs="宋体" w:hint="eastAsia"/>
          <w:highlight w:val="none"/>
          <w:lang w:val="en-US"/>
        </w:rPr>
        <w:t>等重点保障区的添加和配置管理，对赛段沿线的作业点影响范围进行显示，同时需保证在系统原有的气象产品上叠加展示。通过接入气象台发布的产品和此次建设的冰雹预警产品</w:t>
      </w:r>
      <w:r>
        <w:rPr>
          <w:rFonts w:ascii="宋体" w:eastAsia="宋体" w:hAnsi="宋体" w:cs="宋体" w:hint="eastAsia"/>
          <w:highlight w:val="none"/>
          <w:lang w:val="en-US" w:eastAsia="zh-CN"/>
        </w:rPr>
        <w:t>实现</w:t>
      </w:r>
      <w:r>
        <w:rPr>
          <w:rFonts w:ascii="宋体" w:eastAsia="宋体" w:hAnsi="宋体" w:cs="宋体" w:hint="eastAsia"/>
          <w:highlight w:val="none"/>
          <w:lang w:val="en-US"/>
        </w:rPr>
        <w:t>重点保障区</w:t>
      </w:r>
      <w:r>
        <w:rPr>
          <w:rFonts w:ascii="宋体" w:eastAsia="宋体" w:hAnsi="宋体" w:cs="宋体" w:hint="eastAsia"/>
          <w:highlight w:val="none"/>
          <w:lang w:val="en-US" w:eastAsia="zh-CN"/>
        </w:rPr>
        <w:t>内冰雹、大风等高影响天气的实时提醒。当有消减雨等保障服务需求时，能够基于GIS和重点保障区域进行消减雨作业范围的制作和本地化存储。</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6. 防雹日志管理子模块</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建立针对地面防雹从指挥到作业全流程的日志记录，通过在线管理形式，将作业情况、降雹信息、雹灾信息、人员信息、</w:t>
      </w:r>
      <w:r>
        <w:rPr>
          <w:rFonts w:ascii="宋体" w:eastAsia="宋体" w:hAnsi="宋体" w:cs="宋体" w:hint="eastAsia"/>
          <w:highlight w:val="none"/>
          <w:lang w:val="en-US"/>
        </w:rPr>
        <w:t>交接班信息、</w:t>
      </w:r>
      <w:r>
        <w:rPr>
          <w:rFonts w:ascii="宋体" w:eastAsia="宋体" w:hAnsi="宋体" w:cs="宋体" w:hint="eastAsia"/>
          <w:highlight w:val="none"/>
          <w:lang w:val="en-US" w:eastAsia="zh-CN"/>
        </w:rPr>
        <w:t>日志信息等进行信息化方式管理。</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440" w:lineRule="exact"/>
        <w:ind w:right="0"/>
        <w:jc w:val="both"/>
        <w:textAlignment w:val="auto"/>
        <w:outlineLvl w:val="0"/>
        <w:rPr>
          <w:rFonts w:ascii="宋体" w:eastAsia="宋体" w:hAnsi="宋体" w:cs="宋体" w:hint="eastAsia"/>
          <w:b/>
          <w:bCs/>
          <w:kern w:val="2"/>
          <w:sz w:val="21"/>
          <w:highlight w:val="none"/>
          <w:lang w:bidi="ar-SA"/>
        </w:rPr>
      </w:pPr>
      <w:r>
        <w:rPr>
          <w:rFonts w:ascii="宋体" w:eastAsia="宋体" w:hAnsi="宋体" w:cs="宋体" w:hint="eastAsia"/>
          <w:b/>
          <w:bCs/>
          <w:kern w:val="2"/>
          <w:sz w:val="21"/>
          <w:szCs w:val="22"/>
          <w:highlight w:val="none"/>
          <w:lang w:val="en-US" w:eastAsia="zh-CN" w:bidi="ar-SA"/>
        </w:rPr>
        <w:t>二．采购标的需执行的国家相关标准、行业标准、地方标准或者其他标准、规范</w:t>
      </w:r>
    </w:p>
    <w:p>
      <w:pPr>
        <w:keepNext w:val="0"/>
        <w:keepLines w:val="0"/>
        <w:pageBreakBefore w:val="0"/>
        <w:widowControl w:val="0"/>
        <w:numPr>
          <w:ilvl w:val="0"/>
          <w:numId w:val="0"/>
        </w:numPr>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rPr>
        <w:t>GB/T 1526-2023《软件开发规范》：作为软件开发规范国标，该标准适用于各类软件开发项目，旨在确保软件产品的质量、可维护性和安全性。它将软件开发流程统一划分为需求分析、设计、编码、测试、发布和维护等阶段，并强调了软件质量、敏捷开发方法、安全性和可靠性的重要性。</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440" w:lineRule="exact"/>
        <w:ind w:right="0"/>
        <w:jc w:val="both"/>
        <w:textAlignment w:val="auto"/>
        <w:outlineLvl w:val="0"/>
        <w:rPr>
          <w:rFonts w:ascii="宋体" w:eastAsia="宋体" w:hAnsi="宋体" w:cs="宋体" w:hint="eastAsia"/>
          <w:b/>
          <w:bCs/>
          <w:kern w:val="2"/>
          <w:sz w:val="21"/>
          <w:highlight w:val="none"/>
          <w:lang w:bidi="ar-SA"/>
        </w:rPr>
      </w:pPr>
      <w:r>
        <w:rPr>
          <w:rFonts w:ascii="宋体" w:eastAsia="宋体" w:hAnsi="宋体" w:cs="宋体" w:hint="eastAsia"/>
          <w:b/>
          <w:bCs/>
          <w:kern w:val="2"/>
          <w:sz w:val="21"/>
          <w:szCs w:val="22"/>
          <w:highlight w:val="none"/>
          <w:lang w:val="en-US" w:eastAsia="zh-CN" w:bidi="ar-SA"/>
        </w:rPr>
        <w:t>三、采购标的需满足的质量、安全、技术规格、物理特性等要求</w:t>
      </w:r>
    </w:p>
    <w:p>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ascii="宋体" w:eastAsia="宋体" w:hAnsi="宋体" w:cs="宋体" w:hint="eastAsia"/>
          <w:b/>
          <w:bCs/>
          <w:highlight w:val="none"/>
        </w:rPr>
      </w:pPr>
      <w:r>
        <w:rPr>
          <w:rFonts w:ascii="宋体" w:eastAsia="宋体" w:hAnsi="宋体" w:cs="宋体" w:hint="eastAsia"/>
          <w:b/>
          <w:bCs/>
          <w:highlight w:val="none"/>
          <w:lang w:val="en-US" w:eastAsia="zh-CN"/>
        </w:rPr>
        <w:t>（一）建设模块建设需达到如下技术规格</w:t>
      </w:r>
    </w:p>
    <w:p>
      <w:pPr>
        <w:keepNext w:val="0"/>
        <w:keepLines w:val="0"/>
        <w:pageBreakBefore w:val="0"/>
        <w:widowControl w:val="0"/>
        <w:kinsoku/>
        <w:wordWrap/>
        <w:overflowPunct/>
        <w:topLinePunct w:val="0"/>
        <w:autoSpaceDE/>
        <w:autoSpaceDN/>
        <w:bidi w:val="0"/>
        <w:adjustRightInd/>
        <w:snapToGrid/>
        <w:spacing w:line="440" w:lineRule="exact"/>
        <w:textAlignment w:val="auto"/>
        <w:outlineLvl w:val="2"/>
        <w:rPr>
          <w:rFonts w:ascii="宋体" w:eastAsia="宋体" w:hAnsi="宋体" w:cs="宋体" w:hint="eastAsia"/>
          <w:b/>
          <w:bCs/>
          <w:highlight w:val="none"/>
        </w:rPr>
      </w:pPr>
      <w:r>
        <w:rPr>
          <w:rFonts w:ascii="宋体" w:eastAsia="宋体" w:hAnsi="宋体" w:cs="宋体" w:hint="eastAsia"/>
          <w:b/>
          <w:bCs/>
          <w:highlight w:val="none"/>
          <w:lang w:val="en-US" w:eastAsia="zh-CN"/>
        </w:rPr>
        <w:t>1.系统展示技术要求</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1.1</w:t>
      </w:r>
      <w:r>
        <w:rPr>
          <w:rFonts w:ascii="宋体" w:eastAsia="宋体" w:hAnsi="宋体" w:cs="宋体" w:hint="eastAsia"/>
          <w:b w:val="0"/>
          <w:bCs w:val="0"/>
          <w:kern w:val="2"/>
          <w:sz w:val="21"/>
          <w:szCs w:val="22"/>
          <w:highlight w:val="none"/>
          <w:lang w:val="en-US" w:eastAsia="zh-CN" w:bidi="ar-SA"/>
        </w:rPr>
        <w:t>基于B/S架构的前端二维产品显示功能</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ind w:firstLine="420" w:firstLineChars="200"/>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项目建设的X波段雷达资料应用子模块、冰雹预警升级子模块、基于CPEFS2.0资料的冰雹潜势识别子模块、重大活动保障子模块和防雹日志管理子模块5个模块，需具备</w:t>
      </w:r>
      <w:r>
        <w:rPr>
          <w:rFonts w:ascii="宋体" w:eastAsia="宋体" w:hAnsi="宋体" w:cs="宋体" w:hint="eastAsia"/>
          <w:b w:val="0"/>
          <w:bCs w:val="0"/>
          <w:kern w:val="2"/>
          <w:sz w:val="21"/>
          <w:szCs w:val="22"/>
          <w:highlight w:val="none"/>
          <w:lang w:val="en-US" w:eastAsia="zh-CN" w:bidi="ar-SA"/>
        </w:rPr>
        <w:t>基于B/S架构的前端二维产品显示功能</w:t>
      </w:r>
      <w:r>
        <w:rPr>
          <w:rFonts w:ascii="宋体" w:eastAsia="宋体" w:hAnsi="宋体" w:cs="宋体" w:hint="eastAsia"/>
          <w:b w:val="0"/>
          <w:bCs w:val="0"/>
          <w:kern w:val="2"/>
          <w:sz w:val="21"/>
          <w:szCs w:val="22"/>
          <w:highlight w:val="none"/>
          <w:lang w:val="en-US" w:eastAsia="zh-CN" w:bidi="ar-SA"/>
        </w:rPr>
        <w:t>，可通过页面显示雷达组网、雷达反演、预警外推、冰雹潜力预报、重大活动保障和防雹日志管理等产品和内容。</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1.2</w:t>
      </w:r>
      <w:r>
        <w:rPr>
          <w:rFonts w:ascii="宋体" w:eastAsia="宋体" w:hAnsi="宋体" w:cs="宋体" w:hint="eastAsia"/>
          <w:b w:val="0"/>
          <w:bCs w:val="0"/>
          <w:kern w:val="2"/>
          <w:sz w:val="21"/>
          <w:szCs w:val="22"/>
          <w:highlight w:val="none"/>
          <w:lang w:val="en-US" w:eastAsia="zh-CN" w:bidi="ar-SA"/>
        </w:rPr>
        <w:t>基于B/S架构的前端三维格点产品显示功能</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ind w:firstLine="420" w:firstLineChars="200"/>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项目建设的X波段雷达资料应用子模块、冰雹预警升级子模块2个模块，需具备</w:t>
      </w:r>
      <w:r>
        <w:rPr>
          <w:rFonts w:ascii="宋体" w:eastAsia="宋体" w:hAnsi="宋体" w:cs="宋体" w:hint="eastAsia"/>
          <w:b w:val="0"/>
          <w:bCs w:val="0"/>
          <w:kern w:val="2"/>
          <w:sz w:val="21"/>
          <w:szCs w:val="22"/>
          <w:highlight w:val="none"/>
          <w:lang w:val="en-US" w:eastAsia="zh-CN" w:bidi="ar-SA"/>
        </w:rPr>
        <w:t>基于B/S架构的前端</w:t>
      </w:r>
      <w:r>
        <w:rPr>
          <w:rFonts w:ascii="宋体" w:eastAsia="宋体" w:hAnsi="宋体" w:cs="宋体" w:hint="eastAsia"/>
          <w:b w:val="0"/>
          <w:bCs w:val="0"/>
          <w:kern w:val="2"/>
          <w:sz w:val="21"/>
          <w:szCs w:val="22"/>
          <w:highlight w:val="none"/>
          <w:lang w:val="en-US" w:eastAsia="zh-CN" w:bidi="ar-SA"/>
        </w:rPr>
        <w:t>三维</w:t>
      </w:r>
      <w:r>
        <w:rPr>
          <w:rFonts w:ascii="宋体" w:eastAsia="宋体" w:hAnsi="宋体" w:cs="宋体" w:hint="eastAsia"/>
          <w:b w:val="0"/>
          <w:bCs w:val="0"/>
          <w:kern w:val="2"/>
          <w:sz w:val="21"/>
          <w:szCs w:val="22"/>
          <w:highlight w:val="none"/>
          <w:lang w:val="en-US" w:eastAsia="zh-CN" w:bidi="ar-SA"/>
        </w:rPr>
        <w:t>产品显示功能</w:t>
      </w:r>
      <w:r>
        <w:rPr>
          <w:rFonts w:ascii="宋体" w:eastAsia="宋体" w:hAnsi="宋体" w:cs="宋体" w:hint="eastAsia"/>
          <w:b w:val="0"/>
          <w:bCs w:val="0"/>
          <w:kern w:val="2"/>
          <w:sz w:val="21"/>
          <w:szCs w:val="22"/>
          <w:highlight w:val="none"/>
          <w:lang w:val="en-US" w:eastAsia="zh-CN" w:bidi="ar-SA"/>
        </w:rPr>
        <w:t>，可通过页面雷达单站、雷达组网、雷达反演、预警外推等产品和内容进行三维格点化分割和显示，能够完整呈现出云体的强中心等要素。</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1.3</w:t>
      </w:r>
      <w:r>
        <w:rPr>
          <w:rFonts w:ascii="宋体" w:eastAsia="宋体" w:hAnsi="宋体" w:cs="宋体" w:hint="eastAsia"/>
          <w:b w:val="0"/>
          <w:bCs w:val="0"/>
          <w:kern w:val="2"/>
          <w:sz w:val="21"/>
          <w:szCs w:val="22"/>
          <w:highlight w:val="none"/>
          <w:lang w:val="en-US" w:eastAsia="zh-CN" w:bidi="ar-SA"/>
        </w:rPr>
        <w:t>基于B/S架构的前端三维体积产品显示功能</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ind w:firstLine="420" w:firstLineChars="200"/>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项目建设的X波段雷达资料应用子模块、冰雹预警升级子模块2个模块，需具备</w:t>
      </w:r>
      <w:r>
        <w:rPr>
          <w:rFonts w:ascii="宋体" w:eastAsia="宋体" w:hAnsi="宋体" w:cs="宋体" w:hint="eastAsia"/>
          <w:b w:val="0"/>
          <w:bCs w:val="0"/>
          <w:kern w:val="2"/>
          <w:sz w:val="21"/>
          <w:szCs w:val="22"/>
          <w:highlight w:val="none"/>
          <w:lang w:val="en-US" w:eastAsia="zh-CN" w:bidi="ar-SA"/>
        </w:rPr>
        <w:t>基于B/S架构的前端</w:t>
      </w:r>
      <w:r>
        <w:rPr>
          <w:rFonts w:ascii="宋体" w:eastAsia="宋体" w:hAnsi="宋体" w:cs="宋体" w:hint="eastAsia"/>
          <w:b w:val="0"/>
          <w:bCs w:val="0"/>
          <w:kern w:val="2"/>
          <w:sz w:val="21"/>
          <w:szCs w:val="22"/>
          <w:highlight w:val="none"/>
          <w:lang w:val="en-US" w:eastAsia="zh-CN" w:bidi="ar-SA"/>
        </w:rPr>
        <w:t>三维体积</w:t>
      </w:r>
      <w:r>
        <w:rPr>
          <w:rFonts w:ascii="宋体" w:eastAsia="宋体" w:hAnsi="宋体" w:cs="宋体" w:hint="eastAsia"/>
          <w:b w:val="0"/>
          <w:bCs w:val="0"/>
          <w:kern w:val="2"/>
          <w:sz w:val="21"/>
          <w:szCs w:val="22"/>
          <w:highlight w:val="none"/>
          <w:lang w:val="en-US" w:eastAsia="zh-CN" w:bidi="ar-SA"/>
        </w:rPr>
        <w:t>显示功能</w:t>
      </w:r>
      <w:r>
        <w:rPr>
          <w:rFonts w:ascii="宋体" w:eastAsia="宋体" w:hAnsi="宋体" w:cs="宋体" w:hint="eastAsia"/>
          <w:b w:val="0"/>
          <w:bCs w:val="0"/>
          <w:kern w:val="2"/>
          <w:sz w:val="21"/>
          <w:szCs w:val="22"/>
          <w:highlight w:val="none"/>
          <w:lang w:val="en-US" w:eastAsia="zh-CN" w:bidi="ar-SA"/>
        </w:rPr>
        <w:t>，可通过页面对雷达组网、雷达反演、预警外推等产品和内容进行三维立体的体积模拟形式展示。</w:t>
      </w:r>
    </w:p>
    <w:p>
      <w:pPr>
        <w:keepNext w:val="0"/>
        <w:keepLines w:val="0"/>
        <w:pageBreakBefore w:val="0"/>
        <w:widowControl w:val="0"/>
        <w:kinsoku/>
        <w:wordWrap/>
        <w:overflowPunct/>
        <w:topLinePunct w:val="0"/>
        <w:autoSpaceDE/>
        <w:autoSpaceDN/>
        <w:bidi w:val="0"/>
        <w:adjustRightInd/>
        <w:snapToGrid/>
        <w:spacing w:line="440" w:lineRule="exact"/>
        <w:textAlignment w:val="auto"/>
        <w:outlineLvl w:val="2"/>
        <w:rPr>
          <w:rFonts w:ascii="宋体" w:eastAsia="宋体" w:hAnsi="宋体" w:cs="宋体" w:hint="eastAsia"/>
          <w:b/>
          <w:bCs/>
          <w:highlight w:val="none"/>
        </w:rPr>
      </w:pPr>
      <w:r>
        <w:rPr>
          <w:rFonts w:ascii="宋体" w:eastAsia="宋体" w:hAnsi="宋体" w:cs="宋体" w:hint="eastAsia"/>
          <w:b/>
          <w:bCs/>
          <w:highlight w:val="none"/>
          <w:lang w:val="en-US" w:eastAsia="zh-CN"/>
        </w:rPr>
        <w:t>2. 模块建设与</w:t>
      </w:r>
      <w:r>
        <w:rPr>
          <w:rFonts w:ascii="宋体" w:eastAsia="宋体" w:hAnsi="宋体" w:cs="宋体" w:hint="eastAsia"/>
          <w:b/>
          <w:bCs/>
          <w:highlight w:val="none"/>
          <w:lang w:val="en-US" w:eastAsia="zh-CN"/>
        </w:rPr>
        <w:t>国省一体化人工影响天气综合业务平台（“天工”青海版）系统</w:t>
      </w:r>
      <w:r>
        <w:rPr>
          <w:rFonts w:ascii="宋体" w:eastAsia="宋体" w:hAnsi="宋体" w:cs="宋体" w:hint="eastAsia"/>
          <w:b/>
          <w:bCs/>
          <w:highlight w:val="none"/>
          <w:lang w:val="en-US" w:eastAsia="zh-CN"/>
        </w:rPr>
        <w:t>对接要求</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2.1天工数据接口对接</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天工数据接口对接主要是将本项目所需要的人影基础信息和青海省“天工”平台上所产生的业务数据，通过“天工”平台的统一服务接口的方式接入本项目相关功能模块，包括作业点基础信息、作业批复指令信息、业务人员信息等。同时，将本项目通过“天擎”加工流水线生成的防雹作业条件监测预警产品、冰雹潜势预报和X波段雷达产品等产品通过天擎的MUSIC接口提供共享服务，供“天工”平台业务调用；同时将本地服务加工生成的空域申报文本信息、重大活动保障等信息通过内部接口提供共享服务，供“天工”平台业务调用。对接融入完成后，本项目所涉及的同一类型数据保持共用，且业务数据互通，保证数据的唯一性。</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2.2新建功能模块与主体对接</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（1）架构融入</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本项目新建X波段雷达资料应用模块、冰雹预警升级模块、作业时间批复指令文本生成子模块设计、基于CPEFS资料的冰雹潜势识别模块、重大活动保障模块以及防雹日志管理升级6个模块，其在开发和部署应用时，将遵循天工平台统一的组件化架构，识别出系统各自的核心功能和模块，通过定义清晰的接口和协议，实现系统间的无缝对接。</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在架构搭建过程中，将采用微服务架构模式，对系统核心功能进行精细化拆解，划分出多个独立模块，每个模块均承担特定业务逻辑，通过容器化技术实现轻量化部署与隔离。同时，依据行业标准规范制定统一的数据传输格式与接口协议，如采用 RESTful API 接口规范进行数据交互，使用 JSON 作为数据载体，确保各模块间通信稳定高效。此外为保障系统的可扩展性，预留动态扩容接口与插件式开发机制，当业务需求发生变化或需对接新设备时，能够快速集成新功能模块。</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（2）中间件与适配器设计</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为确保各系统间的通信畅通，新开发的模块组件需适配天工平台的中间件。中间件作为系统间数据交互的"桥梁枢纽"，采用标准化接口设计，通过协议转换引擎实现 HTTP、TCP/IP、WebSocket 等多种通信协议的动态适配。协议转换引擎内置协议映射表，可自动识别不同协议数据包特征，针对 HTTP 协议请求可快速转换为适合 TCP/IP 传输的二进制格式，确保数据在异构网络环境下的稳定传输。同时运用 JSON、XML 数据解析模块完成异构系统间的数据格式统一，解析模块支持动态加载自定义解析规则，能灵活处理嵌套式、多层级的数据结构，有效解决不同系统间数据字段不匹配问题。</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（3）组件化架构</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整体采用组件化架构，后端采用微服务架构，将各模块的功能拆分为多个独立的服务，通过API网关进行统一管理和调度。这样可以提高系统的可维护性和可扩展性，同时降低系统间的耦合度。</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进行功能精细化拆解，形成多个独立且高内聚的服务模块。各服务组件通过天工平台的统一组件调度服务平台实现统一管理与调度。通过负载均衡算法（轮询、加权最小连接数等）合理分配请求流量，保障系统高可用性。在安全防护层面，统一组件调度服务平台集成了身份认证、访问控制、数据加密等多重防护机制，有效防止非法请求入侵。</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组件化架构通过标准化接口进行通信，各组件间仅依赖接口契约而非具体实现，极大降低了系统耦合度，使得后续有新的模块组件时，只需遵循既定规范开发即可，为系统的持续迭代升级提供坚实的架构保障。</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2.3算法入库</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本项目所涉及的算法包括X波段雷达数据解析处理算法、省级雷达拼图算法、防雹作业条件监测预警算法、基于CPEFS资料的冰雹潜势识别算法。这些算法研发完成后，将按照“天擎”标准，对部署目录、算法生成数据目录等存储结构进行规范化存储从从而实现基于省气象大数据云平台的云化部署。</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（1）根据“天擎”融入标准，对X波段雷达数据解析处理算法、省级雷达拼图算法、防雹作业条件监测预警算法、基于CPEFS资料的冰雹潜势识别算法进行二次封装，使得算法可以在加工流水线系统进行编排运行；</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（2）在软件功能模块的业务流程定义任务时，所编排的算法或环节需支持相互之间的数据传递；</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针对定时任务算法增加DI和EI消息发送模块，便于此类算法的服务状态的监视，便于任务编排时识别算法的可服务或可使用的状态。算法定时调度和运行成功并有新的产品生成时，将向天镜发送DI和EI消息，实现数据产品的监控；</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4）根据“天擎”标准，将属于同一环境的算法封装在一个镜像中，算法以镜像形式融入天擎。基于加工流水线系统算法编排功能，对“服务”型算法进行编排、组合，由原来的多个算法，组合串接形成新的算法。</w:t>
      </w:r>
    </w:p>
    <w:p>
      <w:pPr>
        <w:keepNext w:val="0"/>
        <w:keepLines w:val="0"/>
        <w:pageBreakBefore w:val="0"/>
        <w:widowControl w:val="0"/>
        <w:kinsoku/>
        <w:wordWrap/>
        <w:overflowPunct/>
        <w:topLinePunct w:val="0"/>
        <w:autoSpaceDE/>
        <w:autoSpaceDN/>
        <w:bidi w:val="0"/>
        <w:adjustRightInd/>
        <w:snapToGrid/>
        <w:spacing w:line="440" w:lineRule="exact"/>
        <w:textAlignment w:val="auto"/>
        <w:outlineLvl w:val="2"/>
        <w:rPr>
          <w:rFonts w:ascii="宋体" w:eastAsia="宋体" w:hAnsi="宋体" w:cs="宋体" w:hint="eastAsia"/>
          <w:b/>
          <w:bCs/>
          <w:highlight w:val="none"/>
        </w:rPr>
      </w:pPr>
      <w:r>
        <w:rPr>
          <w:rFonts w:ascii="宋体" w:eastAsia="宋体" w:hAnsi="宋体" w:cs="宋体" w:hint="eastAsia"/>
          <w:b/>
          <w:bCs/>
          <w:highlight w:val="none"/>
          <w:lang w:val="en-US" w:eastAsia="zh-CN"/>
        </w:rPr>
        <w:t>3. 模块功能详细技术要求</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b w:val="0"/>
          <w:bCs w:val="0"/>
          <w:sz w:val="21"/>
          <w:szCs w:val="22"/>
          <w:highlight w:val="none"/>
          <w:lang w:val="en-US" w:bidi="ar-SA"/>
        </w:rPr>
      </w:pPr>
      <w:r>
        <w:rPr>
          <w:rFonts w:ascii="宋体" w:eastAsia="宋体" w:hAnsi="宋体" w:cs="宋体" w:hint="eastAsia"/>
          <w:b w:val="0"/>
          <w:bCs w:val="0"/>
          <w:kern w:val="2"/>
          <w:sz w:val="21"/>
          <w:szCs w:val="22"/>
          <w:highlight w:val="none"/>
          <w:lang w:val="en-US" w:eastAsia="zh-CN" w:bidi="ar-SA"/>
        </w:rPr>
        <w:t xml:space="preserve">3.1  </w:t>
      </w:r>
      <w:r>
        <w:rPr>
          <w:rFonts w:ascii="宋体" w:eastAsia="宋体" w:hAnsi="宋体" w:cs="宋体" w:hint="eastAsia"/>
          <w:b w:val="0"/>
          <w:bCs w:val="0"/>
          <w:kern w:val="2"/>
          <w:sz w:val="21"/>
          <w:szCs w:val="22"/>
          <w:highlight w:val="none"/>
          <w:lang w:val="en-US" w:eastAsia="zh-CN" w:bidi="ar-SA"/>
        </w:rPr>
        <w:t>X波段雷达资料应用模块</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3.1.1 X波段数据的实时获取，实现数据从雷达台站到省局服务器的高效、安全及隐私性传输；</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3.1.2 X波段雷达数据的读取，自适应VCP11/VCP21/VCP31等不同观测模式；</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en-US" w:eastAsia="zh-CN"/>
        </w:rPr>
        <w:t>3.1.3 X波段雷达数据的质控，质控方法至少包括：</w:t>
      </w:r>
      <w:r>
        <w:rPr>
          <w:rFonts w:ascii="宋体" w:eastAsia="宋体" w:hAnsi="宋体" w:cs="宋体" w:hint="eastAsia"/>
          <w:highlight w:val="none"/>
          <w:lang w:val="zh-CN" w:eastAsia="zh-CN"/>
        </w:rPr>
        <w:t>非气象回波识别剔除、Z衰减订正、ZDR衰减订正、ΦDP线性规划、KDP拟合、速度退模糊；</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3.1.4 X波段雷达数据产品的存储，增加数据库设计，满足快速查看要求；</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3.1.5 实现X及C波段雷达的组网拼图，构建全省雷达拼图，拼图产品包括X/C</w:t>
      </w:r>
      <w:r>
        <w:rPr>
          <w:rFonts w:ascii="宋体" w:eastAsia="宋体" w:hAnsi="宋体" w:cs="宋体" w:hint="eastAsia"/>
          <w:highlight w:val="none"/>
          <w:lang w:val="zh-CN" w:eastAsia="zh-CN"/>
        </w:rPr>
        <w:t>雷达探测参量融合组网</w:t>
      </w:r>
      <w:r>
        <w:rPr>
          <w:rFonts w:ascii="宋体" w:eastAsia="宋体" w:hAnsi="宋体" w:cs="宋体" w:hint="eastAsia"/>
          <w:highlight w:val="none"/>
          <w:lang w:val="en-US" w:eastAsia="zh-CN"/>
        </w:rPr>
        <w:t>,包括：</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（1）对X/</w:t>
      </w:r>
      <w:r>
        <w:rPr>
          <w:rFonts w:ascii="宋体" w:eastAsia="宋体" w:hAnsi="宋体" w:cs="宋体" w:hint="eastAsia"/>
          <w:highlight w:val="none"/>
          <w:lang w:val="en-US" w:eastAsia="zh-CN"/>
        </w:rPr>
        <w:t>C</w:t>
      </w:r>
      <w:r>
        <w:rPr>
          <w:rFonts w:ascii="宋体" w:eastAsia="宋体" w:hAnsi="宋体" w:cs="宋体" w:hint="eastAsia"/>
          <w:highlight w:val="none"/>
          <w:lang w:val="zh-CN" w:eastAsia="zh-CN"/>
        </w:rPr>
        <w:t>波段双偏振雷达探测的Z融合组网。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（2）对X/C波段双偏振雷达探测的ZDR融合组网。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（3）对X/C波段双偏振雷达探测的CC融合组网。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（4）对X/C波段双偏振雷达探测的KDP融合组网。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 xml:space="preserve">3.1.6 </w:t>
      </w:r>
      <w:r>
        <w:rPr>
          <w:rFonts w:ascii="宋体" w:eastAsia="宋体" w:hAnsi="宋体" w:cs="宋体" w:hint="eastAsia"/>
          <w:highlight w:val="none"/>
          <w:lang w:val="zh-CN" w:eastAsia="zh-CN"/>
        </w:rPr>
        <w:t>X/C雷达常规产品融合组网，</w:t>
      </w:r>
      <w:r>
        <w:rPr>
          <w:rFonts w:ascii="宋体" w:eastAsia="宋体" w:hAnsi="宋体" w:cs="宋体" w:hint="eastAsia"/>
          <w:highlight w:val="none"/>
          <w:lang w:val="en-US" w:eastAsia="zh-CN"/>
        </w:rPr>
        <w:t>包括：</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（1）X/C波段双偏振雷达垂直液态水VIL融合组网。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（2）X/C波段双偏振雷达组合反射率CR融合组网。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（3）X/C波段双偏振雷达回波顶高ET融合组网。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（4）X/C波段双偏振雷达</w:t>
      </w:r>
      <w:r>
        <w:rPr>
          <w:rFonts w:ascii="宋体" w:eastAsia="宋体" w:hAnsi="宋体" w:cs="宋体" w:hint="eastAsia"/>
          <w:highlight w:val="none"/>
          <w:lang w:val="en-US" w:eastAsia="zh-CN"/>
        </w:rPr>
        <w:t>反演冰雹</w:t>
      </w:r>
      <w:r>
        <w:rPr>
          <w:rFonts w:ascii="宋体" w:eastAsia="宋体" w:hAnsi="宋体" w:cs="宋体" w:hint="eastAsia"/>
          <w:highlight w:val="none"/>
          <w:lang w:val="zh-CN" w:eastAsia="zh-CN"/>
        </w:rPr>
        <w:t>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（5）X/C波段双偏振雷达1小时降水估测值R1h融合组网。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（6）X/C波段双偏振雷达3小时降水估测值R3h融合组网。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 xml:space="preserve">3.1.7 </w:t>
      </w:r>
      <w:r>
        <w:rPr>
          <w:rFonts w:ascii="宋体" w:eastAsia="宋体" w:hAnsi="宋体" w:cs="宋体" w:hint="eastAsia"/>
          <w:highlight w:val="none"/>
          <w:lang w:val="en-US" w:eastAsia="zh-CN"/>
        </w:rPr>
        <w:t>对单站和组网产品进行可视化展示</w:t>
      </w:r>
      <w:r>
        <w:rPr>
          <w:rFonts w:ascii="宋体" w:eastAsia="宋体" w:hAnsi="宋体" w:cs="宋体" w:hint="eastAsia"/>
          <w:highlight w:val="none"/>
          <w:lang w:val="en-US" w:eastAsia="zh-CN"/>
        </w:rPr>
        <w:t>，单站产品显示包括：</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（1）垂直液态水VIL融合组网。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（2）X/C波段双偏振雷达组合反射率CR融合组网。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（3）X/C波段双偏振雷达回波顶高ET融合组网。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（4）X/C波段双偏振雷达</w:t>
      </w:r>
      <w:r>
        <w:rPr>
          <w:rFonts w:ascii="宋体" w:eastAsia="宋体" w:hAnsi="宋体" w:cs="宋体" w:hint="eastAsia"/>
          <w:highlight w:val="none"/>
          <w:lang w:val="en-US" w:eastAsia="zh-CN"/>
        </w:rPr>
        <w:t>反演冰雹</w:t>
      </w:r>
      <w:r>
        <w:rPr>
          <w:rFonts w:ascii="宋体" w:eastAsia="宋体" w:hAnsi="宋体" w:cs="宋体" w:hint="eastAsia"/>
          <w:highlight w:val="none"/>
          <w:lang w:val="zh-CN" w:eastAsia="zh-CN"/>
        </w:rPr>
        <w:t>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（5）X/C波段双偏振雷达1小时降水估测值R1h融合组网。</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lang w:val="zh-CN"/>
        </w:rPr>
      </w:pPr>
      <w:r>
        <w:rPr>
          <w:rFonts w:ascii="宋体" w:eastAsia="宋体" w:hAnsi="宋体" w:cs="宋体" w:hint="eastAsia"/>
          <w:highlight w:val="none"/>
          <w:lang w:val="zh-CN" w:eastAsia="zh-CN"/>
        </w:rPr>
        <w:t>（6）X/C波段双偏振雷达3小时降水估测值R3h融合组网。</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sz w:val="21"/>
          <w:szCs w:val="21"/>
          <w:highlight w:val="none"/>
          <w:lang w:val="en-US" w:bidi="ar-SA"/>
        </w:rPr>
      </w:pPr>
      <w:r>
        <w:rPr>
          <w:rFonts w:ascii="宋体" w:eastAsia="宋体" w:hAnsi="宋体" w:cs="宋体" w:hint="eastAsia"/>
          <w:b/>
          <w:bCs/>
          <w:kern w:val="2"/>
          <w:sz w:val="21"/>
          <w:szCs w:val="21"/>
          <w:highlight w:val="none"/>
          <w:lang w:val="en-US" w:eastAsia="zh-CN" w:bidi="ar-SA"/>
        </w:rPr>
        <w:t xml:space="preserve">3.2 </w:t>
      </w:r>
      <w:r>
        <w:rPr>
          <w:rFonts w:ascii="宋体" w:eastAsia="宋体" w:hAnsi="宋体" w:cs="宋体" w:hint="eastAsia"/>
          <w:b/>
          <w:bCs/>
          <w:kern w:val="2"/>
          <w:sz w:val="21"/>
          <w:szCs w:val="21"/>
          <w:highlight w:val="none"/>
          <w:lang w:val="en-US" w:eastAsia="zh-CN" w:bidi="ar-SA"/>
        </w:rPr>
        <w:t>冰雹预警升级</w:t>
      </w:r>
      <w:r>
        <w:rPr>
          <w:rFonts w:ascii="宋体" w:eastAsia="宋体" w:hAnsi="宋体" w:cs="宋体" w:hint="eastAsia"/>
          <w:b/>
          <w:bCs/>
          <w:kern w:val="2"/>
          <w:sz w:val="21"/>
          <w:szCs w:val="21"/>
          <w:highlight w:val="none"/>
          <w:lang w:val="en-US" w:eastAsia="zh-CN" w:bidi="ar-SA"/>
        </w:rPr>
        <w:t>子</w:t>
      </w:r>
      <w:r>
        <w:rPr>
          <w:rFonts w:ascii="宋体" w:eastAsia="宋体" w:hAnsi="宋体" w:cs="宋体" w:hint="eastAsia"/>
          <w:b/>
          <w:bCs/>
          <w:kern w:val="2"/>
          <w:sz w:val="21"/>
          <w:szCs w:val="21"/>
          <w:highlight w:val="none"/>
          <w:lang w:val="en-US" w:eastAsia="zh-CN" w:bidi="ar-SA"/>
        </w:rPr>
        <w:t>模块</w:t>
      </w:r>
      <w:r>
        <w:rPr>
          <w:rFonts w:ascii="宋体" w:eastAsia="宋体" w:hAnsi="宋体" w:cs="宋体" w:hint="eastAsia"/>
          <w:b/>
          <w:bCs/>
          <w:kern w:val="2"/>
          <w:sz w:val="21"/>
          <w:szCs w:val="21"/>
          <w:highlight w:val="none"/>
          <w:lang w:val="en-US" w:eastAsia="zh-CN" w:bidi="ar-SA"/>
        </w:rPr>
        <w:t>技术需求</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 xml:space="preserve">3.2.1  </w:t>
      </w:r>
      <w:r>
        <w:rPr>
          <w:rFonts w:ascii="宋体" w:eastAsia="宋体" w:hAnsi="宋体" w:cs="宋体" w:hint="eastAsia"/>
          <w:highlight w:val="none"/>
          <w:lang w:val="en-US" w:eastAsia="zh-CN"/>
        </w:rPr>
        <w:t>C波段和X波段雷达数据智能外推算法</w:t>
      </w:r>
      <w:r>
        <w:rPr>
          <w:rFonts w:ascii="宋体" w:eastAsia="宋体" w:hAnsi="宋体" w:cs="宋体" w:hint="eastAsia"/>
          <w:highlight w:val="none"/>
          <w:lang w:val="en-US" w:eastAsia="zh-CN"/>
        </w:rPr>
        <w:t>实现2小时内的数据外推，包括雷达回波外推算法、雷达反演降雨外推算法、雷达反演冰雹外推算法。</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3.2.2 冰雹监控预警模型，能够对2小时内冰雹落区预测，结合防雹作业阈值如冰雹云体积、面积、垂直厚度等信息，建立多维度预警预判。</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3.2.3 按预警紧迫性划分 3-4 级预警（如紧急、重要、一般），明确各级响应流程。</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3.2.4 根据冰雹云的体积、面积、垂直厚度等信息，结合防雹作业点的作业条件，给出作业方位角和仰角信息。</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sz w:val="21"/>
          <w:szCs w:val="21"/>
          <w:highlight w:val="none"/>
          <w:lang w:val="en-US" w:bidi="ar-SA"/>
        </w:rPr>
      </w:pPr>
      <w:r>
        <w:rPr>
          <w:rFonts w:ascii="宋体" w:eastAsia="宋体" w:hAnsi="宋体" w:cs="宋体" w:hint="eastAsia"/>
          <w:b/>
          <w:bCs/>
          <w:kern w:val="2"/>
          <w:sz w:val="21"/>
          <w:szCs w:val="21"/>
          <w:highlight w:val="none"/>
          <w:lang w:val="en-US" w:eastAsia="zh-CN" w:bidi="ar-SA"/>
        </w:rPr>
        <w:t>3.3 作业时间批复指令文本生成子模块技术需求</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3.3.1 作业批复指令获取</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负责从空域申报模块中自动获取已生成的作业批复指令。它将监控申报系统的输出，确保一旦作业批复指令被批准，就能立即被捕捉并用于后续的处理流程。</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3.3.2作业批复指令文本制作</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将获取到的作业批复指令消息转换成固定的文本格式，以便于在视频监控系统中进行语音播报。包括格式化指令内容、添加必要的语音提示语以及确保文本信息的清晰性和易于理解。</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3.3.3语音预警发布对接</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将制作好的文本信息对接到青海省视频监控系统的语音预警发布模块。通过语音预警发布模块，文本信息将被自动转换为语音信号，并在设定的时间点通过监控系统向相关人员发布作业时间的语音通报。</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sz w:val="21"/>
          <w:szCs w:val="21"/>
          <w:highlight w:val="none"/>
          <w:lang w:val="en-US" w:bidi="ar-SA"/>
        </w:rPr>
      </w:pPr>
      <w:r>
        <w:rPr>
          <w:rFonts w:ascii="宋体" w:eastAsia="宋体" w:hAnsi="宋体" w:cs="宋体" w:hint="eastAsia"/>
          <w:b/>
          <w:bCs/>
          <w:kern w:val="2"/>
          <w:sz w:val="21"/>
          <w:szCs w:val="21"/>
          <w:highlight w:val="none"/>
          <w:lang w:val="en-US" w:eastAsia="zh-CN" w:bidi="ar-SA"/>
        </w:rPr>
        <w:t>3.4 基于CPEFS2.0资料的冰雹潜势识别子模块技术需求</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3.4.1历史资料收集与预处理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系统地收集青海省范围内模式的历史资料，包括宏观、微观物理量预报数据。对收集到的CPEFS模式历史资料进行清洗，去除缺失值、异常值和不一致的数据。对数据进行标准化和归一化处理，以便于机器学习模型更好地学习数据特征。根据冰雹形成的物理机制，提取和选择对冰雹预报有重要影响的特征，如可能的水汽条件、不稳定能量、上升气流等，为构建冰雹潜势预报模型做准备。</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3.4.2机器学习模型构建</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根据冰雹预报的需求，选择合适的机器学习算法，如支持向量机（SVM）、随机森林（RF）、梯度提升决策树（GBDT）。使用预处理后的CPEFS模式历史资料，将数据集划分为训练集和测试集。在训练集上训练机器学习模型，通过调整模型参数来优化模型的性能。在测试集上验证模型的准确性、召回率、F1分数等指标，确保模型具有良好的泛化能力和预报效果。通过交叉验证、网格搜索等技术，对模型进行调优。最终得到青海省基于CPEFS资料的冰雹潜势预报模型。</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3.4.3潜势预报模型应用与显示</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引接实时的CPEFS模式资料，调用构建的CPEFS资料的冰雹潜势预报模型进行模型运算，进行冰雹潜势的实时预报。模型输出冰雹潜势落区。将潜势预报结果在系统中进行可视化展示。</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sz w:val="21"/>
          <w:szCs w:val="21"/>
          <w:highlight w:val="none"/>
          <w:lang w:val="en-US" w:bidi="ar-SA"/>
        </w:rPr>
      </w:pPr>
      <w:r>
        <w:rPr>
          <w:rFonts w:ascii="宋体" w:eastAsia="宋体" w:hAnsi="宋体" w:cs="宋体" w:hint="eastAsia"/>
          <w:b/>
          <w:bCs/>
          <w:kern w:val="2"/>
          <w:sz w:val="21"/>
          <w:szCs w:val="21"/>
          <w:highlight w:val="none"/>
          <w:lang w:val="en-US" w:eastAsia="zh-CN" w:bidi="ar-SA"/>
        </w:rPr>
        <w:t>3.5 重大活动保障子模块</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3.5.1重点保障圈管理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用户在GIS地图上绘制和配置重点保障圈，确保在重大活动如青海湖环湖自行车赛期间，特定区域能够得到优先和加强的气象保障。管理员可以调整保障圈的大小、形状和位置，以及设置相关的保障参数。</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3.5.2冰雹天气实时提醒</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基于设置的重点保障圈，提供对流圈范围内冰雹等高影响天气的实时监测和提醒服务。一旦监测到保障圈内有冰雹形成的风险，系统将自动向相关人员发送实时预警信息，以便及时采取应对措施。</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3.5.3 消减雨作业范围制作</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当重大活动期间出现需要消减雨的情况时，将利用GIS技术和重点保障圈信息，辅助用户制作消减雨作业的具体范围。系统支持作业范围的绘制、编辑和本地化存储，确保作业计划能够迅速制定并执行。</w:t>
      </w:r>
    </w:p>
    <w:p>
      <w:pPr>
        <w:pStyle w:val="Heading4"/>
        <w:keepNext/>
        <w:keepLines/>
        <w:pageBreakBefore w:val="0"/>
        <w:widowControl w:val="0"/>
        <w:numPr>
          <w:ilvl w:val="0"/>
          <w:numId w:val="0"/>
        </w:numPr>
        <w:kinsoku/>
        <w:wordWrap/>
        <w:overflowPunct/>
        <w:topLinePunct w:val="0"/>
        <w:autoSpaceDE/>
        <w:autoSpaceDN/>
        <w:bidi w:val="0"/>
        <w:adjustRightInd/>
        <w:snapToGrid/>
        <w:spacing w:before="120" w:after="120" w:line="440" w:lineRule="exact"/>
        <w:textAlignment w:val="auto"/>
        <w:rPr>
          <w:rFonts w:ascii="宋体" w:eastAsia="宋体" w:hAnsi="宋体" w:cs="宋体" w:hint="eastAsia"/>
          <w:sz w:val="21"/>
          <w:szCs w:val="21"/>
          <w:highlight w:val="none"/>
          <w:lang w:val="en-US" w:bidi="ar-SA"/>
        </w:rPr>
      </w:pPr>
      <w:r>
        <w:rPr>
          <w:rFonts w:ascii="宋体" w:eastAsia="宋体" w:hAnsi="宋体" w:cs="宋体" w:hint="eastAsia"/>
          <w:b/>
          <w:bCs/>
          <w:kern w:val="2"/>
          <w:sz w:val="21"/>
          <w:szCs w:val="21"/>
          <w:highlight w:val="none"/>
          <w:lang w:val="en-US" w:eastAsia="zh-CN" w:bidi="ar-SA"/>
        </w:rPr>
        <w:t>3.6防雹日志管理子模块</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3.6.1防雹指挥日志自动记录</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系统将自动从人影作业信息和作业实况信息中提取关键数据，包括作业指令的下达时间、作业指令内容、执行状态等，生成日志记录，并通过在线管理平台进行存储、检索和共享。具备防雹日志报告制作功能，通过获取防雹作业信息、指挥信息以及空域申请信息，进行防雹作业空域申请、空域批复、实际作业等信息的统计，并利用统计信息进行防雹日志报告的制作。</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3.6.2防雹指挥日志手动记录</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操作人员在自动记录的基础上，对降雹信息、雹灾信息等不能通过自动化途径获取的防雹作业过程的信息手动添加，或修改、补充自动记录的日志信息，以补充自动记录可能遗漏的细节或特殊情况。这包括对作业过程中的异常事件、重要决策、人员调整等信息的记录，确保日志的完整性和准确性。</w:t>
      </w:r>
    </w:p>
    <w:p>
      <w:pPr>
        <w:keepNext w:val="0"/>
        <w:keepLines w:val="0"/>
        <w:pageBreakBefore w:val="0"/>
        <w:widowControl w:val="0"/>
        <w:kinsoku/>
        <w:wordWrap/>
        <w:overflowPunct/>
        <w:topLinePunct w:val="0"/>
        <w:autoSpaceDE/>
        <w:autoSpaceDN/>
        <w:bidi w:val="0"/>
        <w:adjustRightInd/>
        <w:spacing w:line="440" w:lineRule="exact"/>
        <w:textAlignment w:val="auto"/>
        <w:rPr>
          <w:rFonts w:ascii="宋体" w:eastAsia="宋体" w:hAnsi="宋体" w:cs="宋体" w:hint="eastAsia"/>
          <w:highlight w:val="none"/>
        </w:rPr>
      </w:pPr>
      <w:r>
        <w:rPr>
          <w:rFonts w:ascii="宋体" w:eastAsia="宋体" w:hAnsi="宋体" w:cs="宋体" w:hint="eastAsia"/>
          <w:highlight w:val="none"/>
          <w:lang w:val="en-US" w:eastAsia="zh-CN"/>
        </w:rPr>
        <w:t>3.6.3防雹指挥日志管理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提供了防雹指挥日志管理功能，用于存储、检索、分析和报告防雹作业的日志信息。管理功能包括日志的归档、查询、统计、导出等，同时支持对作业情况、降雹信息、雹灾信息、人员信息等数据的综合管理。有效地监控防雹作业的全流程，方便进行复盘。</w:t>
      </w:r>
    </w:p>
    <w:p>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ascii="宋体" w:eastAsia="宋体" w:hAnsi="宋体" w:cs="宋体" w:hint="eastAsia"/>
          <w:b/>
          <w:bCs/>
          <w:highlight w:val="none"/>
        </w:rPr>
      </w:pPr>
      <w:r>
        <w:rPr>
          <w:rFonts w:ascii="宋体" w:eastAsia="宋体" w:hAnsi="宋体" w:cs="宋体" w:hint="eastAsia"/>
          <w:b/>
          <w:bCs/>
          <w:highlight w:val="none"/>
          <w:lang w:val="en-US" w:eastAsia="zh-CN"/>
        </w:rPr>
        <w:t>（二）模块建设需达到如下性能要求</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 xml:space="preserve">1. </w:t>
      </w:r>
      <w:r>
        <w:rPr>
          <w:rFonts w:ascii="宋体" w:eastAsia="宋体" w:hAnsi="宋体" w:cs="宋体" w:hint="eastAsia"/>
          <w:highlight w:val="none"/>
          <w:lang w:val="en-US" w:eastAsia="zh-CN"/>
        </w:rPr>
        <w:t>X波段雷达资料应用模块</w:t>
      </w:r>
      <w:r>
        <w:rPr>
          <w:rFonts w:ascii="宋体" w:eastAsia="宋体" w:hAnsi="宋体" w:cs="宋体" w:hint="eastAsia"/>
          <w:highlight w:val="none"/>
          <w:lang w:val="en-US" w:eastAsia="zh-CN"/>
        </w:rPr>
        <w:t>需</w:t>
      </w:r>
      <w:r>
        <w:rPr>
          <w:rFonts w:ascii="宋体" w:eastAsia="宋体" w:hAnsi="宋体" w:cs="宋体" w:hint="eastAsia"/>
          <w:highlight w:val="none"/>
          <w:lang w:val="en-US" w:eastAsia="zh-CN"/>
        </w:rPr>
        <w:t>建立安全可行的传输方式，实现4部X波段雷达数据到青海省人工影响天气中心的实时传输</w:t>
      </w:r>
      <w:r>
        <w:rPr>
          <w:rFonts w:ascii="宋体" w:eastAsia="宋体" w:hAnsi="宋体" w:cs="宋体" w:hint="eastAsia"/>
          <w:highlight w:val="none"/>
          <w:lang w:val="en-US" w:eastAsia="zh-CN"/>
        </w:rPr>
        <w:t>，实现</w:t>
      </w:r>
      <w:r>
        <w:rPr>
          <w:rFonts w:ascii="宋体" w:eastAsia="宋体" w:hAnsi="宋体" w:cs="宋体" w:hint="eastAsia"/>
          <w:highlight w:val="none"/>
          <w:lang w:val="en-US" w:eastAsia="zh-CN"/>
        </w:rPr>
        <w:t>单站传输时效≤30秒，可传输的雷达站不少于4个，雷达质控算法不少于4种，雷达拼图算法加工的时效性≤20s</w:t>
      </w:r>
      <w:r>
        <w:rPr>
          <w:rFonts w:ascii="宋体" w:eastAsia="宋体" w:hAnsi="宋体" w:cs="宋体" w:hint="eastAsia"/>
          <w:highlight w:val="none"/>
          <w:lang w:val="en-US" w:eastAsia="zh-CN"/>
        </w:rPr>
        <w:t>。</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 xml:space="preserve">2. </w:t>
      </w:r>
      <w:r>
        <w:rPr>
          <w:rFonts w:ascii="宋体" w:eastAsia="宋体" w:hAnsi="宋体" w:cs="宋体" w:hint="eastAsia"/>
          <w:highlight w:val="none"/>
          <w:lang w:val="en-US" w:eastAsia="zh-CN"/>
        </w:rPr>
        <w:t>冰雹预警升级模块</w:t>
      </w:r>
      <w:r>
        <w:rPr>
          <w:rFonts w:ascii="宋体" w:eastAsia="宋体" w:hAnsi="宋体" w:cs="宋体" w:hint="eastAsia"/>
          <w:highlight w:val="none"/>
          <w:lang w:val="en-US" w:eastAsia="zh-CN"/>
        </w:rPr>
        <w:t>需</w:t>
      </w:r>
      <w:r>
        <w:rPr>
          <w:rFonts w:ascii="宋体" w:eastAsia="宋体" w:hAnsi="宋体" w:cs="宋体" w:hint="eastAsia"/>
          <w:highlight w:val="none"/>
          <w:lang w:val="en-US" w:eastAsia="zh-CN"/>
        </w:rPr>
        <w:t>基于雷达数据智能外推算法</w:t>
      </w:r>
      <w:r>
        <w:rPr>
          <w:rFonts w:ascii="宋体" w:eastAsia="宋体" w:hAnsi="宋体" w:cs="宋体" w:hint="eastAsia"/>
          <w:highlight w:val="none"/>
          <w:lang w:val="en-US" w:eastAsia="zh-CN"/>
        </w:rPr>
        <w:t>实现</w:t>
      </w:r>
      <w:r>
        <w:rPr>
          <w:rFonts w:ascii="宋体" w:eastAsia="宋体" w:hAnsi="宋体" w:cs="宋体" w:hint="eastAsia"/>
          <w:highlight w:val="none"/>
          <w:lang w:val="en-US" w:eastAsia="zh-CN"/>
        </w:rPr>
        <w:t>预警功能</w:t>
      </w:r>
      <w:r>
        <w:rPr>
          <w:rFonts w:ascii="宋体" w:eastAsia="宋体" w:hAnsi="宋体" w:cs="宋体" w:hint="eastAsia"/>
          <w:highlight w:val="none"/>
          <w:lang w:val="en-US" w:eastAsia="zh-CN"/>
        </w:rPr>
        <w:t>，</w:t>
      </w:r>
      <w:r>
        <w:rPr>
          <w:rFonts w:ascii="宋体" w:eastAsia="宋体" w:hAnsi="宋体" w:cs="宋体" w:hint="eastAsia"/>
          <w:highlight w:val="none"/>
          <w:lang w:val="en-US" w:eastAsia="zh-CN"/>
        </w:rPr>
        <w:t>条件监测预警产品生成响应速度≤10秒，作业条件监测预警与显示页面相应实现≤5秒</w:t>
      </w:r>
      <w:r>
        <w:rPr>
          <w:rFonts w:ascii="宋体" w:eastAsia="宋体" w:hAnsi="宋体" w:cs="宋体" w:hint="eastAsia"/>
          <w:highlight w:val="none"/>
          <w:lang w:val="en-US" w:eastAsia="zh-CN"/>
        </w:rPr>
        <w:t>，</w:t>
      </w:r>
      <w:r>
        <w:rPr>
          <w:rFonts w:ascii="宋体" w:eastAsia="宋体" w:hAnsi="宋体" w:cs="宋体" w:hint="eastAsia"/>
          <w:highlight w:val="none"/>
          <w:lang w:val="en-US" w:eastAsia="zh-CN"/>
        </w:rPr>
        <w:t>冰雹预警提前量≥20分钟，预警覆盖防雹作业点达到85%以上</w:t>
      </w:r>
      <w:r>
        <w:rPr>
          <w:rFonts w:ascii="宋体" w:eastAsia="宋体" w:hAnsi="宋体" w:cs="宋体" w:hint="eastAsia"/>
          <w:highlight w:val="none"/>
          <w:lang w:val="en-US" w:eastAsia="zh-CN"/>
        </w:rPr>
        <w:t>。</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 xml:space="preserve">3. </w:t>
      </w:r>
      <w:r>
        <w:rPr>
          <w:rFonts w:ascii="宋体" w:eastAsia="宋体" w:hAnsi="宋体" w:cs="宋体" w:hint="eastAsia"/>
          <w:highlight w:val="none"/>
          <w:lang w:val="en-US" w:eastAsia="zh-CN"/>
        </w:rPr>
        <w:t>基于CPEFS2.0资料的冰雹潜势识别</w:t>
      </w:r>
      <w:r>
        <w:rPr>
          <w:rFonts w:ascii="宋体" w:eastAsia="宋体" w:hAnsi="宋体" w:cs="宋体" w:hint="eastAsia"/>
          <w:highlight w:val="none"/>
          <w:lang w:val="en-US" w:eastAsia="zh-CN"/>
        </w:rPr>
        <w:t>需实现自动生成</w:t>
      </w:r>
      <w:r>
        <w:rPr>
          <w:rFonts w:ascii="宋体" w:eastAsia="宋体" w:hAnsi="宋体" w:cs="宋体" w:hint="eastAsia"/>
          <w:highlight w:val="none"/>
          <w:lang w:val="en-US" w:eastAsia="zh-CN"/>
        </w:rPr>
        <w:t>基于</w:t>
      </w:r>
      <w:r>
        <w:rPr>
          <w:rFonts w:ascii="宋体" w:eastAsia="宋体" w:hAnsi="宋体" w:cs="宋体" w:hint="eastAsia"/>
          <w:highlight w:val="none"/>
          <w:lang w:val="en-US" w:eastAsia="zh-CN"/>
        </w:rPr>
        <w:t>CPEFS2.0</w:t>
      </w:r>
      <w:r>
        <w:rPr>
          <w:rFonts w:ascii="宋体" w:eastAsia="宋体" w:hAnsi="宋体" w:cs="宋体" w:hint="eastAsia"/>
          <w:highlight w:val="none"/>
          <w:lang w:val="en-US" w:eastAsia="zh-CN"/>
        </w:rPr>
        <w:t>产品的冰雹潜势智能化识别</w:t>
      </w:r>
      <w:r>
        <w:rPr>
          <w:rFonts w:ascii="宋体" w:eastAsia="宋体" w:hAnsi="宋体" w:cs="宋体" w:hint="eastAsia"/>
          <w:highlight w:val="none"/>
          <w:lang w:val="en-US" w:eastAsia="zh-CN"/>
        </w:rPr>
        <w:t>，</w:t>
      </w:r>
      <w:r>
        <w:rPr>
          <w:rFonts w:ascii="宋体" w:eastAsia="宋体" w:hAnsi="宋体" w:cs="宋体" w:hint="eastAsia"/>
          <w:highlight w:val="none"/>
          <w:lang w:val="en-US" w:eastAsia="zh-CN"/>
        </w:rPr>
        <w:t>冰雹潜势产品生成响应速度≤10秒</w:t>
      </w:r>
      <w:r>
        <w:rPr>
          <w:rFonts w:ascii="宋体" w:eastAsia="宋体" w:hAnsi="宋体" w:cs="宋体" w:hint="eastAsia"/>
          <w:highlight w:val="none"/>
          <w:lang w:val="en-US" w:eastAsia="zh-CN"/>
        </w:rPr>
        <w:t>。</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 xml:space="preserve">4. </w:t>
      </w:r>
      <w:r>
        <w:rPr>
          <w:rFonts w:ascii="宋体" w:eastAsia="宋体" w:hAnsi="宋体" w:cs="宋体" w:hint="eastAsia"/>
          <w:highlight w:val="none"/>
          <w:lang w:val="en-US" w:eastAsia="zh-CN"/>
        </w:rPr>
        <w:t>作业时间批复指令文本生成</w:t>
      </w:r>
      <w:r>
        <w:rPr>
          <w:rFonts w:ascii="宋体" w:eastAsia="宋体" w:hAnsi="宋体" w:cs="宋体" w:hint="eastAsia"/>
          <w:highlight w:val="none"/>
          <w:lang w:val="en-US" w:eastAsia="zh-CN"/>
        </w:rPr>
        <w:t>需</w:t>
      </w:r>
      <w:r>
        <w:rPr>
          <w:rFonts w:ascii="宋体" w:eastAsia="宋体" w:hAnsi="宋体" w:cs="宋体" w:hint="eastAsia"/>
          <w:highlight w:val="none"/>
          <w:lang w:val="en-US" w:eastAsia="zh-CN"/>
        </w:rPr>
        <w:t>输出适用于青海省防雹视频监控系统语音播报识别模块文本文件</w:t>
      </w:r>
      <w:r>
        <w:rPr>
          <w:rFonts w:ascii="宋体" w:eastAsia="宋体" w:hAnsi="宋体" w:cs="宋体" w:hint="eastAsia"/>
          <w:highlight w:val="none"/>
          <w:lang w:val="en-US" w:eastAsia="zh-CN"/>
        </w:rPr>
        <w:t>，</w:t>
      </w:r>
      <w:r>
        <w:rPr>
          <w:rFonts w:ascii="宋体" w:eastAsia="宋体" w:hAnsi="宋体" w:cs="宋体" w:hint="eastAsia"/>
          <w:highlight w:val="none"/>
          <w:lang w:val="en-US" w:eastAsia="zh-CN"/>
        </w:rPr>
        <w:t>作业时间批复指令文本生成时效≤3秒</w:t>
      </w:r>
      <w:r>
        <w:rPr>
          <w:rFonts w:ascii="宋体" w:eastAsia="宋体" w:hAnsi="宋体" w:cs="宋体" w:hint="eastAsia"/>
          <w:highlight w:val="none"/>
          <w:lang w:val="en-US" w:eastAsia="zh-CN"/>
        </w:rPr>
        <w:t>。</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440" w:lineRule="exact"/>
        <w:ind w:right="0"/>
        <w:jc w:val="both"/>
        <w:textAlignment w:val="auto"/>
        <w:outlineLvl w:val="0"/>
        <w:rPr>
          <w:rFonts w:ascii="宋体" w:eastAsia="宋体" w:hAnsi="宋体" w:cs="宋体" w:hint="eastAsia"/>
          <w:b/>
          <w:bCs/>
          <w:kern w:val="2"/>
          <w:sz w:val="21"/>
          <w:highlight w:val="none"/>
          <w:lang w:bidi="ar-SA"/>
        </w:rPr>
      </w:pPr>
      <w:r>
        <w:rPr>
          <w:rFonts w:ascii="宋体" w:eastAsia="宋体" w:hAnsi="宋体" w:cs="宋体" w:hint="eastAsia"/>
          <w:b/>
          <w:bCs/>
          <w:kern w:val="2"/>
          <w:sz w:val="21"/>
          <w:szCs w:val="22"/>
          <w:highlight w:val="none"/>
          <w:lang w:val="en-US" w:eastAsia="zh-CN" w:bidi="ar-SA"/>
        </w:rPr>
        <w:t>四．采购标的的数量、采购项目交付或者实施的时间和地点</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采购标的：人工防雹作业潜力预报和条件预警功能模块智能化升级</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数量：1套</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实施地点：青海省西宁市五四大街19号青海省人工影响天气中心业务平台</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交付时间：合同签订后1年内。</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440" w:lineRule="exact"/>
        <w:ind w:right="0"/>
        <w:jc w:val="both"/>
        <w:textAlignment w:val="auto"/>
        <w:outlineLvl w:val="0"/>
        <w:rPr>
          <w:rFonts w:ascii="宋体" w:eastAsia="宋体" w:hAnsi="宋体" w:cs="宋体" w:hint="eastAsia"/>
          <w:b/>
          <w:bCs/>
          <w:kern w:val="2"/>
          <w:sz w:val="21"/>
          <w:highlight w:val="none"/>
          <w:lang w:bidi="ar-SA"/>
        </w:rPr>
      </w:pPr>
      <w:r>
        <w:rPr>
          <w:rFonts w:ascii="宋体" w:eastAsia="宋体" w:hAnsi="宋体" w:cs="宋体" w:hint="eastAsia"/>
          <w:b/>
          <w:bCs/>
          <w:kern w:val="2"/>
          <w:sz w:val="21"/>
          <w:szCs w:val="22"/>
          <w:highlight w:val="none"/>
          <w:lang w:val="en-US" w:eastAsia="zh-CN" w:bidi="ar-SA"/>
        </w:rPr>
        <w:t>五．采购标的需满足的服务标准、期限、效率等要求</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1.服务团队</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具备</w:t>
      </w:r>
      <w:r>
        <w:rPr>
          <w:rFonts w:ascii="宋体" w:eastAsia="宋体" w:hAnsi="宋体" w:cs="宋体" w:hint="eastAsia"/>
          <w:highlight w:val="none"/>
        </w:rPr>
        <w:t>气象雷达网软件</w:t>
      </w:r>
      <w:r>
        <w:rPr>
          <w:rFonts w:ascii="宋体" w:eastAsia="宋体" w:hAnsi="宋体" w:cs="宋体" w:hint="eastAsia"/>
          <w:highlight w:val="none"/>
          <w:lang w:val="en-US" w:eastAsia="zh-CN"/>
        </w:rPr>
        <w:t>和</w:t>
      </w:r>
      <w:r>
        <w:rPr>
          <w:rFonts w:ascii="宋体" w:eastAsia="宋体" w:hAnsi="宋体" w:cs="宋体" w:hint="eastAsia"/>
          <w:highlight w:val="none"/>
        </w:rPr>
        <w:t>人工影响天气作业</w:t>
      </w:r>
      <w:r>
        <w:rPr>
          <w:rFonts w:ascii="宋体" w:eastAsia="宋体" w:hAnsi="宋体" w:cs="宋体" w:hint="eastAsia"/>
          <w:highlight w:val="none"/>
          <w:lang w:val="en-US" w:eastAsia="zh-CN"/>
        </w:rPr>
        <w:t>业务系统相关经验的服务团队，团队组织结构清晰，团队负责人具有计算机类专业背景，团队人员中至少4人，团队其他成员中具有3年以上同类项目工作经验，系统部署、测试、试运行阶段2人以上驻场，完成相关任务。</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2.培训方案</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制定详细培训方案，针对系统应用和运维开展相关功能培训，核心开发人员作为讲师面向业务人员进行现场培训，培训覆盖全部功能模块、系统展示技术和系统对接内容，培训课时不少于12课时（3天整）、人数要求不少于20人，需制定功能培训方案和维护培训方案。</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3.售后服务：</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专项服务保障：（1）缺陷修复响应，保修期内，对于用户报告的软件缺陷或故障，开发方应在2小时内响应，8小时内提供解决方案或临时规避措施，24小时内完成一般缺陷修复，严重缺陷（导致系统瘫痪或核心功能不可用）应在4小时内解决；（2）技术支持服务，保修期内提供7×24小时电话、邮件或远程协助等技术支持服务，解答用户在软件使用、运维过程中的疑问。（3）系统运行维护，包括但不限于数据库日常维护、日志分析、性能监控与优化建议、系统补丁更新等支持服务。</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4.服务期限：</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自项目最终验收合格之日起计算，整体保修期为36个月。</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5.服务标准：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软件功能模块：所有合同约定开发、定制或集成的软件功能模块，包括但不限于用户管理、数据处理、业务逻辑、接口交互等，保证其符合需求规格说明书及相关技术文档中明确的功能描述和性能指标。</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软件性能表现：软件在正常运行环境下的响应速度、并发处理能力、数据吞吐量、系统稳定性等性能指标，需达到合同及技术文档规定的标准。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数据准确性与完整性：软件对数据的采集、存储、处理、传输和展示的准确性，以及数据在各种操作场景下的完整性保障，包括数据备份与恢复功能的有效性。</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兼容性保障：软件与合同约定的操作系统、数据库管理系统、中间件、浏览器及其他相关软硬件的兼容性，确保在指定环境组合下能够正常运行。</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安全性保障：软件应具备合同及相关安全规范要求的安全防护能力，包括用户认证与授权、数据加密、防SQL注入、防XSS攻击、日志审计等，保障系统及数据不被非法访问、篡改或泄露。</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接口规范性：软件提供的内部接口及与外部系统的接口，其设计、实现应符合相关接口规范文档，保证接口调用的正确性、稳定性及数据交互的准确性。</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文档完整性与准确性：包括但不限于用户手册、安装部署手册、运维手册、技术规格说明书等项目相关文档，需完整、准确、清晰，并符合合同约定。</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安装部署与交付：按照合同及项目计划要求完成的软件安装、部署、环境配置及系统交付工作，确保交付的系统可正常运行，满足交付标准。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p>
    <w:p>
      <w:pPr>
        <w:keepNext w:val="0"/>
        <w:keepLines w:val="0"/>
        <w:pageBreakBefore w:val="0"/>
        <w:widowControl w:val="0"/>
        <w:kinsoku/>
        <w:wordWrap/>
        <w:overflowPunct/>
        <w:topLinePunct w:val="0"/>
        <w:autoSpaceDE/>
        <w:autoSpaceDN/>
        <w:bidi w:val="0"/>
        <w:adjustRightInd/>
        <w:snapToGrid w:val="0"/>
        <w:spacing w:line="440" w:lineRule="exact"/>
        <w:jc w:val="left"/>
        <w:textAlignment w:val="auto"/>
        <w:outlineLvl w:val="0"/>
        <w:rPr>
          <w:rFonts w:ascii="宋体" w:eastAsia="宋体" w:hAnsi="宋体" w:cs="宋体" w:hint="eastAsia"/>
          <w:b/>
          <w:bCs/>
          <w:sz w:val="22"/>
          <w:highlight w:val="none"/>
        </w:rPr>
      </w:pPr>
      <w:r>
        <w:rPr>
          <w:rFonts w:ascii="宋体" w:eastAsia="宋体" w:hAnsi="宋体" w:cs="宋体" w:hint="eastAsia"/>
          <w:b/>
          <w:bCs/>
          <w:sz w:val="22"/>
          <w:szCs w:val="22"/>
          <w:highlight w:val="none"/>
          <w:lang w:val="en-US" w:eastAsia="zh-CN"/>
        </w:rPr>
        <w:t>六．采购标的的验收标准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1.验收方式：</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由项目甲方单位组织5名或以上专家进行会议验收，乙方作如下内容汇报：</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（1）功能验证：对照软件项目建设合同技术要求，逐项测试软件功能模块，确保核心业务流程完整实现，功能点无遗漏，操作逻辑符合设计要求。</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（2）性能测试：通过压力测试、负载测试等手段，验证系统响应速度、并发处理能力、数据吞吐量是否达标，关键指标需满足合同技术要求。</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（3）文档审查：检查需求文档、设计文档、测试报告、用户手册等交付物的完整性、规范性及一致性，确保技术文档与实际系统匹配。</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（4）用户验收情况：反应用户进行实际场景操作测试及试运行情况，收集使用反馈，确认软件易用性、兼容性及业务适配性，形成用户验收报告。</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（5）问题整改情况：针对测试与审查中发现的缺陷，跟踪开发方整改过程，验证修复效果，确保所有问题闭环解决后签署验收合格文件。</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2.技术标准：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（1）功能完整性与准确性标准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功能覆盖度：软件需实现合同及需求规格说明书中规定的全部功能模块，包括核心业务流程、辅助功能及用户界面交互逻辑，无功能模块缺失或未实现情况。</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功能准确性：各功能模块的运行结果需与需求规格说明书中的预期结果一致，数据处理逻辑准确无误，无逻辑错误或计算偏差。</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用户界面与交互便捷性：软件用户界面需符合合同约定的界面设计规范，界面元素布局合理、风格统一，操作流程简便流畅。</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（2）性能与稳定性标准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响应时间：在合同规定的硬件环境和并发用户数条件下，软件关键业务操作的平均响应时间需满足需求规格说明书中的要求，例如页面加载时间不超过3秒，数据查询响应时间不超过2秒，事务处理响应时间不超过5秒。</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系统稳定性：软件需在连续72小时满负荷运行测试中保持稳定，无系统崩溃、死锁等异常情况发生。</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并发与负载能力：软件需支持合同规定的最大并发用户数访问，在并发用户数达到峰值时，系统各项性能指标仍能满足验收要求，数据处理准确无误，无数据丢失或错乱现象。</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3.文档完整性标准</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交付文档完整性：开发方需提交完整的交付文档，包括但不限于需求规格说明书、概要设计说明书、详细设计说明书、用户手册、安装部署手册、测试报告、源代码及注释、数据库脚本、第三方组件清单等。</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highlight w:val="none"/>
        </w:rPr>
      </w:pPr>
      <w:r>
        <w:rPr>
          <w:rFonts w:ascii="宋体" w:eastAsia="宋体" w:hAnsi="宋体" w:cs="宋体" w:hint="eastAsia"/>
          <w:highlight w:val="none"/>
          <w:lang w:val="en-US" w:eastAsia="zh-CN"/>
        </w:rPr>
        <w:t>文档规范性与可用性：交付文档需语言表达清晰、准确，逻辑结构合理，图表规范。用户手册需详细描述软件的安装配置步骤、操作流程、常见问题及解决方法等内容，确保用户能够独立完成软件的安装、配置和日常操作。</w:t>
      </w:r>
    </w:p>
    <w:p>
      <w:pPr>
        <w:keepNext w:val="0"/>
        <w:keepLines w:val="0"/>
        <w:pageBreakBefore w:val="0"/>
        <w:widowControl w:val="0"/>
        <w:kinsoku/>
        <w:wordWrap/>
        <w:overflowPunct/>
        <w:topLinePunct w:val="0"/>
        <w:autoSpaceDE/>
        <w:autoSpaceDN/>
        <w:bidi w:val="0"/>
        <w:adjustRightInd/>
        <w:snapToGrid w:val="0"/>
        <w:spacing w:line="440" w:lineRule="exact"/>
        <w:jc w:val="left"/>
        <w:textAlignment w:val="auto"/>
        <w:outlineLvl w:val="0"/>
        <w:rPr>
          <w:rFonts w:ascii="宋体" w:eastAsia="宋体" w:hAnsi="宋体" w:cs="宋体" w:hint="eastAsia"/>
          <w:b/>
          <w:bCs/>
          <w:sz w:val="22"/>
          <w:highlight w:val="none"/>
        </w:rPr>
      </w:pPr>
      <w:r>
        <w:rPr>
          <w:rFonts w:ascii="宋体" w:eastAsia="宋体" w:hAnsi="宋体" w:cs="宋体" w:hint="eastAsia"/>
          <w:b/>
          <w:bCs/>
          <w:sz w:val="22"/>
          <w:szCs w:val="22"/>
          <w:highlight w:val="none"/>
          <w:lang w:val="en-US" w:eastAsia="zh-CN"/>
        </w:rPr>
        <w:t>七.采购标的的其他技术、服务等要求</w:t>
      </w:r>
    </w:p>
    <w:p>
      <w:pPr>
        <w:pStyle w:val="NormalWeb"/>
        <w:pageBreakBefore w:val="0"/>
        <w:widowControl/>
        <w:numPr>
          <w:ilvl w:val="0"/>
          <w:numId w:val="0"/>
        </w:numPr>
        <w:kinsoku/>
        <w:wordWrap/>
        <w:overflowPunct/>
        <w:topLinePunct w:val="0"/>
        <w:autoSpaceDE/>
        <w:autoSpaceDN/>
        <w:bidi w:val="0"/>
        <w:adjustRightInd/>
        <w:spacing w:before="0" w:beforeAutospacing="0" w:after="100" w:afterAutospacing="1" w:line="440" w:lineRule="exact"/>
        <w:ind w:right="300" w:rightChars="0"/>
        <w:textAlignment w:val="auto"/>
        <w:rPr>
          <w:rFonts w:ascii="宋体" w:eastAsia="宋体" w:hAnsi="宋体" w:cs="宋体" w:hint="eastAsia"/>
          <w:sz w:val="19"/>
          <w:szCs w:val="19"/>
          <w:highlight w:val="none"/>
        </w:rPr>
      </w:pPr>
      <w:r>
        <w:rPr>
          <w:rFonts w:ascii="宋体" w:eastAsia="宋体" w:hAnsi="宋体" w:cs="宋体" w:hint="eastAsia"/>
          <w:sz w:val="19"/>
          <w:szCs w:val="19"/>
          <w:highlight w:val="none"/>
          <w:lang w:val="en-US" w:eastAsia="zh-CN"/>
        </w:rPr>
        <w:t>无。</w:t>
      </w:r>
    </w:p>
    <w:p>
      <w:pPr>
        <w:pageBreakBefore w:val="0"/>
        <w:kinsoku/>
        <w:wordWrap/>
        <w:overflowPunct/>
        <w:topLinePunct w:val="0"/>
        <w:autoSpaceDE/>
        <w:autoSpaceDN/>
        <w:bidi w:val="0"/>
        <w:adjustRightInd/>
        <w:spacing w:line="440" w:lineRule="exact"/>
        <w:ind w:firstLine="420" w:firstLineChars="200"/>
        <w:textAlignment w:val="auto"/>
        <w:rPr>
          <w:rFonts w:ascii="宋体" w:eastAsia="宋体" w:hAnsi="宋体" w:cs="宋体" w:hint="eastAsia"/>
          <w:szCs w:val="21"/>
          <w:highlight w:val="none"/>
        </w:rPr>
      </w:pPr>
    </w:p>
    <w:p w:rsidR="00A77B3E"/>
    <w:p>
      <w:pPr>
        <w:keepNext w:val="0"/>
        <w:keepLines w:val="0"/>
        <w:pageBreakBefore w:val="0"/>
        <w:numPr>
          <w:ilvl w:val="0"/>
          <w:numId w:val="4"/>
        </w:numPr>
        <w:kinsoku/>
        <w:wordWrap/>
        <w:overflowPunct/>
        <w:topLinePunct w:val="0"/>
        <w:autoSpaceDE/>
        <w:autoSpaceDN/>
        <w:bidi w:val="0"/>
        <w:adjustRightInd/>
        <w:snapToGrid/>
        <w:spacing w:before="156" w:beforeLines="50" w:line="640" w:lineRule="exact"/>
        <w:jc w:val="center"/>
        <w:textAlignment w:val="auto"/>
        <w:outlineLvl w:val="1"/>
        <w:rPr>
          <w:rFonts w:ascii="宋体" w:hAnsi="宋体" w:cs="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85"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8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ascii="Times New Roman" w:eastAsia="宋体" w:hAnsi="Times New Roman" w:cs="Times New Roman" w:hint="eastAsia"/>
          <w:b/>
          <w:bCs/>
          <w:szCs w:val="21"/>
        </w:rPr>
      </w:pPr>
      <w:bookmarkStart w:id="86" w:name="采购公告合同部分_ZBGGHT"/>
      <w:r>
        <w:rPr>
          <w:rFonts w:ascii="Times New Roman" w:eastAsia="宋体" w:hAnsi="Times New Roman" w:cs="Times New Roman" w:hint="eastAsia"/>
          <w:b/>
          <w:bCs/>
          <w:szCs w:val="21"/>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rPr>
      </w:pPr>
      <w:r>
        <w:rPr>
          <w:rFonts w:hint="eastAsia"/>
          <w:b/>
          <w:bCs/>
          <w:szCs w:val="21"/>
          <w:highlight w:val="none"/>
        </w:rPr>
        <w:t>必须明确合同金额支付条件及支付比例</w:t>
      </w:r>
    </w:p>
    <w:p>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pPr>
        <w:spacing w:line="360" w:lineRule="auto"/>
        <w:jc w:val="center"/>
        <w:rPr>
          <w:rFonts w:ascii="宋体" w:eastAsia="宋体" w:hAnsi="宋体" w:cs="宋体"/>
          <w:szCs w:val="21"/>
        </w:rPr>
      </w:pPr>
    </w:p>
    <w:p>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pPr>
        <w:spacing w:line="360" w:lineRule="auto"/>
        <w:jc w:val="center"/>
        <w:rPr>
          <w:rFonts w:ascii="宋体" w:eastAsia="宋体" w:hAnsi="宋体" w:cs="宋体"/>
          <w:szCs w:val="21"/>
        </w:rPr>
      </w:pPr>
    </w:p>
    <w:p>
      <w:pPr>
        <w:spacing w:line="360" w:lineRule="auto"/>
        <w:jc w:val="center"/>
        <w:rPr>
          <w:rFonts w:ascii="宋体" w:eastAsia="宋体" w:hAnsi="宋体" w:cs="宋体"/>
          <w:szCs w:val="21"/>
        </w:rPr>
      </w:pPr>
    </w:p>
    <w:p>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人工防雹作业潜力预报和条件预警功能模块智能化升级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青海省人工影响天气中心</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p>
    <w:p>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pPr>
        <w:spacing w:line="360" w:lineRule="auto"/>
        <w:ind w:firstLine="1680" w:firstLineChars="800"/>
        <w:rPr>
          <w:rFonts w:ascii="宋体" w:eastAsia="宋体" w:hAnsi="宋体" w:cs="宋体"/>
          <w:szCs w:val="21"/>
        </w:rPr>
      </w:pPr>
    </w:p>
    <w:p>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 xml:space="preserve">   青海省人工影响天气中心</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 xml:space="preserve">         青海省西宁市     </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王黎俊</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张博越</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18097206370</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青海省西宁市城西区五四大街19号</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lang w:val="en-US" w:eastAsia="zh-CN"/>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 xml:space="preserve">    09716114398</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09716166105</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3357378@qq.com</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num="1" w:space="720"/>
          <w:docGrid w:type="lines" w:linePitch="312" w:charSpace="0"/>
        </w:sect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r>
        <w:rPr>
          <w:rFonts w:ascii="黑体" w:eastAsia="黑体" w:hAnsi="黑体" w:cs="黑体" w:hint="eastAsia"/>
          <w:sz w:val="32"/>
          <w:szCs w:val="32"/>
        </w:rPr>
        <w:t>使 用 说 明</w:t>
      </w:r>
    </w:p>
    <w:p>
      <w:pPr>
        <w:jc w:val="center"/>
        <w:rPr>
          <w:rFonts w:ascii="黑体" w:eastAsia="黑体" w:hAnsi="黑体" w:cs="黑体"/>
          <w:sz w:val="32"/>
          <w:szCs w:val="32"/>
        </w:rPr>
      </w:pP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人工防雹作业潜力预报和条件预警功能模块智能化升级</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87" w:name="_Toc150439537"/>
      <w:r>
        <w:rPr>
          <w:rFonts w:ascii="宋体" w:eastAsia="宋体" w:hAnsi="宋体" w:cs="宋体" w:hint="eastAsia"/>
          <w:b/>
          <w:bCs/>
          <w:szCs w:val="21"/>
        </w:rPr>
        <w:t>项目内容及概况</w:t>
      </w:r>
      <w:bookmarkEnd w:id="87"/>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2"/>
        <w:gridCol w:w="142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名称</w:t>
            </w:r>
          </w:p>
        </w:tc>
        <w:tc>
          <w:tcPr>
            <w:tcW w:w="415" w:type="pct"/>
            <w:noWrap w:val="0"/>
            <w:vAlign w:val="top"/>
          </w:tcPr>
          <w:p>
            <w:pPr>
              <w:jc w:val="left"/>
              <w:rPr>
                <w:rFonts w:ascii="宋体" w:eastAsia="宋体" w:hAnsi="宋体" w:cs="宋体"/>
                <w:szCs w:val="21"/>
              </w:rPr>
            </w:pPr>
            <w:r>
              <w:rPr>
                <w:rFonts w:ascii="宋体" w:eastAsia="宋体" w:hAnsi="宋体" w:cs="宋体" w:hint="eastAsia"/>
                <w:szCs w:val="21"/>
              </w:rPr>
              <w:t>数量</w:t>
            </w:r>
          </w:p>
        </w:tc>
        <w:tc>
          <w:tcPr>
            <w:tcW w:w="440" w:type="pct"/>
            <w:noWrap w:val="0"/>
            <w:vAlign w:val="top"/>
          </w:tcPr>
          <w:p>
            <w:pPr>
              <w:jc w:val="left"/>
              <w:rPr>
                <w:rFonts w:ascii="宋体" w:eastAsia="宋体" w:hAnsi="宋体" w:cs="宋体"/>
                <w:szCs w:val="21"/>
              </w:rPr>
            </w:pPr>
            <w:r>
              <w:rPr>
                <w:rFonts w:ascii="宋体" w:eastAsia="宋体" w:hAnsi="宋体" w:cs="宋体" w:hint="eastAsia"/>
                <w:szCs w:val="21"/>
              </w:rPr>
              <w:t>单位</w:t>
            </w:r>
          </w:p>
        </w:tc>
        <w:tc>
          <w:tcPr>
            <w:tcW w:w="833" w:type="pct"/>
            <w:noWrap w:val="0"/>
            <w:vAlign w:val="top"/>
          </w:tcPr>
          <w:p>
            <w:pPr>
              <w:jc w:val="left"/>
              <w:rPr>
                <w:rFonts w:ascii="宋体" w:eastAsia="宋体" w:hAnsi="宋体" w:cs="宋体"/>
                <w:szCs w:val="21"/>
              </w:rPr>
            </w:pPr>
            <w:r>
              <w:rPr>
                <w:rFonts w:ascii="宋体" w:eastAsia="宋体" w:hAnsi="宋体" w:cs="宋体" w:hint="eastAsia"/>
                <w:szCs w:val="21"/>
              </w:rPr>
              <w:t>单价（元）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合计（元）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人工防雹作业潜力预报和条件预警功能模块智能化升级</w:t>
            </w:r>
          </w:p>
        </w:tc>
        <w:tc>
          <w:tcPr>
            <w:tcW w:w="415" w:type="pct"/>
            <w:noWrap w:val="0"/>
            <w:vAlign w:val="top"/>
          </w:tcPr>
          <w:p>
            <w:pPr>
              <w:jc w:val="left"/>
              <w:rPr>
                <w:rFonts w:ascii="宋体" w:eastAsia="宋体" w:hAnsi="宋体" w:cs="宋体" w:hint="eastAsia"/>
                <w:szCs w:val="21"/>
              </w:rPr>
            </w:pPr>
            <w:r>
              <w:rPr>
                <w:rFonts w:ascii="宋体" w:eastAsia="宋体" w:hAnsi="宋体" w:cs="宋体" w:hint="eastAsia"/>
                <w:szCs w:val="21"/>
                <w:lang w:val="en-US" w:eastAsia="zh-CN"/>
              </w:rPr>
              <w:t>1</w:t>
            </w:r>
          </w:p>
        </w:tc>
        <w:tc>
          <w:tcPr>
            <w:tcW w:w="440" w:type="pct"/>
            <w:noWrap w:val="0"/>
            <w:vAlign w:val="top"/>
          </w:tcPr>
          <w:p>
            <w:pPr>
              <w:jc w:val="left"/>
              <w:rPr>
                <w:rFonts w:ascii="宋体" w:eastAsia="宋体" w:hAnsi="宋体" w:cs="宋体" w:hint="eastAsia"/>
                <w:szCs w:val="21"/>
              </w:rPr>
            </w:pPr>
            <w:r>
              <w:rPr>
                <w:rFonts w:ascii="宋体" w:eastAsia="宋体" w:hAnsi="宋体" w:cs="宋体" w:hint="eastAsia"/>
                <w:szCs w:val="21"/>
                <w:lang w:val="en-US" w:eastAsia="zh-CN"/>
              </w:rPr>
              <w:t>套</w:t>
            </w:r>
          </w:p>
        </w:tc>
        <w:tc>
          <w:tcPr>
            <w:tcW w:w="833" w:type="pct"/>
            <w:noWrap w:val="0"/>
            <w:vAlign w:val="top"/>
          </w:tcPr>
          <w:p>
            <w:pPr>
              <w:jc w:val="left"/>
              <w:rPr>
                <w:rFonts w:ascii="宋体" w:eastAsia="宋体" w:hAnsi="宋体" w:cs="宋体" w:hint="default"/>
                <w:szCs w:val="21"/>
              </w:rPr>
            </w:pPr>
            <w:r>
              <w:rPr>
                <w:rFonts w:ascii="宋体" w:eastAsia="宋体" w:hAnsi="宋体" w:cs="宋体" w:hint="eastAsia"/>
                <w:szCs w:val="21"/>
                <w:lang w:val="en-US" w:eastAsia="zh-CN"/>
              </w:rPr>
              <w:t>1300000</w:t>
            </w:r>
          </w:p>
        </w:tc>
        <w:tc>
          <w:tcPr>
            <w:tcW w:w="834" w:type="pct"/>
            <w:noWrap w:val="0"/>
            <w:vAlign w:val="top"/>
          </w:tcPr>
          <w:p>
            <w:pPr>
              <w:jc w:val="left"/>
              <w:rPr>
                <w:rFonts w:ascii="宋体" w:eastAsia="宋体" w:hAnsi="宋体" w:cs="宋体" w:hint="default"/>
                <w:szCs w:val="21"/>
              </w:rPr>
            </w:pPr>
            <w:r>
              <w:rPr>
                <w:rFonts w:ascii="宋体" w:eastAsia="宋体" w:hAnsi="宋体" w:cs="宋体" w:hint="eastAsia"/>
                <w:szCs w:val="21"/>
                <w:lang w:val="en-US" w:eastAsia="zh-CN"/>
              </w:rPr>
              <w:t>1300000</w:t>
            </w: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hint="eastAsia"/>
                <w:spacing w:val="7"/>
                <w:szCs w:val="21"/>
                <w:lang w:val="en-US" w:eastAsia="zh-CN"/>
              </w:rPr>
              <w:t>1300000</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hint="eastAsia"/>
                <w:szCs w:val="21"/>
                <w:lang w:val="en-US" w:eastAsia="zh-CN"/>
              </w:rPr>
              <w:t>壹佰叁拾万元</w:t>
            </w:r>
            <w:r>
              <w:rPr>
                <w:rFonts w:ascii="宋体" w:eastAsia="宋体" w:hAnsi="宋体" w:cs="宋体"/>
                <w:spacing w:val="1"/>
                <w:szCs w:val="21"/>
              </w:rPr>
              <w:t xml:space="preserve">                                </w:t>
            </w:r>
            <w:r>
              <w:rPr>
                <w:rFonts w:ascii="宋体" w:eastAsia="宋体" w:hAnsi="宋体" w:cs="宋体"/>
                <w:szCs w:val="21"/>
              </w:rPr>
              <w:t>）</w:t>
            </w:r>
          </w:p>
        </w:tc>
      </w:tr>
    </w:tbl>
    <w:p>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pPr>
        <w:ind w:firstLine="420" w:firstLineChars="200"/>
        <w:jc w:val="left"/>
        <w:rPr>
          <w:rFonts w:ascii="宋体" w:eastAsia="宋体" w:hAnsi="宋体" w:cs="宋体"/>
          <w:szCs w:val="21"/>
        </w:rPr>
      </w:pPr>
    </w:p>
    <w:p>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88" w:name="_Toc150439540"/>
      <w:r>
        <w:rPr>
          <w:rFonts w:ascii="宋体" w:eastAsia="宋体" w:hAnsi="宋体" w:cs="宋体" w:hint="eastAsia"/>
          <w:b/>
          <w:bCs/>
          <w:szCs w:val="21"/>
        </w:rPr>
        <w:t>项目相关标准</w:t>
      </w:r>
      <w:bookmarkEnd w:id="88"/>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89" w:name="_Toc150439542"/>
      <w:r>
        <w:rPr>
          <w:rFonts w:ascii="宋体" w:eastAsia="宋体" w:hAnsi="宋体" w:cs="宋体" w:hint="eastAsia"/>
          <w:b/>
          <w:bCs/>
          <w:szCs w:val="21"/>
        </w:rPr>
        <w:t>组成本合同的文件</w:t>
      </w:r>
      <w:bookmarkEnd w:id="89"/>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pPr>
        <w:numPr>
          <w:ilvl w:val="0"/>
          <w:numId w:val="15"/>
        </w:numPr>
        <w:spacing w:line="360" w:lineRule="auto"/>
        <w:ind w:hanging="5"/>
        <w:jc w:val="left"/>
        <w:rPr>
          <w:rFonts w:ascii="宋体" w:eastAsia="宋体" w:hAnsi="宋体" w:cs="宋体"/>
          <w:szCs w:val="21"/>
        </w:rPr>
      </w:pPr>
      <w:r>
        <w:rPr>
          <w:rFonts w:ascii="宋体" w:eastAsia="宋体" w:hAnsi="宋体" w:cs="宋体"/>
          <w:szCs w:val="21"/>
        </w:rPr>
        <w:t>……</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90" w:name="_Toc150439545"/>
      <w:r>
        <w:rPr>
          <w:rFonts w:ascii="宋体" w:eastAsia="宋体" w:hAnsi="宋体" w:cs="宋体" w:hint="eastAsia"/>
          <w:b/>
          <w:bCs/>
          <w:szCs w:val="21"/>
        </w:rPr>
        <w:t>合同履行地点、合同服务期</w:t>
      </w:r>
      <w:bookmarkEnd w:id="90"/>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pPr>
        <w:keepNext/>
        <w:keepLines/>
        <w:numPr>
          <w:ilvl w:val="0"/>
          <w:numId w:val="7"/>
        </w:numPr>
        <w:spacing w:before="60" w:after="60" w:line="360" w:lineRule="auto"/>
        <w:ind w:left="840" w:hanging="840"/>
        <w:outlineLvl w:val="1"/>
        <w:rPr>
          <w:rFonts w:ascii="宋体" w:eastAsia="宋体" w:hAnsi="宋体" w:cs="宋体"/>
          <w:b/>
          <w:bCs/>
          <w:szCs w:val="21"/>
        </w:rPr>
      </w:pPr>
      <w:bookmarkStart w:id="91" w:name="_Toc150439547"/>
      <w:r>
        <w:rPr>
          <w:rFonts w:ascii="宋体" w:eastAsia="宋体" w:hAnsi="宋体" w:cs="宋体" w:hint="eastAsia"/>
          <w:b/>
          <w:bCs/>
          <w:szCs w:val="21"/>
        </w:rPr>
        <w:t>服务范围及内容</w:t>
      </w:r>
      <w:bookmarkEnd w:id="91"/>
    </w:p>
    <w:p>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rPr>
          <w:rFonts w:ascii="宋体" w:eastAsia="宋体" w:hAnsi="宋体" w:cs="宋体"/>
          <w:szCs w:val="21"/>
        </w:rPr>
      </w:pPr>
      <w:r>
        <w:rPr>
          <w:rFonts w:ascii="宋体" w:eastAsia="宋体" w:hAnsi="宋体" w:cs="宋体" w:hint="eastAsia"/>
          <w:szCs w:val="21"/>
        </w:rPr>
        <w:t>进度安排：</w:t>
      </w:r>
    </w:p>
    <w:p>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17"/>
        <w:gridCol w:w="6005"/>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研究开发计划</w:t>
            </w:r>
          </w:p>
        </w:tc>
        <w:tc>
          <w:tcPr>
            <w:tcW w:w="3523" w:type="pct"/>
            <w:noWrap w:val="0"/>
            <w:vAlign w:val="center"/>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安装、测试、培训</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软件试运行</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项目验收</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pPr>
        <w:keepNext/>
        <w:keepLines/>
        <w:numPr>
          <w:ilvl w:val="0"/>
          <w:numId w:val="7"/>
        </w:numPr>
        <w:spacing w:before="60" w:after="60" w:line="360" w:lineRule="auto"/>
        <w:ind w:left="840" w:hanging="840"/>
        <w:outlineLvl w:val="1"/>
        <w:rPr>
          <w:rFonts w:ascii="宋体" w:eastAsia="宋体" w:hAnsi="宋体" w:cs="宋体"/>
          <w:b/>
          <w:bCs/>
          <w:szCs w:val="21"/>
        </w:rPr>
      </w:pPr>
      <w:bookmarkStart w:id="92" w:name="_Toc150439549"/>
      <w:r>
        <w:rPr>
          <w:rFonts w:ascii="宋体" w:eastAsia="宋体" w:hAnsi="宋体" w:cs="宋体" w:hint="eastAsia"/>
          <w:b/>
          <w:bCs/>
          <w:szCs w:val="21"/>
        </w:rPr>
        <w:t>乙方的权利与义务</w:t>
      </w:r>
      <w:bookmarkEnd w:id="92"/>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pPr>
        <w:numPr>
          <w:ilvl w:val="0"/>
          <w:numId w:val="19"/>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93" w:name="_Toc150439565"/>
      <w:r>
        <w:rPr>
          <w:rFonts w:ascii="宋体" w:eastAsia="宋体" w:hAnsi="宋体" w:cs="宋体" w:hint="eastAsia"/>
          <w:b/>
          <w:bCs/>
          <w:szCs w:val="21"/>
        </w:rPr>
        <w:t>甲方</w:t>
      </w:r>
      <w:r>
        <w:rPr>
          <w:rFonts w:ascii="宋体" w:eastAsia="宋体" w:hAnsi="宋体" w:cs="宋体"/>
          <w:b/>
          <w:bCs/>
          <w:szCs w:val="21"/>
        </w:rPr>
        <w:t>的权利与义务</w:t>
      </w:r>
      <w:bookmarkEnd w:id="93"/>
    </w:p>
    <w:p>
      <w:pPr>
        <w:numPr>
          <w:ilvl w:val="0"/>
          <w:numId w:val="24"/>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pPr>
        <w:numPr>
          <w:ilvl w:val="0"/>
          <w:numId w:val="25"/>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94" w:name="_Toc150439567"/>
      <w:r>
        <w:rPr>
          <w:rFonts w:ascii="宋体" w:eastAsia="宋体" w:hAnsi="宋体" w:cs="宋体" w:hint="eastAsia"/>
          <w:b/>
          <w:bCs/>
          <w:szCs w:val="21"/>
        </w:rPr>
        <w:t>项目交付</w:t>
      </w:r>
      <w:bookmarkEnd w:id="94"/>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pPr>
        <w:numPr>
          <w:ilvl w:val="0"/>
          <w:numId w:val="31"/>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hint="eastAsia"/>
          <w:szCs w:val="21"/>
          <w:u w:val="single"/>
          <w:lang w:val="en-US" w:eastAsia="zh-CN"/>
        </w:rPr>
        <w:t>1300000</w:t>
      </w:r>
      <w:r>
        <w:rPr>
          <w:rFonts w:ascii="宋体" w:eastAsia="宋体" w:hAnsi="宋体" w:cs="宋体"/>
          <w:szCs w:val="21"/>
          <w:u w:val="single"/>
        </w:rPr>
        <w:t xml:space="preserve"> </w:t>
      </w:r>
      <w:r>
        <w:rPr>
          <w:rFonts w:ascii="宋体" w:eastAsia="宋体" w:hAnsi="宋体" w:cs="宋体" w:hint="eastAsia"/>
          <w:szCs w:val="21"/>
          <w:u w:val="single"/>
        </w:rPr>
        <w:t>元（大写：</w:t>
      </w:r>
      <w:r>
        <w:rPr>
          <w:rFonts w:ascii="宋体" w:eastAsia="宋体" w:hAnsi="宋体" w:cs="宋体" w:hint="eastAsia"/>
          <w:szCs w:val="21"/>
          <w:u w:val="single"/>
          <w:lang w:val="en-US" w:eastAsia="zh-CN"/>
        </w:rPr>
        <w:t>壹佰叁拾万元</w:t>
      </w:r>
      <w:r>
        <w:rPr>
          <w:rFonts w:ascii="宋体" w:eastAsia="宋体" w:hAnsi="宋体" w:cs="宋体" w:hint="eastAsia"/>
          <w:szCs w:val="21"/>
          <w:u w:val="single"/>
        </w:rPr>
        <w:t xml:space="preserve">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w:t>
      </w:r>
      <w:r>
        <w:rPr>
          <w:rFonts w:ascii="宋体" w:eastAsia="宋体" w:hAnsi="宋体" w:cs="宋体" w:hint="eastAsia"/>
          <w:szCs w:val="21"/>
          <w:u w:val="single"/>
          <w:lang w:val="en-US" w:eastAsia="zh-CN"/>
        </w:rPr>
        <w:t>3</w:t>
      </w:r>
      <w:r>
        <w:rPr>
          <w:rFonts w:ascii="宋体" w:eastAsia="宋体" w:hAnsi="宋体" w:cs="宋体" w:hint="eastAsia"/>
          <w:szCs w:val="21"/>
          <w:u w:val="single"/>
        </w:rPr>
        <w:t>】</w:t>
      </w:r>
      <w:r>
        <w:rPr>
          <w:rFonts w:ascii="宋体" w:eastAsia="宋体" w:hAnsi="宋体" w:cs="宋体" w:hint="eastAsia"/>
          <w:szCs w:val="21"/>
        </w:rPr>
        <w:t>个工作日内，甲方向乙方支付本合同首付款至乙方指定账户，首付款为合同总额</w:t>
      </w:r>
      <w:r>
        <w:rPr>
          <w:rFonts w:ascii="宋体" w:eastAsia="宋体" w:hAnsi="宋体" w:cs="宋体" w:hint="eastAsia"/>
          <w:szCs w:val="21"/>
          <w:lang w:val="en-US" w:eastAsia="zh-CN"/>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40</w:t>
      </w:r>
      <w:r>
        <w:rPr>
          <w:rFonts w:ascii="宋体" w:eastAsia="宋体" w:hAnsi="宋体" w:cs="宋体" w:hint="eastAsia"/>
          <w:szCs w:val="21"/>
          <w:u w:val="single"/>
        </w:rPr>
        <w:t>%</w:t>
      </w:r>
      <w:r>
        <w:rPr>
          <w:rFonts w:ascii="宋体" w:eastAsia="宋体" w:hAnsi="宋体" w:cs="宋体" w:hint="eastAsia"/>
          <w:szCs w:val="21"/>
          <w:u w:val="single"/>
          <w:lang w:val="en-US" w:eastAsia="zh-CN"/>
        </w:rPr>
        <w:t xml:space="preserve"> </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lang w:val="en-US" w:eastAsia="zh-CN"/>
        </w:rPr>
        <w:t>520000</w:t>
      </w:r>
      <w:r>
        <w:rPr>
          <w:rFonts w:ascii="宋体" w:eastAsia="宋体" w:hAnsi="宋体" w:cs="宋体" w:hint="eastAsia"/>
          <w:szCs w:val="21"/>
          <w:u w:val="single"/>
        </w:rPr>
        <w:t>元（大写：人民币</w:t>
      </w:r>
      <w:r>
        <w:rPr>
          <w:rFonts w:ascii="宋体" w:eastAsia="宋体" w:hAnsi="宋体" w:cs="宋体" w:hint="eastAsia"/>
          <w:szCs w:val="21"/>
          <w:u w:val="single"/>
          <w:lang w:val="en-US" w:eastAsia="zh-CN"/>
        </w:rPr>
        <w:t>伍拾贰万元</w:t>
      </w:r>
      <w:r>
        <w:rPr>
          <w:rFonts w:ascii="宋体" w:eastAsia="宋体" w:hAnsi="宋体" w:cs="宋体" w:hint="eastAsia"/>
          <w:szCs w:val="21"/>
          <w:u w:val="single"/>
        </w:rPr>
        <w:t>整）；</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第二阶段：乙方完成</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项目需求分析、概要设计、详细设计并通过评审</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lang w:val="en-US" w:eastAsia="zh-CN"/>
        </w:rPr>
        <w:t xml:space="preserve">  20</w:t>
      </w:r>
      <w:r>
        <w:rPr>
          <w:rFonts w:ascii="宋体" w:eastAsia="宋体" w:hAnsi="宋体" w:cs="宋体" w:hint="eastAsia"/>
          <w:szCs w:val="21"/>
          <w:u w:val="single"/>
        </w:rPr>
        <w:t>%</w:t>
      </w:r>
      <w:r>
        <w:rPr>
          <w:rFonts w:ascii="宋体" w:eastAsia="宋体" w:hAnsi="宋体" w:cs="宋体" w:hint="eastAsia"/>
          <w:szCs w:val="21"/>
          <w:u w:val="single"/>
          <w:lang w:val="en-US" w:eastAsia="zh-CN"/>
        </w:rPr>
        <w:t xml:space="preserve"> </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lang w:val="en-US" w:eastAsia="zh-CN"/>
        </w:rPr>
        <w:t>260000</w:t>
      </w:r>
      <w:r>
        <w:rPr>
          <w:rFonts w:ascii="宋体" w:eastAsia="宋体" w:hAnsi="宋体" w:cs="宋体" w:hint="eastAsia"/>
          <w:szCs w:val="21"/>
          <w:u w:val="single"/>
        </w:rPr>
        <w:t>元（大写：人民币</w:t>
      </w:r>
      <w:r>
        <w:rPr>
          <w:rFonts w:ascii="宋体" w:eastAsia="宋体" w:hAnsi="宋体" w:cs="宋体" w:hint="eastAsia"/>
          <w:szCs w:val="21"/>
          <w:u w:val="single"/>
          <w:lang w:val="en-US" w:eastAsia="zh-CN"/>
        </w:rPr>
        <w:t>贰拾陆万元</w:t>
      </w:r>
      <w:r>
        <w:rPr>
          <w:rFonts w:ascii="宋体" w:eastAsia="宋体" w:hAnsi="宋体" w:cs="宋体" w:hint="eastAsia"/>
          <w:szCs w:val="21"/>
          <w:u w:val="single"/>
        </w:rPr>
        <w:t>整）</w:t>
      </w:r>
      <w:r>
        <w:rPr>
          <w:rFonts w:ascii="宋体" w:eastAsia="宋体" w:hAnsi="宋体" w:cs="宋体" w:hint="eastAsia"/>
          <w:szCs w:val="21"/>
        </w:rPr>
        <w:t>；</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lang w:val="en-US" w:eastAsia="zh-CN"/>
        </w:rPr>
        <w:t>三</w:t>
      </w:r>
      <w:r>
        <w:rPr>
          <w:rFonts w:ascii="宋体" w:eastAsia="宋体" w:hAnsi="宋体" w:cs="宋体" w:hint="eastAsia"/>
          <w:szCs w:val="21"/>
        </w:rPr>
        <w:t>阶段：乙方完成</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功能测试、业务试运行并通过项目验收</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40</w:t>
      </w:r>
      <w:r>
        <w:rPr>
          <w:rFonts w:ascii="宋体" w:eastAsia="宋体" w:hAnsi="宋体" w:cs="宋体" w:hint="eastAsia"/>
          <w:szCs w:val="21"/>
          <w:u w:val="single"/>
        </w:rPr>
        <w:t>%</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lang w:val="en-US" w:eastAsia="zh-CN"/>
        </w:rPr>
        <w:t>520000</w:t>
      </w:r>
      <w:r>
        <w:rPr>
          <w:rFonts w:ascii="宋体" w:eastAsia="宋体" w:hAnsi="宋体" w:cs="宋体" w:hint="eastAsia"/>
          <w:szCs w:val="21"/>
          <w:u w:val="single"/>
        </w:rPr>
        <w:t>元（大写：人民币</w:t>
      </w:r>
      <w:r>
        <w:rPr>
          <w:rFonts w:ascii="宋体" w:eastAsia="宋体" w:hAnsi="宋体" w:cs="宋体" w:hint="eastAsia"/>
          <w:szCs w:val="21"/>
          <w:u w:val="single"/>
          <w:lang w:val="en-US" w:eastAsia="zh-CN"/>
        </w:rPr>
        <w:t>伍拾贰万元</w:t>
      </w:r>
      <w:r>
        <w:rPr>
          <w:rFonts w:ascii="宋体" w:eastAsia="宋体" w:hAnsi="宋体" w:cs="宋体" w:hint="eastAsia"/>
          <w:szCs w:val="21"/>
          <w:u w:val="single"/>
        </w:rPr>
        <w:t>整）</w:t>
      </w:r>
      <w:r>
        <w:rPr>
          <w:rFonts w:ascii="宋体" w:eastAsia="宋体" w:hAnsi="宋体" w:cs="宋体" w:hint="eastAsia"/>
          <w:szCs w:val="21"/>
        </w:rPr>
        <w:t>；</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95" w:name="_Toc150439569"/>
      <w:r>
        <w:rPr>
          <w:rFonts w:ascii="宋体" w:eastAsia="宋体" w:hAnsi="宋体" w:cs="宋体" w:hint="eastAsia"/>
          <w:b/>
          <w:bCs/>
          <w:szCs w:val="21"/>
        </w:rPr>
        <w:t>项目验收</w:t>
      </w:r>
      <w:bookmarkEnd w:id="95"/>
    </w:p>
    <w:p>
      <w:pPr>
        <w:ind w:firstLine="420" w:firstLineChars="200"/>
        <w:rPr>
          <w:rFonts w:ascii="宋体" w:eastAsia="宋体" w:hAnsi="宋体" w:cs="宋体"/>
          <w:szCs w:val="21"/>
        </w:rPr>
      </w:pPr>
      <w:r>
        <w:rPr>
          <w:rFonts w:ascii="宋体" w:eastAsia="宋体" w:hAnsi="宋体" w:cs="宋体" w:hint="eastAsia"/>
          <w:szCs w:val="21"/>
        </w:rPr>
        <w:t>1.系统测试</w:t>
      </w:r>
    </w:p>
    <w:p>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pPr>
        <w:ind w:firstLine="420" w:firstLineChars="200"/>
        <w:rPr>
          <w:rFonts w:ascii="宋体" w:eastAsia="宋体" w:hAnsi="宋体" w:cs="宋体"/>
          <w:szCs w:val="21"/>
        </w:rPr>
      </w:pPr>
      <w:r>
        <w:rPr>
          <w:rFonts w:ascii="宋体" w:eastAsia="宋体" w:hAnsi="宋体" w:cs="宋体" w:hint="eastAsia"/>
          <w:szCs w:val="21"/>
        </w:rPr>
        <w:t>4.项目终验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96" w:name="_Toc150439566"/>
      <w:r>
        <w:rPr>
          <w:rFonts w:ascii="宋体" w:eastAsia="宋体" w:hAnsi="宋体" w:cs="宋体" w:hint="eastAsia"/>
          <w:b/>
          <w:bCs/>
          <w:szCs w:val="21"/>
        </w:rPr>
        <w:t>质量保证</w:t>
      </w:r>
      <w:bookmarkEnd w:id="96"/>
    </w:p>
    <w:p>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97" w:name="_Toc150439612"/>
      <w:r>
        <w:rPr>
          <w:rFonts w:ascii="宋体" w:eastAsia="宋体" w:hAnsi="宋体" w:cs="宋体" w:hint="eastAsia"/>
          <w:b/>
          <w:bCs/>
          <w:szCs w:val="21"/>
        </w:rPr>
        <w:t>保密条款（保密协议）</w:t>
      </w:r>
      <w:bookmarkEnd w:id="97"/>
    </w:p>
    <w:p>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pPr>
        <w:numPr>
          <w:ilvl w:val="0"/>
          <w:numId w:val="39"/>
        </w:numPr>
        <w:spacing w:line="360" w:lineRule="auto"/>
        <w:ind w:firstLine="420" w:firstLineChars="200"/>
        <w:rPr>
          <w:rFonts w:ascii="宋体" w:eastAsia="宋体" w:hAnsi="宋体" w:cs="宋体"/>
          <w:szCs w:val="21"/>
        </w:rPr>
      </w:pPr>
      <w:bookmarkStart w:id="98"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pPr>
        <w:numPr>
          <w:ilvl w:val="0"/>
          <w:numId w:val="3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98"/>
    <w:p>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99" w:name="_Hlk150343509"/>
      <w:r>
        <w:rPr>
          <w:rFonts w:ascii="宋体" w:eastAsia="宋体" w:hAnsi="宋体" w:cs="宋体" w:hint="eastAsia"/>
          <w:szCs w:val="21"/>
          <w:u w:val="single"/>
        </w:rPr>
        <w:t xml:space="preserve">                             </w:t>
      </w:r>
      <w:bookmarkEnd w:id="99"/>
      <w:r>
        <w:rPr>
          <w:rFonts w:ascii="宋体" w:eastAsia="宋体" w:hAnsi="宋体" w:cs="宋体" w:hint="eastAsia"/>
          <w:szCs w:val="21"/>
          <w:u w:val="single"/>
        </w:rPr>
        <w:t xml:space="preserve">                                </w:t>
      </w:r>
    </w:p>
    <w:p>
      <w:pPr>
        <w:numPr>
          <w:ilvl w:val="0"/>
          <w:numId w:val="40"/>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0" w:name="_Toc150439618"/>
      <w:r>
        <w:rPr>
          <w:rFonts w:ascii="宋体" w:eastAsia="宋体" w:hAnsi="宋体" w:cs="宋体" w:hint="eastAsia"/>
          <w:b/>
          <w:bCs/>
          <w:szCs w:val="21"/>
        </w:rPr>
        <w:t>违约</w:t>
      </w:r>
      <w:r>
        <w:rPr>
          <w:rFonts w:ascii="宋体" w:eastAsia="宋体" w:hAnsi="宋体" w:cs="宋体"/>
          <w:b/>
          <w:bCs/>
          <w:szCs w:val="21"/>
        </w:rPr>
        <w:t>责任及赔偿</w:t>
      </w:r>
      <w:bookmarkEnd w:id="100"/>
    </w:p>
    <w:p>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1" w:name="_Toc150439619"/>
      <w:r>
        <w:rPr>
          <w:rFonts w:ascii="宋体" w:eastAsia="宋体" w:hAnsi="宋体" w:cs="宋体" w:hint="eastAsia"/>
          <w:b/>
          <w:bCs/>
          <w:szCs w:val="21"/>
        </w:rPr>
        <w:t>争议的解决</w:t>
      </w:r>
      <w:bookmarkEnd w:id="101"/>
    </w:p>
    <w:p>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2" w:name="_Toc150439621"/>
      <w:r>
        <w:rPr>
          <w:rFonts w:ascii="宋体" w:eastAsia="宋体" w:hAnsi="宋体" w:cs="宋体" w:hint="eastAsia"/>
          <w:b/>
          <w:bCs/>
          <w:szCs w:val="21"/>
        </w:rPr>
        <w:t>不可抗力</w:t>
      </w:r>
      <w:bookmarkEnd w:id="102"/>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3" w:name="_Toc150439624"/>
      <w:r>
        <w:rPr>
          <w:rFonts w:ascii="宋体" w:eastAsia="宋体" w:hAnsi="宋体" w:cs="宋体" w:hint="eastAsia"/>
          <w:b/>
          <w:bCs/>
          <w:szCs w:val="21"/>
        </w:rPr>
        <w:t>本合同的变更</w:t>
      </w:r>
      <w:bookmarkEnd w:id="103"/>
    </w:p>
    <w:p>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4" w:name="_Toc150439623"/>
      <w:r>
        <w:rPr>
          <w:rFonts w:ascii="宋体" w:eastAsia="宋体" w:hAnsi="宋体" w:cs="宋体" w:hint="eastAsia"/>
          <w:b/>
          <w:bCs/>
          <w:szCs w:val="21"/>
        </w:rPr>
        <w:t>其它</w:t>
      </w:r>
      <w:bookmarkEnd w:id="104"/>
    </w:p>
    <w:p>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105" w:name="_Toc150439626"/>
      <w:r>
        <w:rPr>
          <w:rFonts w:ascii="宋体" w:eastAsia="宋体" w:hAnsi="宋体" w:cs="宋体" w:hint="eastAsia"/>
          <w:b/>
          <w:bCs/>
          <w:szCs w:val="21"/>
        </w:rPr>
        <w:t>合同生效</w:t>
      </w:r>
      <w:bookmarkEnd w:id="105"/>
    </w:p>
    <w:p>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 w:rsidR="00A77B3E"/>
    <w:p>
      <w:pPr>
        <w:numPr>
          <w:ilvl w:val="0"/>
          <w:numId w:val="5"/>
        </w:numPr>
        <w:spacing w:line="360" w:lineRule="auto"/>
        <w:ind w:firstLine="3066" w:firstLineChars="1460"/>
        <w:jc w:val="left"/>
        <w:rPr>
          <w:rFonts w:ascii="Times New Roman" w:eastAsia="宋体" w:hAnsi="Times New Roman" w:cs="Times New Roman" w:hint="eastAsia"/>
          <w:b/>
          <w:bCs/>
          <w:szCs w:val="21"/>
        </w:rPr>
      </w:pPr>
      <w:bookmarkEnd w:id="86"/>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华文楷体">
    <w:altName w:val="楷体_GB2312"/>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仿宋_GB2312"/>
    <w:panose1 w:val="02010601030101010101"/>
    <w:charset w:val="86"/>
    <w:family w:val="auto"/>
    <w:pitch w:val="default"/>
    <w:sig w:usb0="00000000" w:usb1="00000000" w:usb2="00000010" w:usb3="00000000" w:csb0="00040000" w:csb1="00000000"/>
  </w:font>
  <w:font w:name="方正舒体">
    <w:altName w:val="宋体"/>
    <w:panose1 w:val="02010601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B920CD41"/>
    <w:multiLevelType w:val="singleLevel"/>
    <w:tmpl w:val="B920CD41"/>
    <w:lvl w:ilvl="0">
      <w:start w:val="7"/>
      <w:numFmt w:val="chineseCounting"/>
      <w:suff w:val="space"/>
      <w:lvlText w:val="第%1章"/>
      <w:lvlJc w:val="left"/>
      <w:rPr>
        <w:rFonts w:hint="eastAsia"/>
      </w:rPr>
    </w:lvl>
  </w:abstractNum>
  <w:abstractNum w:abstractNumId="5">
    <w:nsid w:val="DF7A974B"/>
    <w:multiLevelType w:val="singleLevel"/>
    <w:tmpl w:val="DF7A974B"/>
    <w:lvl w:ilvl="0">
      <w:start w:val="1"/>
      <w:numFmt w:val="decimal"/>
      <w:lvlText w:val="%1)"/>
      <w:lvlJc w:val="left"/>
      <w:pPr>
        <w:ind w:left="425" w:hanging="425"/>
      </w:pPr>
      <w:rPr>
        <w:rFonts w:hint="default"/>
      </w:rPr>
    </w:lvl>
  </w:abstractNum>
  <w:abstractNum w:abstractNumId="6">
    <w:nsid w:val="DFBE2221"/>
    <w:multiLevelType w:val="singleLevel"/>
    <w:tmpl w:val="DFBE2221"/>
    <w:lvl w:ilvl="0">
      <w:start w:val="1"/>
      <w:numFmt w:val="decimal"/>
      <w:lvlText w:val="%1)"/>
      <w:lvlJc w:val="left"/>
      <w:pPr>
        <w:ind w:left="425" w:hanging="425"/>
      </w:pPr>
      <w:rPr>
        <w:rFonts w:hint="default"/>
      </w:rPr>
    </w:lvl>
  </w:abstractNum>
  <w:abstractNum w:abstractNumId="7">
    <w:nsid w:val="DFCE4441"/>
    <w:multiLevelType w:val="singleLevel"/>
    <w:tmpl w:val="DFCE4441"/>
    <w:lvl w:ilvl="0">
      <w:start w:val="1"/>
      <w:numFmt w:val="decimal"/>
      <w:lvlText w:val="%1)"/>
      <w:lvlJc w:val="left"/>
      <w:pPr>
        <w:ind w:left="425" w:hanging="425"/>
      </w:pPr>
      <w:rPr>
        <w:rFonts w:hint="default"/>
      </w:rPr>
    </w:lvl>
  </w:abstractNum>
  <w:abstractNum w:abstractNumId="8">
    <w:nsid w:val="E7F65004"/>
    <w:multiLevelType w:val="singleLevel"/>
    <w:tmpl w:val="E7F65004"/>
    <w:lvl w:ilvl="0">
      <w:start w:val="1"/>
      <w:numFmt w:val="decimal"/>
      <w:lvlText w:val="%1)"/>
      <w:lvlJc w:val="left"/>
      <w:pPr>
        <w:ind w:left="425" w:hanging="425"/>
      </w:pPr>
      <w:rPr>
        <w:rFonts w:hint="default"/>
      </w:rPr>
    </w:lvl>
  </w:abstractNum>
  <w:abstractNum w:abstractNumId="9">
    <w:nsid w:val="EDECB7AC"/>
    <w:multiLevelType w:val="singleLevel"/>
    <w:tmpl w:val="EDECB7AC"/>
    <w:lvl w:ilvl="0">
      <w:start w:val="1"/>
      <w:numFmt w:val="decimal"/>
      <w:lvlText w:val="%1)"/>
      <w:lvlJc w:val="left"/>
      <w:pPr>
        <w:ind w:left="425" w:hanging="425"/>
      </w:pPr>
      <w:rPr>
        <w:rFonts w:hint="default"/>
      </w:rPr>
    </w:lvl>
  </w:abstractNum>
  <w:abstractNum w:abstractNumId="10">
    <w:nsid w:val="EFF96211"/>
    <w:multiLevelType w:val="singleLevel"/>
    <w:tmpl w:val="EFF96211"/>
    <w:lvl w:ilvl="0">
      <w:start w:val="1"/>
      <w:numFmt w:val="decimal"/>
      <w:lvlText w:val="%1)"/>
      <w:lvlJc w:val="left"/>
      <w:pPr>
        <w:ind w:left="425" w:hanging="425"/>
      </w:pPr>
      <w:rPr>
        <w:rFonts w:hint="default"/>
      </w:rPr>
    </w:lvl>
  </w:abstractNum>
  <w:abstractNum w:abstractNumId="11">
    <w:nsid w:val="FCFBA019"/>
    <w:multiLevelType w:val="singleLevel"/>
    <w:tmpl w:val="FCFBA019"/>
    <w:lvl w:ilvl="0">
      <w:start w:val="1"/>
      <w:numFmt w:val="decimal"/>
      <w:lvlText w:val="%1)"/>
      <w:lvlJc w:val="left"/>
      <w:pPr>
        <w:ind w:left="425" w:hanging="425"/>
      </w:pPr>
      <w:rPr>
        <w:rFonts w:hint="default"/>
      </w:rPr>
    </w:lvl>
  </w:abstractNum>
  <w:abstractNum w:abstractNumId="12">
    <w:nsid w:val="FDBF5E33"/>
    <w:multiLevelType w:val="singleLevel"/>
    <w:tmpl w:val="FDBF5E33"/>
    <w:lvl w:ilvl="0">
      <w:start w:val="1"/>
      <w:numFmt w:val="decimal"/>
      <w:lvlText w:val="%1."/>
      <w:lvlJc w:val="left"/>
      <w:pPr>
        <w:ind w:left="425" w:hanging="425"/>
      </w:pPr>
      <w:rPr>
        <w:rFonts w:hint="default"/>
      </w:rPr>
    </w:lvl>
  </w:abstractNum>
  <w:abstractNum w:abstractNumId="13">
    <w:nsid w:val="FF3F1685"/>
    <w:multiLevelType w:val="singleLevel"/>
    <w:tmpl w:val="FF3F1685"/>
    <w:lvl w:ilvl="0">
      <w:start w:val="1"/>
      <w:numFmt w:val="decimal"/>
      <w:lvlText w:val="%1)"/>
      <w:lvlJc w:val="left"/>
      <w:pPr>
        <w:ind w:left="425" w:hanging="425"/>
      </w:pPr>
      <w:rPr>
        <w:rFonts w:hint="default"/>
      </w:rPr>
    </w:lvl>
  </w:abstractNum>
  <w:abstractNum w:abstractNumId="14">
    <w:nsid w:val="FFFEE893"/>
    <w:multiLevelType w:val="singleLevel"/>
    <w:tmpl w:val="FFFEE893"/>
    <w:lvl w:ilvl="0">
      <w:start w:val="1"/>
      <w:numFmt w:val="decimal"/>
      <w:lvlText w:val="%1)"/>
      <w:lvlJc w:val="left"/>
      <w:pPr>
        <w:ind w:left="425" w:hanging="425"/>
      </w:pPr>
      <w:rPr>
        <w:rFonts w:hint="default"/>
      </w:rPr>
    </w:lvl>
  </w:abstractNum>
  <w:abstractNum w:abstractNumId="15">
    <w:nsid w:val="FFFEFF75"/>
    <w:multiLevelType w:val="singleLevel"/>
    <w:tmpl w:val="FFFEFF75"/>
    <w:lvl w:ilvl="0">
      <w:start w:val="1"/>
      <w:numFmt w:val="decimal"/>
      <w:lvlText w:val="%1)"/>
      <w:lvlJc w:val="left"/>
      <w:pPr>
        <w:ind w:left="425" w:hanging="425"/>
      </w:pPr>
      <w:rPr>
        <w:rFonts w:hint="default"/>
      </w:rPr>
    </w:lvl>
  </w:abstractNum>
  <w:abstractNum w:abstractNumId="1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8">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9">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3DD946C"/>
    <w:multiLevelType w:val="singleLevel"/>
    <w:tmpl w:val="13DD946C"/>
    <w:lvl w:ilvl="0">
      <w:start w:val="9"/>
      <w:numFmt w:val="chineseCounting"/>
      <w:suff w:val="space"/>
      <w:lvlText w:val="第%1章"/>
      <w:lvlJc w:val="left"/>
      <w:rPr>
        <w:rFonts w:hint="eastAsia"/>
      </w:rPr>
    </w:lvl>
  </w:abstractNum>
  <w:abstractNum w:abstractNumId="25">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C7A993F"/>
    <w:multiLevelType w:val="singleLevel"/>
    <w:tmpl w:val="4C7A993F"/>
    <w:lvl w:ilvl="0">
      <w:start w:val="1"/>
      <w:numFmt w:val="decimal"/>
      <w:lvlText w:val="%1)"/>
      <w:lvlJc w:val="left"/>
      <w:pPr>
        <w:ind w:left="425" w:hanging="425"/>
      </w:pPr>
      <w:rPr>
        <w:rFonts w:hint="default"/>
      </w:rPr>
    </w:lvl>
  </w:abstractNum>
  <w:abstractNum w:abstractNumId="33">
    <w:nsid w:val="57FFC18B"/>
    <w:multiLevelType w:val="singleLevel"/>
    <w:tmpl w:val="57FFC18B"/>
    <w:lvl w:ilvl="0">
      <w:start w:val="1"/>
      <w:numFmt w:val="decimal"/>
      <w:lvlText w:val="%1)"/>
      <w:lvlJc w:val="left"/>
      <w:pPr>
        <w:ind w:left="425" w:hanging="425"/>
      </w:pPr>
      <w:rPr>
        <w:rFonts w:hint="default"/>
      </w:rPr>
    </w:lvl>
  </w:abstractNum>
  <w:abstractNum w:abstractNumId="34">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6">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7">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0">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9F8DDAB"/>
    <w:multiLevelType w:val="singleLevel"/>
    <w:tmpl w:val="79F8DDAB"/>
    <w:lvl w:ilvl="0">
      <w:start w:val="1"/>
      <w:numFmt w:val="decimal"/>
      <w:lvlText w:val="%1)"/>
      <w:lvlJc w:val="left"/>
      <w:pPr>
        <w:ind w:left="425" w:hanging="425"/>
      </w:pPr>
      <w:rPr>
        <w:rFonts w:hint="default"/>
      </w:rPr>
    </w:lvl>
  </w:abstractNum>
  <w:abstractNum w:abstractNumId="44">
    <w:nsid w:val="7BF79D3F"/>
    <w:multiLevelType w:val="singleLevel"/>
    <w:tmpl w:val="7BF79D3F"/>
    <w:lvl w:ilvl="0">
      <w:start w:val="1"/>
      <w:numFmt w:val="decimal"/>
      <w:lvlText w:val="%1)"/>
      <w:lvlJc w:val="left"/>
      <w:pPr>
        <w:ind w:left="425" w:hanging="425"/>
      </w:pPr>
      <w:rPr>
        <w:rFonts w:hint="default"/>
      </w:rPr>
    </w:lvl>
  </w:abstractNum>
  <w:abstractNum w:abstractNumId="45">
    <w:nsid w:val="7FAFA353"/>
    <w:multiLevelType w:val="singleLevel"/>
    <w:tmpl w:val="7FAFA353"/>
    <w:lvl w:ilvl="0">
      <w:start w:val="1"/>
      <w:numFmt w:val="decimal"/>
      <w:lvlText w:val="%1)"/>
      <w:lvlJc w:val="left"/>
      <w:pPr>
        <w:ind w:left="425" w:hanging="425"/>
      </w:pPr>
      <w:rPr>
        <w:rFonts w:hint="default"/>
      </w:rPr>
    </w:lvl>
  </w:abstractNum>
  <w:abstractNum w:abstractNumId="46">
    <w:nsid w:val="7FDAC479"/>
    <w:multiLevelType w:val="singleLevel"/>
    <w:tmpl w:val="7FDAC479"/>
    <w:lvl w:ilvl="0">
      <w:start w:val="1"/>
      <w:numFmt w:val="decimal"/>
      <w:lvlText w:val="%1)"/>
      <w:lvlJc w:val="left"/>
      <w:pPr>
        <w:ind w:left="425" w:hanging="425"/>
      </w:pPr>
      <w:rPr>
        <w:rFonts w:hint="default"/>
      </w:rPr>
    </w:lvl>
  </w:abstractNum>
  <w:abstractNum w:abstractNumId="47">
    <w:nsid w:val="7FF73EAD"/>
    <w:multiLevelType w:val="singleLevel"/>
    <w:tmpl w:val="7FF73EAD"/>
    <w:lvl w:ilvl="0">
      <w:start w:val="1"/>
      <w:numFmt w:val="decimal"/>
      <w:lvlText w:val="%1)"/>
      <w:lvlJc w:val="left"/>
      <w:pPr>
        <w:ind w:left="425" w:hanging="425"/>
      </w:pPr>
      <w:rPr>
        <w:rFonts w:hint="default"/>
      </w:rPr>
    </w:lvl>
  </w:abstractNum>
  <w:abstractNum w:abstractNumId="48">
    <w:nsid w:val="7FFFA005"/>
    <w:multiLevelType w:val="singleLevel"/>
    <w:tmpl w:val="7FFFA005"/>
    <w:lvl w:ilvl="0">
      <w:start w:val="1"/>
      <w:numFmt w:val="decimal"/>
      <w:lvlText w:val="%1)"/>
      <w:lvlJc w:val="left"/>
      <w:pPr>
        <w:ind w:left="425" w:hanging="425"/>
      </w:pPr>
      <w:rPr>
        <w:rFonts w:hint="default"/>
      </w:rPr>
    </w:lvl>
  </w:abstractNum>
  <w:num w:numId="1">
    <w:abstractNumId w:val="17"/>
  </w:num>
  <w:num w:numId="2">
    <w:abstractNumId w:val="16"/>
  </w:num>
  <w:num w:numId="3">
    <w:abstractNumId w:val="20"/>
  </w:num>
  <w:num w:numId="4">
    <w:abstractNumId w:val="4"/>
  </w:num>
  <w:num w:numId="5">
    <w:abstractNumId w:val="24"/>
  </w:num>
  <w:num w:numId="6">
    <w:abstractNumId w:val="0"/>
  </w:num>
  <w:num w:numId="7">
    <w:abstractNumId w:val="26"/>
  </w:num>
  <w:num w:numId="8">
    <w:abstractNumId w:val="39"/>
  </w:num>
  <w:num w:numId="9">
    <w:abstractNumId w:val="25"/>
  </w:num>
  <w:num w:numId="10">
    <w:abstractNumId w:val="42"/>
  </w:num>
  <w:num w:numId="11">
    <w:abstractNumId w:val="3"/>
  </w:num>
  <w:num w:numId="12">
    <w:abstractNumId w:val="47"/>
  </w:num>
  <w:num w:numId="13">
    <w:abstractNumId w:val="7"/>
  </w:num>
  <w:num w:numId="14">
    <w:abstractNumId w:val="38"/>
  </w:num>
  <w:num w:numId="15">
    <w:abstractNumId w:val="14"/>
  </w:num>
  <w:num w:numId="16">
    <w:abstractNumId w:val="37"/>
  </w:num>
  <w:num w:numId="17">
    <w:abstractNumId w:val="36"/>
  </w:num>
  <w:num w:numId="18">
    <w:abstractNumId w:val="19"/>
  </w:num>
  <w:num w:numId="19">
    <w:abstractNumId w:val="41"/>
  </w:num>
  <w:num w:numId="20">
    <w:abstractNumId w:val="2"/>
  </w:num>
  <w:num w:numId="21">
    <w:abstractNumId w:val="43"/>
  </w:num>
  <w:num w:numId="22">
    <w:abstractNumId w:val="44"/>
  </w:num>
  <w:num w:numId="23">
    <w:abstractNumId w:val="33"/>
  </w:num>
  <w:num w:numId="24">
    <w:abstractNumId w:val="28"/>
  </w:num>
  <w:num w:numId="25">
    <w:abstractNumId w:val="9"/>
  </w:num>
  <w:num w:numId="26">
    <w:abstractNumId w:val="1"/>
  </w:num>
  <w:num w:numId="27">
    <w:abstractNumId w:val="22"/>
  </w:num>
  <w:num w:numId="28">
    <w:abstractNumId w:val="45"/>
  </w:num>
  <w:num w:numId="29">
    <w:abstractNumId w:val="32"/>
  </w:num>
  <w:num w:numId="30">
    <w:abstractNumId w:val="29"/>
  </w:num>
  <w:num w:numId="31">
    <w:abstractNumId w:val="46"/>
  </w:num>
  <w:num w:numId="32">
    <w:abstractNumId w:val="8"/>
  </w:num>
  <w:num w:numId="33">
    <w:abstractNumId w:val="40"/>
  </w:num>
  <w:num w:numId="34">
    <w:abstractNumId w:val="10"/>
  </w:num>
  <w:num w:numId="35">
    <w:abstractNumId w:val="6"/>
  </w:num>
  <w:num w:numId="36">
    <w:abstractNumId w:val="48"/>
  </w:num>
  <w:num w:numId="37">
    <w:abstractNumId w:val="13"/>
  </w:num>
  <w:num w:numId="38">
    <w:abstractNumId w:val="31"/>
  </w:num>
  <w:num w:numId="39">
    <w:abstractNumId w:val="34"/>
  </w:num>
  <w:num w:numId="40">
    <w:abstractNumId w:val="21"/>
  </w:num>
  <w:num w:numId="41">
    <w:abstractNumId w:val="15"/>
  </w:num>
  <w:num w:numId="42">
    <w:abstractNumId w:val="23"/>
  </w:num>
  <w:num w:numId="43">
    <w:abstractNumId w:val="12"/>
  </w:num>
  <w:num w:numId="44">
    <w:abstractNumId w:val="35"/>
  </w:num>
  <w:num w:numId="45">
    <w:abstractNumId w:val="5"/>
  </w:num>
  <w:num w:numId="46">
    <w:abstractNumId w:val="11"/>
  </w:num>
  <w:num w:numId="47">
    <w:abstractNumId w:val="18"/>
  </w:num>
  <w:num w:numId="48">
    <w:abstractNumId w:val="30"/>
  </w:num>
  <w:num w:numId="4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