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卫星中心至广州、乌鲁木齐、喀什、佳木斯、乌兰察布主用链路租用项目(2026年度)（重新招标）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ZQCD-26095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国家卫星气象中心（国家空间天气监测预警中心））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卫星中心至广州、乌鲁木齐、喀什、佳木斯、乌兰察布主用链路租用项目(2026年度)（重新招标）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ZQCD-26095</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合同签订后一年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国家卫星气象中心（国家空间天气监测预警中心）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2026年06月17日 00:00:00</w:t>
      </w:r>
      <w:bookmarkEnd w:id="26"/>
      <w:r>
        <w:rPr>
          <w:rFonts w:ascii="宋体" w:hint="eastAsia"/>
          <w:szCs w:val="21"/>
          <w:highlight w:val="none"/>
        </w:rPr>
        <w:t>至</w:t>
      </w:r>
      <w:bookmarkStart w:id="27" w:name="项目公告_signUpLastTime"/>
      <w:r>
        <w:rPr>
          <w:rFonts w:ascii="宋体" w:hint="eastAsia"/>
          <w:szCs w:val="21"/>
          <w:highlight w:val="none"/>
        </w:rPr>
        <w:t>2026年06月24日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国家卫星气象中心（国家空间天气监测预警中心））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陈秀娟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010-58995077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国家卫星气象中心（国家空间天气监测预警中心））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基础电信业务经营许可证</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    ，属于 信息传输业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是，代理服务费：3.9万元。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400.000000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400.000000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勾选打分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投标人具有业务连续性管理体系认证得3分，否则不得分。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每提供1份合同得1.5分，最多得6分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(3)</w:t>
            </w:r>
          </w:p>
        </w:tc>
        <w:tc>
          <w:tcPr/>
          <w:p>
            <w:r>
              <w:t>评审标准：</w:t>
            </w:r>
          </w:p>
          <w:p>
            <w:r>
              <w:t>每提供 1份用户满意度证明得1分，最多得3分。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(10)</w:t>
            </w:r>
          </w:p>
        </w:tc>
        <w:tc>
          <w:tcPr/>
          <w:p>
            <w:r>
              <w:t>评审标准：</w:t>
            </w:r>
          </w:p>
          <w:p>
            <w:r>
              <w:t>投标人应组成本项目服务团队，团队组织结构清晰，应设服务团队负责人（项目经理），人员专业背景齐全。具体如下：</w:t>
              <w:cr/>
              <w:t>1、应组成服务团队，服务团队不少于5人的得4分，否则不得分；</w:t>
              <w:cr/>
              <w:t>2、服务团队负责人（项目经理）具备通信专业技术人员职业资格证书（高级），且具有同类项目3年以上工作经验，得3分，否则不得分；</w:t>
              <w:cr/>
              <w:t>3、除服务团队负责人（项目经理）之外，服务团队成员每有一人具备通信专业技术人员职业资格证书（高级）得1分，最多得3分。</w:t>
              <w:cr/>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项目需求分析</w:t>
            </w:r>
          </w:p>
        </w:tc>
        <w:tc>
          <w:tcPr/>
          <w:p>
            <w:r>
              <w:t>勾选打分</w:t>
            </w:r>
            <w:r>
              <w:t>(2)</w:t>
            </w:r>
          </w:p>
        </w:tc>
        <w:tc>
          <w:tcPr/>
          <w:p>
            <w:r>
              <w:t>评审标准：</w:t>
            </w:r>
          </w:p>
          <w:p>
            <w:r>
              <w:t>一档0分</w:t>
              <w:cr/>
              <w:t>二档0.5分</w:t>
              <w:cr/>
              <w:t>三档1分</w:t>
              <w:cr/>
              <w:t>四档2分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7</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具体服务方案（主观分）</w:t>
            </w:r>
          </w:p>
        </w:tc>
        <w:tc>
          <w:tcPr/>
          <w:p>
            <w:r>
              <w:t>区间打分</w:t>
            </w:r>
            <w:r>
              <w:t>(18)</w:t>
            </w:r>
          </w:p>
        </w:tc>
        <w:tc>
          <w:tcPr/>
          <w:p>
            <w:r>
              <w:t>评审标准：</w:t>
            </w:r>
          </w:p>
          <w:p>
            <w:r>
              <w:t>针对以下每项服务内容提交具体服务方案：</w:t>
              <w:cr/>
              <w:t>1、技术方案；</w:t>
              <w:cr/>
              <w:t>2、实施方案；</w:t>
              <w:cr/>
              <w:t>3、运维方案；</w:t>
              <w:cr/>
              <w:t>4、应急方案；</w:t>
              <w:cr/>
              <w:t>5、重大活动保障方案；</w:t>
              <w:cr/>
              <w:t>6、备用路由方案。</w:t>
              <w:cr/>
              <w:cr/>
              <w:t>以上每项服务内容：</w:t>
              <w:cr/>
              <w:t>一档0分</w:t>
              <w:cr/>
              <w:t>二档1分</w:t>
              <w:cr/>
              <w:t>三档2分</w:t>
              <w:cr/>
              <w:t>四档3分</w:t>
              <w:cr/>
              <w:t>以上共计6项服务内容，满分18分。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9</w:t>
            </w:r>
          </w:p>
        </w:tc>
        <w:tc>
          <w:tcPr>
            <w:vMerge/>
          </w:tcPr>
          <w:p>
            <w:r>
              <w:t>服务部分</w:t>
            </w:r>
          </w:p>
        </w:tc>
        <w:tc>
          <w:tcPr/>
          <w:p>
            <w:r>
              <w:t>具体服务指标（客观分）</w:t>
            </w:r>
          </w:p>
        </w:tc>
        <w:tc>
          <w:tcPr/>
          <w:p>
            <w:r>
              <w:t>区间打分</w:t>
            </w:r>
            <w:r>
              <w:t>(20)</w:t>
            </w:r>
          </w:p>
        </w:tc>
        <w:tc>
          <w:tcPr/>
          <w:p>
            <w:r>
              <w:t>评审标准：</w:t>
            </w:r>
          </w:p>
          <w:p>
            <w:r>
              <w:t>1、链路带宽，指标优于第七章采购需求的规定，四条达到420Mbps，一条4Gbps，得4分；</w:t>
              <w:cr/>
              <w:t>2、误码率，指标优于第七章采购需求的规定,不大于10E-7，得4分；</w:t>
              <w:cr/>
              <w:t>3、可用率，每条链路每年的可用率不小于99.9％，得3分；</w:t>
              <w:cr/>
              <w:t>4、时延，卫星中心至广州、乌鲁木齐、喀什、佳木斯、乌兰察布的Round Trip Time分别小于40、50、65、38、20毫秒，得3分；</w:t>
              <w:cr/>
              <w:t>5、可靠性，链路涉及的运营商设备均采用双电源配置，用户侧至运营商局采用双路由组网（用户侧不具备双路由条件的情况除外），保障供电与传输路径冗余，得3分。</w:t>
              <w:cr/>
              <w:t>6、交付时间，2026年7月31日前能够开通全部链路，得3分。</w:t>
              <w:cr/>
              <w:t>以上共计20分。</w:t>
              <w:cr/>
            </w:r>
          </w:p>
          <w:p>
            <w:r>
              <w:t>评审标准说明：</w:t>
            </w:r>
          </w:p>
          <w:p>
            <w:r>
              <w:t>需提供承诺函，并加盖投标人公章。</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11</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rsidR="00C66B5B">
      <w:pPr>
        <w:spacing w:before="156" w:beforeLines="50" w:line="360" w:lineRule="auto"/>
        <w:jc w:val="center"/>
        <w:outlineLvl w:val="1"/>
        <w:rPr>
          <w:rFonts w:ascii="宋体" w:hAnsi="宋体" w:hint="eastAsia"/>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rsidR="00C66B5B">
      <w:pPr>
        <w:jc w:val="left"/>
        <w:rPr>
          <w:rFonts w:ascii="Times New Roman" w:eastAsia="宋体" w:hAnsi="Times New Roman" w:cs="Times New Roman"/>
          <w:b/>
          <w:szCs w:val="21"/>
        </w:rPr>
      </w:pPr>
    </w:p>
    <w:p w:rsidR="00C66B5B">
      <w:pPr>
        <w:snapToGrid w:val="0"/>
        <w:spacing w:line="360" w:lineRule="auto"/>
        <w:ind w:firstLine="315" w:firstLineChars="150"/>
        <w:jc w:val="left"/>
        <w:rPr>
          <w:rFonts w:ascii="宋体" w:eastAsia="宋体" w:hAnsi="宋体" w:cs="Times New Roman" w:hint="eastAsia"/>
          <w:szCs w:val="21"/>
        </w:rPr>
      </w:pPr>
      <w:r>
        <w:rPr>
          <w:rFonts w:ascii="宋体" w:eastAsia="宋体" w:hAnsi="宋体" w:cs="Times New Roman" w:hint="eastAsia"/>
          <w:szCs w:val="21"/>
        </w:rPr>
        <w:t>采购需求应当完整、明确，包括以下内容：</w:t>
      </w:r>
    </w:p>
    <w:p w:rsidR="00C66B5B">
      <w:pPr>
        <w:numPr>
          <w:ilvl w:val="0"/>
          <w:numId w:val="16"/>
        </w:numPr>
        <w:snapToGrid w:val="0"/>
        <w:spacing w:line="360" w:lineRule="auto"/>
        <w:jc w:val="left"/>
        <w:rPr>
          <w:rFonts w:ascii="宋体" w:eastAsia="宋体" w:hAnsi="宋体" w:cs="Times New Roman" w:hint="eastAsia"/>
          <w:szCs w:val="21"/>
        </w:rPr>
      </w:pPr>
      <w:r>
        <w:rPr>
          <w:rFonts w:ascii="宋体" w:eastAsia="宋体" w:hAnsi="宋体" w:cs="Times New Roman" w:hint="eastAsia"/>
          <w:szCs w:val="21"/>
        </w:rPr>
        <w:t>采购标的需实现的功能或者目标，以及为落实政府采购政策需满足的要求；</w:t>
      </w:r>
    </w:p>
    <w:p w:rsidR="00C66B5B">
      <w:pPr>
        <w:snapToGrid w:val="0"/>
        <w:spacing w:line="360" w:lineRule="auto"/>
        <w:ind w:left="420"/>
        <w:jc w:val="left"/>
        <w:rPr>
          <w:rFonts w:ascii="宋体" w:eastAsia="宋体" w:hAnsi="宋体" w:cs="Times New Roman" w:hint="eastAsia"/>
          <w:szCs w:val="21"/>
        </w:rPr>
      </w:pPr>
      <w:r>
        <w:rPr>
          <w:rFonts w:ascii="宋体" w:eastAsia="宋体" w:hAnsi="宋体" w:cs="宋体" w:hint="eastAsia"/>
          <w:szCs w:val="21"/>
        </w:rPr>
        <w:t>服务要求国家卫星气象中心至广州、佳木斯、乌鲁木齐、喀什气象卫星地面站的专线链路带宽420Mbps，国家卫星气象中心至乌兰察布分集站的专线链路带宽4Gbps。</w:t>
      </w:r>
    </w:p>
    <w:p w:rsidR="00C66B5B">
      <w:pPr>
        <w:numPr>
          <w:ilvl w:val="0"/>
          <w:numId w:val="16"/>
        </w:numPr>
        <w:snapToGrid w:val="0"/>
        <w:spacing w:line="360" w:lineRule="auto"/>
        <w:jc w:val="left"/>
        <w:rPr>
          <w:rFonts w:ascii="宋体" w:eastAsia="宋体" w:hAnsi="宋体" w:cs="Times New Roman" w:hint="eastAsia"/>
          <w:szCs w:val="21"/>
        </w:rPr>
      </w:pPr>
      <w:r>
        <w:rPr>
          <w:rFonts w:ascii="宋体" w:eastAsia="宋体" w:hAnsi="宋体" w:cs="Times New Roman" w:hint="eastAsia"/>
          <w:szCs w:val="21"/>
        </w:rPr>
        <w:t>采购标的需执行的国家相关标准、行业标准、地方标准或者其他标准、规范；</w:t>
      </w:r>
    </w:p>
    <w:p w:rsidR="00C66B5B">
      <w:pPr>
        <w:snapToGrid w:val="0"/>
        <w:spacing w:line="360" w:lineRule="auto"/>
        <w:ind w:left="420"/>
        <w:jc w:val="left"/>
        <w:rPr>
          <w:rFonts w:ascii="宋体" w:eastAsia="宋体" w:hAnsi="宋体" w:cs="Times New Roman" w:hint="eastAsia"/>
          <w:szCs w:val="21"/>
        </w:rPr>
      </w:pPr>
      <w:r>
        <w:rPr>
          <w:rFonts w:ascii="宋体" w:eastAsia="宋体" w:hAnsi="宋体" w:cs="宋体" w:hint="eastAsia"/>
          <w:szCs w:val="21"/>
        </w:rPr>
        <w:t>《中华人民共和国电信条例》</w:t>
      </w:r>
    </w:p>
    <w:p w:rsidR="00C66B5B">
      <w:pPr>
        <w:numPr>
          <w:ilvl w:val="0"/>
          <w:numId w:val="16"/>
        </w:numPr>
        <w:snapToGrid w:val="0"/>
        <w:spacing w:line="360" w:lineRule="auto"/>
        <w:jc w:val="left"/>
        <w:rPr>
          <w:rFonts w:ascii="宋体" w:eastAsia="宋体" w:hAnsi="宋体" w:cs="Times New Roman" w:hint="eastAsia"/>
          <w:szCs w:val="21"/>
        </w:rPr>
      </w:pPr>
      <w:r>
        <w:rPr>
          <w:rFonts w:ascii="宋体" w:eastAsia="宋体" w:hAnsi="宋体" w:cs="Times New Roman" w:hint="eastAsia"/>
          <w:szCs w:val="21"/>
        </w:rPr>
        <w:t>采购标的需满足的质量、安全、技术规格、物理特性等要求；</w:t>
      </w:r>
    </w:p>
    <w:p w:rsidR="00C66B5B">
      <w:pPr>
        <w:pStyle w:val="ListParagraph"/>
        <w:numPr>
          <w:ilvl w:val="0"/>
          <w:numId w:val="5"/>
        </w:numPr>
        <w:spacing w:line="400" w:lineRule="exact"/>
        <w:ind w:left="0" w:firstLine="420"/>
        <w:rPr>
          <w:rFonts w:ascii="宋体" w:eastAsia="宋体" w:hAnsi="宋体" w:cs="宋体" w:hint="eastAsia"/>
          <w:szCs w:val="21"/>
        </w:rPr>
      </w:pPr>
      <w:r>
        <w:rPr>
          <w:rFonts w:ascii="宋体" w:eastAsia="宋体" w:hAnsi="宋体" w:cs="宋体" w:hint="eastAsia"/>
          <w:szCs w:val="21"/>
        </w:rPr>
        <w:t>链路带宽：国家卫星气象中心至广州、佳木斯、乌鲁木齐、喀什气象卫星地面站可用带宽均为420Mbps；国家卫星气象中心至乌兰察布分集站可用带宽为4Gbps。可用带宽数据以业务服务器双向iperf测试结果为准，其中udp和tcp测试结果需同时满足以下条件：（1）udp测试丢包率不高于0.001%（2）tcp</w:t>
      </w:r>
      <w:r>
        <w:rPr>
          <w:rFonts w:ascii="宋体" w:eastAsia="宋体" w:hAnsi="宋体" w:cs="宋体" w:hint="eastAsia"/>
          <w:szCs w:val="21"/>
        </w:rPr>
        <w:t>多进程</w:t>
      </w:r>
      <w:r>
        <w:rPr>
          <w:rFonts w:ascii="宋体" w:eastAsia="宋体" w:hAnsi="宋体" w:cs="宋体" w:hint="eastAsia"/>
          <w:szCs w:val="21"/>
        </w:rPr>
        <w:t>测试传输速率需达到可用带宽的90%。</w:t>
      </w:r>
    </w:p>
    <w:p w:rsidR="00C66B5B">
      <w:pPr>
        <w:pStyle w:val="ListParagraph"/>
        <w:numPr>
          <w:ilvl w:val="0"/>
          <w:numId w:val="5"/>
        </w:numPr>
        <w:spacing w:line="400" w:lineRule="exact"/>
        <w:ind w:left="0" w:firstLine="420"/>
        <w:rPr>
          <w:rFonts w:ascii="宋体" w:eastAsia="宋体" w:hAnsi="宋体" w:cs="宋体" w:hint="eastAsia"/>
          <w:szCs w:val="21"/>
        </w:rPr>
      </w:pPr>
      <w:r>
        <w:rPr>
          <w:rFonts w:ascii="宋体" w:eastAsia="宋体" w:hAnsi="宋体" w:cs="宋体" w:hint="eastAsia"/>
          <w:szCs w:val="21"/>
        </w:rPr>
        <w:t>链路类型：链路要求为点对点专线（MSTP、PTN或POTN）。</w:t>
      </w:r>
    </w:p>
    <w:p w:rsidR="00C66B5B">
      <w:pPr>
        <w:pStyle w:val="ListParagraph"/>
        <w:numPr>
          <w:ilvl w:val="0"/>
          <w:numId w:val="5"/>
        </w:numPr>
        <w:spacing w:line="400" w:lineRule="exact"/>
        <w:ind w:left="0" w:firstLine="420"/>
        <w:rPr>
          <w:rFonts w:ascii="宋体" w:eastAsia="宋体" w:hAnsi="宋体" w:cs="宋体" w:hint="eastAsia"/>
          <w:szCs w:val="21"/>
        </w:rPr>
      </w:pPr>
      <w:r>
        <w:rPr>
          <w:rFonts w:ascii="宋体" w:eastAsia="宋体" w:hAnsi="宋体" w:cs="宋体" w:hint="eastAsia"/>
          <w:szCs w:val="21"/>
        </w:rPr>
        <w:t>误码率：电路比特率误码率不大于10E</w:t>
      </w:r>
      <w:r>
        <w:rPr>
          <w:rFonts w:ascii="宋体" w:eastAsia="宋体" w:hAnsi="宋体" w:cs="宋体" w:hint="eastAsia"/>
          <w:szCs w:val="21"/>
          <w:vertAlign w:val="superscript"/>
        </w:rPr>
        <w:t>-7</w:t>
      </w:r>
      <w:r>
        <w:rPr>
          <w:rFonts w:ascii="宋体" w:eastAsia="宋体" w:hAnsi="宋体" w:cs="宋体" w:hint="eastAsia"/>
          <w:szCs w:val="21"/>
        </w:rPr>
        <w:t>。</w:t>
      </w:r>
    </w:p>
    <w:p w:rsidR="00C66B5B">
      <w:pPr>
        <w:pStyle w:val="ListParagraph"/>
        <w:numPr>
          <w:ilvl w:val="0"/>
          <w:numId w:val="5"/>
        </w:numPr>
        <w:spacing w:line="400" w:lineRule="exact"/>
        <w:ind w:left="0" w:firstLine="420"/>
        <w:rPr>
          <w:rFonts w:ascii="宋体" w:eastAsia="宋体" w:hAnsi="宋体" w:cs="宋体" w:hint="eastAsia"/>
          <w:szCs w:val="21"/>
        </w:rPr>
      </w:pPr>
      <w:r>
        <w:rPr>
          <w:rFonts w:ascii="宋体" w:eastAsia="宋体" w:hAnsi="宋体" w:cs="宋体" w:hint="eastAsia"/>
          <w:szCs w:val="21"/>
        </w:rPr>
        <w:t>可用率：每条链路每年的可用率不小于99.9％。可用率计算方式为：（1-国家卫星气象中心路由器监测到的链路中断时间除以链路应正常服务时间）*100%。</w:t>
      </w:r>
    </w:p>
    <w:p w:rsidR="00C66B5B">
      <w:pPr>
        <w:pStyle w:val="ListParagraph"/>
        <w:numPr>
          <w:ilvl w:val="0"/>
          <w:numId w:val="5"/>
        </w:numPr>
        <w:spacing w:line="400" w:lineRule="exact"/>
        <w:ind w:left="0" w:firstLine="420"/>
        <w:rPr>
          <w:rFonts w:ascii="宋体" w:eastAsia="宋体" w:hAnsi="宋体" w:cs="宋体" w:hint="eastAsia"/>
          <w:szCs w:val="21"/>
        </w:rPr>
      </w:pPr>
      <w:r>
        <w:rPr>
          <w:rFonts w:ascii="宋体" w:eastAsia="宋体" w:hAnsi="宋体" w:cs="宋体" w:hint="eastAsia"/>
          <w:szCs w:val="21"/>
        </w:rPr>
        <w:t>时延：国家卫星气象中心至广州气象卫星地面站链路的Round Trip Time小于40毫秒，至乌鲁木齐气象卫星地面站每条链路的Round Trip Time小于50毫秒，至喀什气象卫星地面站每条链路的Round Trip Time小于65毫秒，至佳木斯气象卫星地面站链路的Round Trip Time小于38毫秒，至乌兰察布分集站链路的Round Trip Time小于20毫秒。</w:t>
      </w:r>
    </w:p>
    <w:p w:rsidR="00C66B5B">
      <w:pPr>
        <w:pStyle w:val="ListParagraph"/>
        <w:numPr>
          <w:ilvl w:val="0"/>
          <w:numId w:val="5"/>
        </w:numPr>
        <w:spacing w:line="400" w:lineRule="exact"/>
        <w:ind w:left="0" w:firstLine="420"/>
        <w:rPr>
          <w:rFonts w:ascii="宋体" w:eastAsia="宋体" w:hAnsi="宋体" w:cs="宋体" w:hint="eastAsia"/>
          <w:szCs w:val="21"/>
        </w:rPr>
      </w:pPr>
      <w:r>
        <w:rPr>
          <w:rFonts w:ascii="宋体" w:eastAsia="宋体" w:hAnsi="宋体" w:cs="宋体" w:hint="eastAsia"/>
          <w:szCs w:val="21"/>
        </w:rPr>
        <w:t>接入方式：至广州、乌鲁木齐、喀什、佳木斯气象卫星地面站四条链路提供</w:t>
      </w:r>
      <w:r>
        <w:rPr>
          <w:rFonts w:ascii="宋体" w:eastAsia="宋体" w:hAnsi="宋体" w:cs="宋体" w:hint="eastAsia"/>
          <w:szCs w:val="21"/>
        </w:rPr>
        <w:t>千兆电模块</w:t>
      </w:r>
      <w:r>
        <w:rPr>
          <w:rFonts w:ascii="宋体" w:eastAsia="宋体" w:hAnsi="宋体" w:cs="宋体" w:hint="eastAsia"/>
          <w:szCs w:val="21"/>
        </w:rPr>
        <w:t>，接入卫星气象中心路由器与各站路由器，同时支持用户在需要时变更为千兆单模光纤接入。至乌兰察布分集站链路提供万兆单模模块，接入卫星气象中心路由器与乌兰察布路由器。</w:t>
      </w:r>
    </w:p>
    <w:p w:rsidR="00C66B5B">
      <w:pPr>
        <w:pStyle w:val="ListParagraph"/>
        <w:numPr>
          <w:ilvl w:val="0"/>
          <w:numId w:val="5"/>
        </w:numPr>
        <w:spacing w:line="400" w:lineRule="exact"/>
        <w:ind w:left="0" w:firstLine="420"/>
        <w:rPr>
          <w:rFonts w:ascii="宋体" w:eastAsia="宋体" w:hAnsi="宋体" w:cs="宋体" w:hint="eastAsia"/>
          <w:szCs w:val="21"/>
        </w:rPr>
      </w:pPr>
      <w:r>
        <w:rPr>
          <w:rFonts w:ascii="宋体" w:eastAsia="宋体" w:hAnsi="宋体" w:cs="宋体" w:hint="eastAsia"/>
          <w:szCs w:val="21"/>
        </w:rPr>
        <w:t>可靠性：链路涉及的运营</w:t>
      </w:r>
      <w:r>
        <w:rPr>
          <w:rFonts w:ascii="宋体" w:eastAsia="宋体" w:hAnsi="宋体" w:cs="宋体" w:hint="eastAsia"/>
          <w:szCs w:val="21"/>
        </w:rPr>
        <w:t>商设备</w:t>
      </w:r>
      <w:r>
        <w:rPr>
          <w:rFonts w:ascii="宋体" w:eastAsia="宋体" w:hAnsi="宋体" w:cs="宋体" w:hint="eastAsia"/>
          <w:szCs w:val="21"/>
        </w:rPr>
        <w:t>均采用双电源配置，</w:t>
      </w:r>
      <w:r>
        <w:rPr>
          <w:rFonts w:ascii="宋体" w:eastAsia="宋体" w:hAnsi="宋体" w:cs="宋体" w:hint="eastAsia"/>
          <w:szCs w:val="21"/>
        </w:rPr>
        <w:t>用户侧至运营</w:t>
      </w:r>
      <w:r>
        <w:rPr>
          <w:rFonts w:ascii="宋体" w:eastAsia="宋体" w:hAnsi="宋体" w:cs="宋体" w:hint="eastAsia"/>
          <w:szCs w:val="21"/>
        </w:rPr>
        <w:t>商局采用双路由组网（用户侧不具备双路由条件的情况除外），保障供电与传输路径冗余。</w:t>
      </w:r>
    </w:p>
    <w:p w:rsidR="00C66B5B">
      <w:pPr>
        <w:snapToGrid w:val="0"/>
        <w:spacing w:line="360" w:lineRule="auto"/>
        <w:ind w:left="420"/>
        <w:jc w:val="left"/>
        <w:rPr>
          <w:rFonts w:ascii="宋体" w:eastAsia="宋体" w:hAnsi="宋体" w:cs="Times New Roman" w:hint="eastAsia"/>
          <w:szCs w:val="21"/>
        </w:rPr>
      </w:pPr>
      <w:r>
        <w:rPr>
          <w:rFonts w:ascii="宋体" w:eastAsia="宋体" w:hAnsi="宋体" w:cs="宋体" w:hint="eastAsia"/>
          <w:szCs w:val="21"/>
        </w:rPr>
        <w:t>链路资源：所提供链路不得与当前所租用的国家卫星气象中心至佳木斯（260Mbps）、乌鲁木齐（200Mbps）、广州（200Mbps）、乌兰察布（100Mbps）气象卫星地面站备用链路存在设备、管线、机房、光缆等资源复用重合。</w:t>
      </w:r>
    </w:p>
    <w:p w:rsidR="00C66B5B">
      <w:pPr>
        <w:numPr>
          <w:ilvl w:val="0"/>
          <w:numId w:val="16"/>
        </w:numPr>
        <w:snapToGrid w:val="0"/>
        <w:spacing w:line="360" w:lineRule="auto"/>
        <w:jc w:val="left"/>
        <w:rPr>
          <w:rFonts w:ascii="宋体" w:eastAsia="宋体" w:hAnsi="宋体" w:cs="Times New Roman" w:hint="eastAsia"/>
          <w:szCs w:val="21"/>
        </w:rPr>
      </w:pPr>
      <w:r>
        <w:rPr>
          <w:rFonts w:ascii="宋体" w:eastAsia="宋体" w:hAnsi="宋体" w:cs="Times New Roman" w:hint="eastAsia"/>
          <w:szCs w:val="21"/>
        </w:rPr>
        <w:t>采购标的</w:t>
      </w:r>
      <w:r>
        <w:rPr>
          <w:rFonts w:ascii="宋体" w:eastAsia="宋体" w:hAnsi="宋体" w:cs="Times New Roman" w:hint="eastAsia"/>
          <w:szCs w:val="21"/>
        </w:rPr>
        <w:t>的</w:t>
      </w:r>
      <w:r>
        <w:rPr>
          <w:rFonts w:ascii="宋体" w:eastAsia="宋体" w:hAnsi="宋体" w:cs="Times New Roman" w:hint="eastAsia"/>
          <w:szCs w:val="21"/>
        </w:rPr>
        <w:t>数量、采购项目交付或者实施的时间和地点；</w:t>
      </w:r>
    </w:p>
    <w:p w:rsidR="00C66B5B">
      <w:pPr>
        <w:snapToGrid w:val="0"/>
        <w:spacing w:line="400" w:lineRule="exact"/>
        <w:ind w:firstLine="420" w:firstLineChars="200"/>
        <w:jc w:val="left"/>
        <w:rPr>
          <w:rFonts w:ascii="宋体" w:eastAsia="宋体" w:hAnsi="宋体" w:cs="Times New Roman" w:hint="eastAsia"/>
          <w:szCs w:val="21"/>
        </w:rPr>
      </w:pPr>
      <w:r>
        <w:rPr>
          <w:rFonts w:ascii="宋体" w:eastAsia="宋体" w:hAnsi="宋体" w:cs="宋体" w:hint="eastAsia"/>
          <w:szCs w:val="21"/>
        </w:rPr>
        <w:t>本项目共一包五条链路，2026年7月31日前开通 8月1日起正式起租，地点为国家卫星气象中心、北京气象卫星地面站、广州气象卫星地面站、乌鲁木齐气象卫星地面站、喀什</w:t>
      </w:r>
      <w:r>
        <w:rPr>
          <w:rFonts w:ascii="宋体" w:eastAsia="宋体" w:hAnsi="宋体" w:cs="宋体" w:hint="eastAsia"/>
          <w:szCs w:val="21"/>
        </w:rPr>
        <w:t>地面站、乌兰察布分集站。</w:t>
      </w:r>
    </w:p>
    <w:p w:rsidR="00C66B5B">
      <w:pPr>
        <w:numPr>
          <w:ilvl w:val="0"/>
          <w:numId w:val="16"/>
        </w:numPr>
        <w:snapToGrid w:val="0"/>
        <w:spacing w:line="360" w:lineRule="auto"/>
        <w:jc w:val="left"/>
        <w:rPr>
          <w:rFonts w:ascii="宋体" w:eastAsia="宋体" w:hAnsi="宋体" w:cs="Times New Roman" w:hint="eastAsia"/>
          <w:szCs w:val="21"/>
        </w:rPr>
      </w:pPr>
      <w:r>
        <w:rPr>
          <w:rFonts w:ascii="宋体" w:eastAsia="宋体" w:hAnsi="宋体" w:cs="Times New Roman" w:hint="eastAsia"/>
          <w:szCs w:val="21"/>
        </w:rPr>
        <w:t>采购标的需满足的服务标准、期限、效率等要求；</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为保证服务质量，乙方须具有中华人民共和国工业和信息化部颁发的在有效期内的《</w:t>
      </w:r>
      <w:r w:rsidRPr="00B8116A" w:rsidR="00B8116A">
        <w:rPr>
          <w:rFonts w:ascii="宋体" w:eastAsia="宋体" w:hAnsi="宋体" w:cs="宋体" w:hint="eastAsia"/>
          <w:szCs w:val="21"/>
        </w:rPr>
        <w:t>基础电信业务经营许可证</w:t>
      </w:r>
      <w:r>
        <w:rPr>
          <w:rFonts w:ascii="宋体" w:eastAsia="宋体" w:hAnsi="宋体" w:cs="宋体" w:hint="eastAsia"/>
          <w:szCs w:val="21"/>
        </w:rPr>
        <w:t>》。</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国家卫星气象中心至广州气象卫星地面站、乌鲁木齐气象卫星地面站、喀什气象卫星地面站、佳木斯气象卫星地面站和乌兰察布分集站五条广域网链路的服务日期自链路开通并通过测试之日起12个月。如本项目起租时间（即链路开通并通过测试之日）晚于2026年8月1日，则自2026年8月1日起至本项目起租期间，乙方须协助用户确保当前业务在用的国家卫星气象中心至广州气象卫星地面站（622Mbps）、乌鲁木齐气象卫星地面站（622Mbps）、喀什气象卫星地面站（622Mbps）、佳木斯气象卫星地面站（622Mbps）和乌兰察布分集站（4</w:t>
      </w:r>
      <w:r>
        <w:rPr>
          <w:rFonts w:ascii="宋体" w:eastAsia="宋体" w:hAnsi="宋体" w:cs="宋体"/>
          <w:szCs w:val="21"/>
        </w:rPr>
        <w:t>Gbps</w:t>
      </w:r>
      <w:r>
        <w:rPr>
          <w:rFonts w:ascii="宋体" w:eastAsia="宋体" w:hAnsi="宋体" w:cs="宋体" w:hint="eastAsia"/>
          <w:szCs w:val="21"/>
        </w:rPr>
        <w:t>）链路可用，且带宽、质量不降低。</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乙方提供</w:t>
      </w:r>
      <w:r>
        <w:rPr>
          <w:rFonts w:ascii="宋体" w:eastAsia="宋体" w:hAnsi="宋体" w:cs="宋体" w:hint="eastAsia"/>
          <w:szCs w:val="21"/>
        </w:rPr>
        <w:t>千兆电模块</w:t>
      </w:r>
      <w:r>
        <w:rPr>
          <w:rFonts w:ascii="宋体" w:eastAsia="宋体" w:hAnsi="宋体" w:cs="宋体" w:hint="eastAsia"/>
          <w:szCs w:val="21"/>
        </w:rPr>
        <w:t>、万兆单模模块的质保，在用户方链路两端提供现场备件各一件。</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乙方提供24小时服务电话并安排统一</w:t>
      </w:r>
      <w:r>
        <w:rPr>
          <w:rFonts w:ascii="宋体" w:eastAsia="宋体" w:hAnsi="宋体" w:cs="宋体" w:hint="eastAsia"/>
          <w:szCs w:val="21"/>
        </w:rPr>
        <w:t>的维保服务</w:t>
      </w:r>
      <w:r>
        <w:rPr>
          <w:rFonts w:ascii="宋体" w:eastAsia="宋体" w:hAnsi="宋体" w:cs="宋体" w:hint="eastAsia"/>
          <w:szCs w:val="21"/>
        </w:rPr>
        <w:t>接口人。</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乙方负责通信链路的维护工作。非用户方原因造成的专网线路故障，经乙方检查故障确属乙方网络原因导致的，乙方负责免费维修。</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链路故障报修响应时间小于15分钟，故障响应率达到100%，业务恢复时限小于1个小时（由于光缆中断、不可抗力、经用户许可计划内变更导致的专线中断除外），并针对用户要求在故障处理完毕3个工作日内提供书面故障处理报告。</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乙方提供7x24小时随时可供用户应急使用的备用传输链路，租用链路出现中断修复时间大于4小时时，必须能立即为用户提供备用链路，备用链路传输带宽与质量不低于对应租用链路。</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乙方根据用户应急通信保障需求提供多种应急措施进行通信链路保障服务，保持项目中涉及链路的通信畅通。</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乙方根据用户重要事件保障需求提供重要时期通信保障服务，确保重要时期项目中涉及的链路不中断。</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乙方因通信链路施工、割接等影响用户租用通信链路正常使用时，乙方应至少提前3个工作日通知用户，说明必要情况，并保证对用户影响时间尽可能短，必要时提供应急链路以保障重要业务正常运行。</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乙方每个月对链路状态进行一次巡检并出具巡检记录，每个季度提供一份链路运行情况说明和巡检报告。</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乙方通过24小时热线电话为用户解决或解答链路故障问题，提供专网线路、专网业务的咨询、组</w:t>
      </w:r>
      <w:r>
        <w:rPr>
          <w:rFonts w:ascii="宋体" w:eastAsia="宋体" w:hAnsi="宋体" w:cs="宋体" w:hint="eastAsia"/>
          <w:szCs w:val="21"/>
        </w:rPr>
        <w:t>网建议</w:t>
      </w:r>
      <w:r>
        <w:rPr>
          <w:rFonts w:ascii="宋体" w:eastAsia="宋体" w:hAnsi="宋体" w:cs="宋体" w:hint="eastAsia"/>
          <w:szCs w:val="21"/>
        </w:rPr>
        <w:t>等服务，并负责现有网络设备扩容及网络升级中继续提供业务和技术</w:t>
      </w:r>
      <w:r>
        <w:rPr>
          <w:rFonts w:ascii="宋体" w:eastAsia="宋体" w:hAnsi="宋体" w:cs="宋体" w:hint="eastAsia"/>
          <w:szCs w:val="21"/>
        </w:rPr>
        <w:t>支持。用户如有链路接入物理地点调整需求，乙方需按要求完成实施工作，实现业务不间断状态下链路迁移。</w:t>
      </w:r>
    </w:p>
    <w:p w:rsidR="00C66B5B">
      <w:pPr>
        <w:pStyle w:val="ListParagraph"/>
        <w:numPr>
          <w:ilvl w:val="0"/>
          <w:numId w:val="6"/>
        </w:numPr>
        <w:spacing w:line="400" w:lineRule="exact"/>
        <w:ind w:left="0" w:firstLine="420"/>
        <w:rPr>
          <w:rFonts w:ascii="宋体" w:eastAsia="宋体" w:hAnsi="宋体" w:cs="宋体" w:hint="eastAsia"/>
          <w:szCs w:val="21"/>
        </w:rPr>
      </w:pPr>
      <w:r>
        <w:rPr>
          <w:rFonts w:ascii="宋体" w:eastAsia="宋体" w:hAnsi="宋体" w:cs="宋体" w:hint="eastAsia"/>
          <w:szCs w:val="21"/>
        </w:rPr>
        <w:t xml:space="preserve"> 乙方须成立专项团队参与本项目，团队人数至少5人（含项目经理及技术负责人）。</w:t>
      </w:r>
    </w:p>
    <w:p w:rsidR="00C66B5B">
      <w:pPr>
        <w:snapToGrid w:val="0"/>
        <w:spacing w:line="360" w:lineRule="auto"/>
        <w:ind w:left="420"/>
        <w:jc w:val="left"/>
        <w:rPr>
          <w:rFonts w:ascii="宋体" w:eastAsia="宋体" w:hAnsi="宋体" w:cs="Times New Roman" w:hint="eastAsia"/>
          <w:szCs w:val="21"/>
        </w:rPr>
      </w:pPr>
      <w:r>
        <w:rPr>
          <w:rFonts w:ascii="宋体" w:eastAsia="宋体" w:hAnsi="宋体" w:cs="宋体" w:hint="eastAsia"/>
          <w:szCs w:val="21"/>
        </w:rPr>
        <w:t>14）以上所有服务所需费用及乙方增值服务费用均包含在投标价格中。</w:t>
      </w:r>
    </w:p>
    <w:p w:rsidR="00C66B5B">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rPr>
        <w:t>（六）采购标的</w:t>
      </w:r>
      <w:r>
        <w:rPr>
          <w:rFonts w:ascii="宋体" w:eastAsia="宋体" w:hAnsi="宋体" w:cs="Times New Roman" w:hint="eastAsia"/>
          <w:szCs w:val="21"/>
        </w:rPr>
        <w:t>的</w:t>
      </w:r>
      <w:r>
        <w:rPr>
          <w:rFonts w:ascii="宋体" w:eastAsia="宋体" w:hAnsi="宋体" w:cs="Times New Roman" w:hint="eastAsia"/>
          <w:szCs w:val="21"/>
        </w:rPr>
        <w:t>验收标准；</w:t>
      </w:r>
    </w:p>
    <w:p w:rsidR="00C66B5B">
      <w:pPr>
        <w:pStyle w:val="ListParagraph"/>
        <w:numPr>
          <w:ilvl w:val="0"/>
          <w:numId w:val="7"/>
        </w:numPr>
        <w:spacing w:line="400" w:lineRule="exact"/>
        <w:ind w:left="0" w:firstLine="420"/>
        <w:rPr>
          <w:rFonts w:ascii="宋体" w:eastAsia="宋体" w:hAnsi="宋体" w:cs="宋体" w:hint="eastAsia"/>
          <w:szCs w:val="21"/>
        </w:rPr>
      </w:pPr>
      <w:r>
        <w:rPr>
          <w:rFonts w:ascii="宋体" w:eastAsia="宋体" w:hAnsi="宋体" w:cs="宋体" w:hint="eastAsia"/>
          <w:szCs w:val="21"/>
        </w:rPr>
        <w:t>为用户提供稳定的通信链路和服务。</w:t>
      </w:r>
    </w:p>
    <w:p w:rsidR="00C66B5B">
      <w:pPr>
        <w:pStyle w:val="ListParagraph"/>
        <w:numPr>
          <w:ilvl w:val="0"/>
          <w:numId w:val="7"/>
        </w:numPr>
        <w:spacing w:line="400" w:lineRule="exact"/>
        <w:ind w:left="0" w:firstLine="420"/>
        <w:rPr>
          <w:rFonts w:ascii="宋体" w:eastAsia="宋体" w:hAnsi="宋体" w:cs="宋体" w:hint="eastAsia"/>
          <w:szCs w:val="21"/>
        </w:rPr>
      </w:pPr>
      <w:r>
        <w:rPr>
          <w:rFonts w:ascii="宋体" w:eastAsia="宋体" w:hAnsi="宋体" w:cs="宋体" w:hint="eastAsia"/>
          <w:szCs w:val="21"/>
        </w:rPr>
        <w:t>每个月提交一份巡检记录。</w:t>
      </w:r>
    </w:p>
    <w:p w:rsidR="00C66B5B">
      <w:pPr>
        <w:pStyle w:val="ListParagraph"/>
        <w:numPr>
          <w:ilvl w:val="0"/>
          <w:numId w:val="7"/>
        </w:numPr>
        <w:spacing w:line="400" w:lineRule="exact"/>
        <w:ind w:left="0" w:firstLine="420"/>
        <w:rPr>
          <w:rFonts w:ascii="宋体" w:eastAsia="宋体" w:hAnsi="宋体" w:cs="宋体" w:hint="eastAsia"/>
          <w:szCs w:val="21"/>
        </w:rPr>
      </w:pPr>
      <w:r>
        <w:rPr>
          <w:rFonts w:ascii="宋体" w:eastAsia="宋体" w:hAnsi="宋体" w:cs="宋体" w:hint="eastAsia"/>
          <w:szCs w:val="21"/>
        </w:rPr>
        <w:t>每个季度提交一份链路运行情况说明和巡检报告。</w:t>
      </w:r>
    </w:p>
    <w:p w:rsidR="00C66B5B">
      <w:pPr>
        <w:pStyle w:val="ListParagraph"/>
        <w:numPr>
          <w:ilvl w:val="0"/>
          <w:numId w:val="7"/>
        </w:numPr>
        <w:spacing w:line="400" w:lineRule="exact"/>
        <w:ind w:left="0" w:firstLine="420"/>
        <w:rPr>
          <w:rFonts w:ascii="宋体" w:eastAsia="宋体" w:hAnsi="宋体" w:cs="宋体" w:hint="eastAsia"/>
          <w:szCs w:val="21"/>
        </w:rPr>
      </w:pPr>
      <w:r>
        <w:rPr>
          <w:rFonts w:ascii="宋体" w:eastAsia="宋体" w:hAnsi="宋体" w:cs="宋体" w:hint="eastAsia"/>
          <w:szCs w:val="21"/>
        </w:rPr>
        <w:t>每年提交一份链路运行维护总结报告。</w:t>
      </w:r>
    </w:p>
    <w:p w:rsidR="00C66B5B">
      <w:pPr>
        <w:snapToGrid w:val="0"/>
        <w:spacing w:line="360" w:lineRule="auto"/>
        <w:ind w:firstLine="420"/>
        <w:jc w:val="left"/>
        <w:rPr>
          <w:rFonts w:ascii="宋体" w:eastAsia="宋体" w:hAnsi="宋体" w:cs="Times New Roman" w:hint="eastAsia"/>
          <w:szCs w:val="21"/>
        </w:rPr>
      </w:pPr>
      <w:r>
        <w:rPr>
          <w:rFonts w:ascii="宋体" w:eastAsia="宋体" w:hAnsi="宋体" w:cs="宋体" w:hint="eastAsia"/>
          <w:szCs w:val="21"/>
        </w:rPr>
        <w:t>5）各类故障处理报告。</w:t>
      </w:r>
    </w:p>
    <w:p w:rsidR="00C66B5B">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rPr>
        <w:t>（七）采购标的</w:t>
      </w:r>
      <w:r>
        <w:rPr>
          <w:rFonts w:ascii="宋体" w:eastAsia="宋体" w:hAnsi="宋体" w:cs="Times New Roman" w:hint="eastAsia"/>
          <w:szCs w:val="21"/>
        </w:rPr>
        <w:t>的</w:t>
      </w:r>
      <w:r>
        <w:rPr>
          <w:rFonts w:ascii="宋体" w:eastAsia="宋体" w:hAnsi="宋体" w:cs="Times New Roman" w:hint="eastAsia"/>
          <w:szCs w:val="21"/>
        </w:rPr>
        <w:t>其他技术、服务等要求。</w:t>
      </w:r>
    </w:p>
    <w:p w:rsidR="00C66B5B">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rPr>
        <w:t>无。</w:t>
      </w:r>
    </w:p>
    <w:p w:rsidR="00C66B5B">
      <w:pPr>
        <w:spacing w:line="360" w:lineRule="auto"/>
        <w:ind w:firstLine="420" w:firstLineChars="200"/>
        <w:rPr>
          <w:rFonts w:ascii="宋体" w:eastAsia="宋体" w:hAnsi="宋体" w:cs="Times New Roman" w:hint="eastAsia"/>
          <w:szCs w:val="21"/>
        </w:rPr>
      </w:pPr>
    </w:p>
    <w:p w:rsidR="00A77B3E"/>
    <w:p w:rsidR="00C66B5B">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8"/>
    </w:p>
    <w:p w:rsidR="00594B4F">
      <w:pPr>
        <w:spacing w:before="156" w:beforeLines="50" w:line="360" w:lineRule="auto"/>
        <w:jc w:val="center"/>
        <w:outlineLvl w:val="1"/>
        <w:rPr>
          <w:rFonts w:ascii="宋体" w:hAnsi="宋体" w:hint="eastAsia"/>
          <w:b/>
          <w:sz w:val="30"/>
          <w:szCs w:val="30"/>
        </w:rPr>
      </w:pPr>
      <w:bookmarkStart w:id="59" w:name="投标被拒绝条款专用部分_JJTK"/>
      <w:r>
        <w:rPr>
          <w:rFonts w:ascii="宋体" w:hAnsi="宋体" w:hint="eastAsia"/>
          <w:b/>
          <w:sz w:val="30"/>
          <w:szCs w:val="30"/>
        </w:rPr>
        <w:t>第八章  投标被拒绝条款专用部分</w:t>
      </w:r>
    </w:p>
    <w:p w:rsidR="00594B4F">
      <w:pPr>
        <w:adjustRightInd w:val="0"/>
        <w:snapToGrid w:val="0"/>
        <w:spacing w:before="156" w:beforeLines="50" w:line="360" w:lineRule="auto"/>
        <w:rPr>
          <w:rFonts w:ascii="宋体" w:hAnsi="宋体" w:hint="eastAsia"/>
          <w:szCs w:val="21"/>
        </w:rPr>
      </w:pPr>
    </w:p>
    <w:p w:rsidR="00594B4F">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94B4F">
            <w:pPr>
              <w:rPr>
                <w:sz w:val="18"/>
                <w:szCs w:val="18"/>
              </w:rPr>
            </w:pPr>
            <w:r>
              <w:rPr>
                <w:rFonts w:hint="eastAsia"/>
                <w:sz w:val="18"/>
                <w:szCs w:val="18"/>
              </w:rPr>
              <w:t>序号</w:t>
            </w:r>
          </w:p>
        </w:tc>
        <w:tc>
          <w:tcPr>
            <w:tcW w:w="898" w:type="dxa"/>
            <w:vAlign w:val="center"/>
          </w:tcPr>
          <w:p w:rsidR="00594B4F">
            <w:pPr>
              <w:jc w:val="center"/>
              <w:rPr>
                <w:sz w:val="18"/>
                <w:szCs w:val="18"/>
              </w:rPr>
            </w:pPr>
            <w:r>
              <w:rPr>
                <w:rFonts w:hint="eastAsia"/>
                <w:sz w:val="18"/>
                <w:szCs w:val="18"/>
              </w:rPr>
              <w:t>对应</w:t>
            </w:r>
          </w:p>
          <w:p w:rsidR="00594B4F">
            <w:pPr>
              <w:jc w:val="center"/>
              <w:rPr>
                <w:sz w:val="18"/>
                <w:szCs w:val="18"/>
              </w:rPr>
            </w:pPr>
            <w:r>
              <w:rPr>
                <w:rFonts w:hint="eastAsia"/>
                <w:sz w:val="18"/>
                <w:szCs w:val="18"/>
              </w:rPr>
              <w:t>条款号</w:t>
            </w:r>
          </w:p>
        </w:tc>
        <w:tc>
          <w:tcPr>
            <w:tcW w:w="7347" w:type="dxa"/>
            <w:vAlign w:val="center"/>
          </w:tcPr>
          <w:p w:rsidR="00594B4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594B4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594B4F">
            <w:pPr>
              <w:numPr>
                <w:ilvl w:val="0"/>
                <w:numId w:val="12"/>
              </w:numPr>
              <w:rPr>
                <w:rFonts w:ascii="宋体" w:hAnsi="宋体" w:hint="eastAsia"/>
                <w:sz w:val="18"/>
                <w:szCs w:val="18"/>
              </w:rPr>
            </w:pPr>
          </w:p>
        </w:tc>
        <w:tc>
          <w:tcPr>
            <w:tcW w:w="898" w:type="dxa"/>
            <w:vAlign w:val="center"/>
          </w:tcPr>
          <w:p w:rsidR="00594B4F">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rsidR="00594B4F">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1、</w:t>
            </w:r>
            <w:r w:rsidRPr="00EA03BD" w:rsidR="00EA03BD">
              <w:rPr>
                <w:rFonts w:ascii="宋体" w:hAnsi="宋体" w:cs="微软雅黑" w:hint="eastAsia"/>
                <w:b/>
                <w:color w:val="0000FF"/>
                <w:kern w:val="0"/>
                <w:sz w:val="18"/>
                <w:szCs w:val="18"/>
              </w:rPr>
              <w:t>投标人应具有以下有效期超过投标截止日的资质：</w:t>
            </w:r>
            <w:r w:rsidRPr="00EA03BD" w:rsidR="00EA03BD">
              <w:rPr>
                <w:rFonts w:ascii="宋体" w:hAnsi="宋体" w:cs="微软雅黑" w:hint="eastAsia"/>
                <w:b/>
                <w:color w:val="0000FF"/>
                <w:kern w:val="0"/>
                <w:sz w:val="18"/>
                <w:szCs w:val="18"/>
              </w:rPr>
              <w:t>基础电信业务经营许可证</w:t>
            </w:r>
          </w:p>
        </w:tc>
      </w:tr>
      <w:tr>
        <w:tblPrEx>
          <w:tblW w:w="0" w:type="auto"/>
          <w:tblLayout w:type="fixed"/>
          <w:tblLook w:val="04A0"/>
        </w:tblPrEx>
        <w:trPr>
          <w:cantSplit/>
        </w:trPr>
        <w:tc>
          <w:tcPr>
            <w:tcW w:w="544" w:type="dxa"/>
            <w:vAlign w:val="center"/>
          </w:tcPr>
          <w:p w:rsidR="00594B4F">
            <w:pPr>
              <w:numPr>
                <w:ilvl w:val="0"/>
                <w:numId w:val="12"/>
              </w:numPr>
              <w:rPr>
                <w:rFonts w:ascii="宋体" w:hAnsi="宋体" w:hint="eastAsia"/>
                <w:sz w:val="18"/>
                <w:szCs w:val="18"/>
              </w:rPr>
            </w:pPr>
          </w:p>
        </w:tc>
        <w:tc>
          <w:tcPr>
            <w:tcW w:w="898" w:type="dxa"/>
            <w:vAlign w:val="center"/>
          </w:tcPr>
          <w:p w:rsidR="00594B4F">
            <w:pPr>
              <w:jc w:val="center"/>
              <w:rPr>
                <w:rFonts w:ascii="宋体" w:hAnsi="宋体" w:hint="eastAsia"/>
                <w:sz w:val="18"/>
                <w:szCs w:val="18"/>
              </w:rPr>
            </w:pPr>
            <w:r>
              <w:rPr>
                <w:rFonts w:ascii="宋体" w:hAnsi="宋体" w:hint="eastAsia"/>
                <w:sz w:val="18"/>
                <w:szCs w:val="18"/>
              </w:rPr>
              <w:t>-</w:t>
            </w:r>
          </w:p>
        </w:tc>
        <w:tc>
          <w:tcPr>
            <w:tcW w:w="7347" w:type="dxa"/>
            <w:vAlign w:val="center"/>
          </w:tcPr>
          <w:p w:rsidR="00594B4F">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w:t>
            </w:r>
          </w:p>
        </w:tc>
      </w:tr>
      <w:tr>
        <w:tblPrEx>
          <w:tblW w:w="0" w:type="auto"/>
          <w:tblLayout w:type="fixed"/>
          <w:tblLook w:val="04A0"/>
        </w:tblPrEx>
        <w:trPr>
          <w:cantSplit/>
        </w:trPr>
        <w:tc>
          <w:tcPr>
            <w:tcW w:w="8789" w:type="dxa"/>
            <w:gridSpan w:val="3"/>
            <w:vAlign w:val="center"/>
          </w:tcPr>
          <w:p w:rsidR="00594B4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594B4F">
            <w:pPr>
              <w:numPr>
                <w:ilvl w:val="0"/>
                <w:numId w:val="12"/>
              </w:numPr>
              <w:rPr>
                <w:rFonts w:ascii="宋体" w:hAnsi="宋体" w:hint="eastAsia"/>
                <w:sz w:val="18"/>
                <w:szCs w:val="18"/>
              </w:rPr>
            </w:pPr>
          </w:p>
        </w:tc>
        <w:tc>
          <w:tcPr>
            <w:tcW w:w="898" w:type="dxa"/>
            <w:vAlign w:val="center"/>
          </w:tcPr>
          <w:p w:rsidR="00594B4F">
            <w:pPr>
              <w:jc w:val="center"/>
              <w:rPr>
                <w:rFonts w:ascii="宋体" w:hAnsi="宋体" w:hint="eastAsia"/>
                <w:sz w:val="18"/>
                <w:szCs w:val="18"/>
              </w:rPr>
            </w:pPr>
            <w:r>
              <w:rPr>
                <w:rFonts w:ascii="宋体" w:hAnsi="宋体" w:hint="eastAsia"/>
                <w:sz w:val="18"/>
                <w:szCs w:val="18"/>
              </w:rPr>
              <w:t>-</w:t>
            </w:r>
          </w:p>
        </w:tc>
        <w:tc>
          <w:tcPr>
            <w:tcW w:w="7347" w:type="dxa"/>
            <w:vAlign w:val="center"/>
          </w:tcPr>
          <w:p w:rsidR="00594B4F">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w:t>
            </w:r>
          </w:p>
        </w:tc>
      </w:tr>
    </w:tbl>
    <w:p w:rsidR="00594B4F">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594B4F">
      <w:pPr>
        <w:spacing w:before="156" w:beforeLines="50" w:line="360" w:lineRule="auto"/>
        <w:ind w:firstLine="420"/>
      </w:pPr>
    </w:p>
    <w:p w:rsidR="00A77B3E"/>
    <w:p w:rsidR="00594B4F">
      <w:pPr>
        <w:spacing w:before="156" w:beforeLines="50" w:line="360" w:lineRule="auto"/>
        <w:jc w:val="center"/>
        <w:outlineLvl w:val="1"/>
        <w:rPr>
          <w:rFonts w:ascii="宋体" w:hAnsi="宋体" w:hint="eastAsia"/>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r>
        <w:rPr>
          <w:rFonts w:ascii="宋体" w:hAnsi="宋体" w:hint="eastAsia"/>
          <w:szCs w:val="21"/>
          <w:u w:val="single"/>
        </w:rPr>
        <w:t>国家卫星气象中心（国家空间天气监测预警中心）</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bookmarkStart w:id="61" w:name="项目名称_taskName_1"/>
      <w:r>
        <w:rPr>
          <w:rFonts w:ascii="仿宋_GB2312" w:hAnsi="宋体" w:hint="eastAsia"/>
          <w:szCs w:val="32"/>
          <w:u w:val="single"/>
        </w:rPr>
        <w:t>卫星中心至广州、乌鲁木齐、喀什、佳木斯、乌兰察布主用链路租用项目(2026年度)</w:t>
      </w:r>
      <w:bookmarkEnd w:id="61"/>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1、合同总金额为人民币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2、合同生效后付款：双方签署合同后10个工作日内，甲方向乙方支付合同总金额的</w:t>
      </w:r>
      <w:r>
        <w:rPr>
          <w:rFonts w:ascii="宋体" w:hAnsi="宋体" w:cs="微软雅黑" w:hint="eastAsia"/>
          <w:b/>
          <w:color w:val="0000FF"/>
          <w:kern w:val="0"/>
          <w:szCs w:val="21"/>
        </w:rPr>
        <w:t>80%</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3、签署验收报告后付款：双方签署验收报告后10个工作日内，甲方向乙方支付合同总金额的</w:t>
      </w:r>
      <w:r>
        <w:rPr>
          <w:rFonts w:ascii="宋体" w:hAnsi="宋体" w:cs="微软雅黑" w:hint="eastAsia"/>
          <w:b/>
          <w:color w:val="0000FF"/>
          <w:kern w:val="0"/>
          <w:szCs w:val="21"/>
        </w:rPr>
        <w:t>20%</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 xml:space="preserve">元（小写）； </w:t>
      </w:r>
    </w:p>
    <w:p>
      <w:pPr>
        <w:tabs>
          <w:tab w:val="left" w:pos="1573"/>
        </w:tabs>
        <w:adjustRightInd w:val="0"/>
        <w:snapToGrid w:val="0"/>
        <w:spacing w:line="360" w:lineRule="auto"/>
        <w:ind w:firstLine="412" w:firstLineChars="196"/>
        <w:jc w:val="left"/>
        <w:rPr>
          <w:rFonts w:ascii="宋体" w:hAnsi="宋体" w:hint="eastAsia"/>
          <w:szCs w:val="21"/>
        </w:rPr>
      </w:pPr>
      <w:r>
        <w:rPr>
          <w:rFonts w:ascii="宋体" w:hAnsi="宋体" w:hint="eastAsia"/>
          <w:szCs w:val="21"/>
        </w:rPr>
        <w:t>4、乙方向甲方提供同等金额的合法增值税专用或普通发票系上述付款节点的必要付款条件之一。</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5、甲方开票信息及乙方收款账户信息如下：</w:t>
      </w:r>
    </w:p>
    <w:p>
      <w:pPr>
        <w:numPr>
          <w:ilvl w:val="0"/>
          <w:numId w:val="10"/>
        </w:numPr>
        <w:tabs>
          <w:tab w:val="left" w:pos="1573"/>
        </w:tabs>
        <w:adjustRightInd w:val="0"/>
        <w:snapToGrid w:val="0"/>
        <w:spacing w:line="360" w:lineRule="auto"/>
        <w:jc w:val="left"/>
        <w:rPr>
          <w:rFonts w:ascii="宋体" w:hAnsi="宋体" w:hint="eastAsia"/>
          <w:szCs w:val="21"/>
        </w:rPr>
      </w:pPr>
      <w:r>
        <w:rPr>
          <w:rFonts w:ascii="宋体" w:hAnsi="宋体" w:hint="eastAsia"/>
          <w:szCs w:val="21"/>
        </w:rPr>
        <w:t>甲方开票信息：</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名称：</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税号：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单位地址：</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电话：</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开户银行：</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银行账号：</w:t>
      </w:r>
    </w:p>
    <w:p>
      <w:pPr>
        <w:numPr>
          <w:ilvl w:val="0"/>
          <w:numId w:val="10"/>
        </w:numPr>
        <w:tabs>
          <w:tab w:val="left" w:pos="1573"/>
        </w:tabs>
        <w:adjustRightInd w:val="0"/>
        <w:snapToGrid w:val="0"/>
        <w:spacing w:line="360" w:lineRule="auto"/>
        <w:jc w:val="left"/>
        <w:rPr>
          <w:rFonts w:ascii="宋体" w:hAnsi="宋体" w:hint="eastAsia"/>
          <w:szCs w:val="21"/>
        </w:rPr>
      </w:pPr>
      <w:r>
        <w:rPr>
          <w:rFonts w:ascii="宋体" w:hAnsi="宋体" w:hint="eastAsia"/>
          <w:szCs w:val="21"/>
        </w:rPr>
        <w:t>乙方收款账户信息：</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账号：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开户名称：</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开户行：</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lang w:val="en-US" w:eastAsia="zh-CN"/>
        </w:rPr>
        <w:t>1</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lang w:val="en-US" w:eastAsia="zh-CN"/>
        </w:rPr>
        <w:t>30</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lang w:val="en-US" w:eastAsia="zh-CN"/>
        </w:rPr>
        <w:t>30</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lang w:val="en-US" w:eastAsia="zh-CN"/>
        </w:rPr>
        <w:t>3</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hAnsi="宋体" w:hint="eastAsia"/>
          <w:szCs w:val="28"/>
          <w:u w:val="single"/>
        </w:rPr>
        <w:t>（2）</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lang w:val="en-US" w:eastAsia="zh-CN"/>
        </w:rPr>
        <w:t>0</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lang w:val="en-US" w:eastAsia="zh-CN"/>
        </w:rPr>
        <w:t>0</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11"/>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w:t>
      </w:r>
      <w:r>
        <w:rPr>
          <w:rFonts w:ascii="Times New Roman" w:eastAsia="宋体" w:hAnsi="宋体" w:cs="Times New Roman" w:hint="eastAsia"/>
          <w:kern w:val="0"/>
          <w:szCs w:val="20"/>
          <w:highlight w:val="none"/>
          <w:lang w:val="en-US" w:eastAsia="zh-CN"/>
        </w:rPr>
        <w:t>10</w:t>
      </w:r>
      <w:r>
        <w:rPr>
          <w:rFonts w:ascii="Times New Roman" w:eastAsia="宋体" w:hAnsi="宋体" w:cs="Times New Roman" w:hint="eastAsia"/>
          <w:kern w:val="0"/>
          <w:szCs w:val="20"/>
          <w:highlight w:val="none"/>
        </w:rPr>
        <w:t>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w:t>
      </w:r>
      <w:r>
        <w:rPr>
          <w:rFonts w:ascii="Times New Roman" w:eastAsia="宋体" w:hAnsi="宋体" w:cs="Times New Roman" w:hint="eastAsia"/>
          <w:kern w:val="0"/>
          <w:szCs w:val="20"/>
          <w:highlight w:val="none"/>
          <w:lang w:val="en-US" w:eastAsia="zh-CN"/>
        </w:rPr>
        <w:t>10</w:t>
      </w:r>
      <w:r>
        <w:rPr>
          <w:rFonts w:ascii="Times New Roman" w:eastAsia="宋体" w:hAnsi="宋体" w:cs="Times New Roman" w:hint="eastAsia"/>
          <w:kern w:val="0"/>
          <w:szCs w:val="20"/>
          <w:highlight w:val="none"/>
        </w:rPr>
        <w:t>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w:t>
      </w:r>
      <w:r>
        <w:rPr>
          <w:rFonts w:ascii="宋体" w:eastAsia="宋体" w:hAnsi="宋体" w:cs="Times New Roman" w:hint="eastAsia"/>
          <w:kern w:val="0"/>
          <w:szCs w:val="20"/>
          <w:highlight w:val="none"/>
          <w:lang w:val="en-US" w:eastAsia="zh-CN"/>
        </w:rPr>
        <w:t>10</w:t>
      </w:r>
      <w:r>
        <w:rPr>
          <w:rFonts w:ascii="宋体" w:eastAsia="宋体" w:hAnsi="宋体" w:cs="Times New Roman" w:hint="eastAsia"/>
          <w:kern w:val="0"/>
          <w:szCs w:val="20"/>
          <w:highlight w:val="none"/>
        </w:rPr>
        <w:t>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w:t>
      </w:r>
      <w:r>
        <w:rPr>
          <w:rFonts w:ascii="宋体" w:eastAsia="宋体" w:hAnsi="宋体" w:cs="Times New Roman" w:hint="eastAsia"/>
          <w:szCs w:val="21"/>
          <w:highlight w:val="none"/>
          <w:lang w:val="en-US" w:eastAsia="zh-CN"/>
        </w:rPr>
        <w:t>陆</w:t>
      </w:r>
      <w:r>
        <w:rPr>
          <w:rFonts w:ascii="宋体" w:eastAsia="宋体" w:hAnsi="宋体" w:cs="Times New Roman" w:hint="eastAsia"/>
          <w:szCs w:val="21"/>
          <w:highlight w:val="none"/>
        </w:rPr>
        <w:t>份，甲、乙双方各执</w:t>
      </w:r>
      <w:r>
        <w:rPr>
          <w:rFonts w:ascii="宋体" w:eastAsia="宋体" w:hAnsi="宋体" w:cs="Times New Roman" w:hint="eastAsia"/>
          <w:szCs w:val="21"/>
          <w:highlight w:val="none"/>
          <w:lang w:val="en-US" w:eastAsia="zh-CN"/>
        </w:rPr>
        <w:t>叁</w:t>
      </w:r>
      <w:r>
        <w:rPr>
          <w:rFonts w:ascii="宋体" w:eastAsia="宋体" w:hAnsi="宋体" w:cs="Times New Roman" w:hint="eastAsia"/>
          <w:szCs w:val="21"/>
          <w:highlight w:val="none"/>
        </w:rPr>
        <w:t>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8"/>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C49B2DC6"/>
    <w:multiLevelType w:val="singleLevel"/>
    <w:tmpl w:val="C49B2DC6"/>
    <w:lvl w:ilvl="0">
      <w:start w:val="1"/>
      <w:numFmt w:val="decimal"/>
      <w:lvlText w:val="(%1)"/>
      <w:lvlJc w:val="left"/>
      <w:pPr>
        <w:ind w:left="425" w:hanging="425"/>
      </w:pPr>
      <w:rPr>
        <w:rFonts w:hint="default"/>
      </w:r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558B900"/>
    <w:multiLevelType w:val="singleLevel"/>
    <w:tmpl w:val="1334643A"/>
    <w:lvl w:ilvl="0">
      <w:start w:val="1"/>
      <w:numFmt w:val="chineseCounting"/>
      <w:suff w:val="nothing"/>
      <w:lvlText w:val="（%1）"/>
      <w:lvlJc w:val="left"/>
      <w:pPr>
        <w:ind w:left="420" w:firstLine="0"/>
      </w:pPr>
      <w:rPr>
        <w:rFonts w:hint="eastAsia"/>
      </w:r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30C7381"/>
    <w:multiLevelType w:val="multilevel"/>
    <w:tmpl w:val="130C7381"/>
    <w:lvl w:ilvl="0">
      <w:start w:val="1"/>
      <w:numFmt w:val="decimal"/>
      <w:lvlText w:val="%1)"/>
      <w:lvlJc w:val="left"/>
      <w:pPr>
        <w:ind w:left="420" w:hanging="420"/>
      </w:pPr>
      <w:rPr>
        <w:rFont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nsid w:val="1334643A"/>
    <w:multiLevelType w:val="singleLevel"/>
    <w:tmpl w:val="1334643A"/>
    <w:lvl w:ilvl="0">
      <w:start w:val="1"/>
      <w:numFmt w:val="chineseCounting"/>
      <w:suff w:val="nothing"/>
      <w:lvlText w:val="（%1）"/>
      <w:lvlJc w:val="left"/>
      <w:pPr>
        <w:ind w:left="420" w:firstLine="0"/>
      </w:pPr>
      <w:rPr>
        <w:rFonts w:hint="eastAsia"/>
      </w:rPr>
    </w:lvl>
  </w:abstractNum>
  <w:abstractNum w:abstractNumId="9">
    <w:nsid w:val="1AC5A10C"/>
    <w:multiLevelType w:val="singleLevel"/>
    <w:tmpl w:val="1334643A"/>
    <w:lvl w:ilvl="0">
      <w:start w:val="1"/>
      <w:numFmt w:val="chineseCounting"/>
      <w:suff w:val="nothing"/>
      <w:lvlText w:val="（%1）"/>
      <w:lvlJc w:val="left"/>
      <w:pPr>
        <w:ind w:left="420" w:firstLine="0"/>
      </w:pPr>
      <w:rPr>
        <w:rFonts w:hint="eastAsia"/>
      </w:rPr>
    </w:lvl>
  </w:abstractNum>
  <w:abstractNum w:abstractNumId="10">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5631349C"/>
    <w:multiLevelType w:val="singleLevel"/>
    <w:tmpl w:val="1334643A"/>
    <w:lvl w:ilvl="0">
      <w:start w:val="1"/>
      <w:numFmt w:val="chineseCounting"/>
      <w:suff w:val="nothing"/>
      <w:lvlText w:val="（%1）"/>
      <w:lvlJc w:val="left"/>
      <w:pPr>
        <w:ind w:left="420" w:firstLine="0"/>
      </w:pPr>
      <w:rPr>
        <w:rFonts w:hint="eastAsia"/>
      </w:rPr>
    </w:lvl>
  </w:abstractNum>
  <w:abstractNum w:abstractNumId="13">
    <w:nsid w:val="5D85097C"/>
    <w:multiLevelType w:val="multilevel"/>
    <w:tmpl w:val="5D85097C"/>
    <w:lvl w:ilvl="0">
      <w:start w:val="1"/>
      <w:numFmt w:val="decimal"/>
      <w:lvlText w:val="%1)"/>
      <w:lvlJc w:val="left"/>
      <w:pPr>
        <w:ind w:left="420" w:hanging="420"/>
      </w:pPr>
      <w:rPr>
        <w:rFont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nsid w:val="6C9E3CB4"/>
    <w:multiLevelType w:val="multilevel"/>
    <w:tmpl w:val="6C9E3CB4"/>
    <w:lvl w:ilvl="0">
      <w:start w:val="1"/>
      <w:numFmt w:val="decimal"/>
      <w:lvlText w:val="%1)"/>
      <w:lvlJc w:val="left"/>
      <w:pPr>
        <w:ind w:left="1204" w:hanging="420"/>
      </w:pPr>
      <w:rPr>
        <w:rFonts w:hint="default"/>
      </w:rPr>
    </w:lvl>
    <w:lvl w:ilvl="1">
      <w:start w:val="1"/>
      <w:numFmt w:val="bullet"/>
      <w:lvlText w:val=""/>
      <w:lvlJc w:val="left"/>
      <w:pPr>
        <w:ind w:left="1554" w:hanging="420"/>
      </w:pPr>
      <w:rPr>
        <w:rFonts w:ascii="Wingdings" w:hAnsi="Wingdings" w:hint="default"/>
      </w:rPr>
    </w:lvl>
    <w:lvl w:ilvl="2">
      <w:start w:val="1"/>
      <w:numFmt w:val="bullet"/>
      <w:lvlText w:val=""/>
      <w:lvlJc w:val="left"/>
      <w:pPr>
        <w:ind w:left="1974" w:hanging="420"/>
      </w:pPr>
      <w:rPr>
        <w:rFonts w:ascii="Wingdings" w:hAnsi="Wingdings" w:hint="default"/>
      </w:rPr>
    </w:lvl>
    <w:lvl w:ilvl="3">
      <w:start w:val="1"/>
      <w:numFmt w:val="bullet"/>
      <w:lvlText w:val=""/>
      <w:lvlJc w:val="left"/>
      <w:pPr>
        <w:ind w:left="2394" w:hanging="420"/>
      </w:pPr>
      <w:rPr>
        <w:rFonts w:ascii="Wingdings" w:hAnsi="Wingdings" w:hint="default"/>
      </w:rPr>
    </w:lvl>
    <w:lvl w:ilvl="4">
      <w:start w:val="1"/>
      <w:numFmt w:val="bullet"/>
      <w:lvlText w:val=""/>
      <w:lvlJc w:val="left"/>
      <w:pPr>
        <w:ind w:left="2814" w:hanging="420"/>
      </w:pPr>
      <w:rPr>
        <w:rFonts w:ascii="Wingdings" w:hAnsi="Wingdings" w:hint="default"/>
      </w:rPr>
    </w:lvl>
    <w:lvl w:ilvl="5">
      <w:start w:val="1"/>
      <w:numFmt w:val="bullet"/>
      <w:lvlText w:val=""/>
      <w:lvlJc w:val="left"/>
      <w:pPr>
        <w:ind w:left="3234" w:hanging="420"/>
      </w:pPr>
      <w:rPr>
        <w:rFonts w:ascii="Wingdings" w:hAnsi="Wingdings" w:hint="default"/>
      </w:rPr>
    </w:lvl>
    <w:lvl w:ilvl="6">
      <w:start w:val="1"/>
      <w:numFmt w:val="bullet"/>
      <w:lvlText w:val=""/>
      <w:lvlJc w:val="left"/>
      <w:pPr>
        <w:ind w:left="3654" w:hanging="420"/>
      </w:pPr>
      <w:rPr>
        <w:rFonts w:ascii="Wingdings" w:hAnsi="Wingdings" w:hint="default"/>
      </w:rPr>
    </w:lvl>
    <w:lvl w:ilvl="7">
      <w:start w:val="1"/>
      <w:numFmt w:val="bullet"/>
      <w:lvlText w:val=""/>
      <w:lvlJc w:val="left"/>
      <w:pPr>
        <w:ind w:left="4074" w:hanging="420"/>
      </w:pPr>
      <w:rPr>
        <w:rFonts w:ascii="Wingdings" w:hAnsi="Wingdings" w:hint="default"/>
      </w:rPr>
    </w:lvl>
    <w:lvl w:ilvl="8">
      <w:start w:val="1"/>
      <w:numFmt w:val="bullet"/>
      <w:lvlText w:val=""/>
      <w:lvlJc w:val="left"/>
      <w:pPr>
        <w:ind w:left="4494" w:hanging="420"/>
      </w:pPr>
      <w:rPr>
        <w:rFonts w:ascii="Wingdings" w:hAnsi="Wingdings" w:hint="default"/>
      </w:rPr>
    </w:lvl>
  </w:abstractNum>
  <w:abstractNum w:abstractNumId="15">
    <w:nsid w:val="716EE609"/>
    <w:multiLevelType w:val="singleLevel"/>
    <w:tmpl w:val="1334643A"/>
    <w:lvl w:ilvl="0">
      <w:start w:val="1"/>
      <w:numFmt w:val="chineseCounting"/>
      <w:suff w:val="nothing"/>
      <w:lvlText w:val="（%1）"/>
      <w:lvlJc w:val="left"/>
      <w:pPr>
        <w:ind w:left="420" w:firstLine="0"/>
      </w:pPr>
      <w:rPr>
        <w:rFonts w:hint="eastAsia"/>
      </w:rPr>
    </w:lvl>
  </w:abstractNum>
  <w:num w:numId="1">
    <w:abstractNumId w:val="4"/>
  </w:num>
  <w:num w:numId="2">
    <w:abstractNumId w:val="3"/>
  </w:num>
  <w:num w:numId="3">
    <w:abstractNumId w:val="6"/>
  </w:num>
  <w:num w:numId="4">
    <w:abstractNumId w:val="8"/>
  </w:num>
  <w:num w:numId="5">
    <w:abstractNumId w:val="14"/>
  </w:num>
  <w:num w:numId="6">
    <w:abstractNumId w:val="7"/>
  </w:num>
  <w:num w:numId="7">
    <w:abstractNumId w:val="13"/>
    <w:lvlOverride w:ilvl="0">
      <w:startOverride w:val="1"/>
    </w:lvlOverride>
  </w:num>
  <w:num w:numId="8">
    <w:abstractNumId w:val="1"/>
  </w:num>
  <w:num w:numId="9">
    <w:abstractNumId w:val="0"/>
  </w:num>
  <w:num w:numId="10">
    <w:abstractNumId w:val="2"/>
  </w:num>
  <w:num w:numId="11">
    <w:abstractNumId w:val="10"/>
  </w:num>
  <w:num w:numId="12">
    <w:abstractNumId w:val="11"/>
  </w:num>
  <w:num w:numId="13">
    <w:abstractNumId w:val="5"/>
  </w:num>
  <w:num w:numId="14">
    <w:abstractNumId w:val="15"/>
  </w:num>
  <w:num w:numId="15">
    <w:abstractNumId w:val="12"/>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4B4F"/>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16A"/>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66B5B"/>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03BD"/>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