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江苏省2025年雷达和站网工程-卫星导航探空接收机（重新招标）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ZQCD-25418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江苏省气象探测中心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江苏省2025年雷达和站网工程-卫星导航探空接收机（重新招标）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ZQCD-25418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合同签订后90天内交货，120天内完成安装调试并具备验收条件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2025年11月26日 00:00:00</w:t>
      </w:r>
      <w:bookmarkEnd w:id="26"/>
      <w:r>
        <w:rPr>
          <w:rFonts w:ascii="宋体" w:hint="eastAsia"/>
          <w:szCs w:val="21"/>
          <w:highlight w:val="none"/>
        </w:rPr>
        <w:t>至</w:t>
      </w:r>
      <w:bookmarkStart w:id="27" w:name="项目公告_signUpLastTime"/>
      <w:r>
        <w:rPr>
          <w:rFonts w:ascii="宋体" w:hint="eastAsia"/>
          <w:szCs w:val="21"/>
          <w:highlight w:val="none"/>
        </w:rPr>
        <w:t>2025年12月04日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2025年12月17日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江苏省气象探测中心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何国安</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025-52698088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南京市建邺区雨顺路8号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江苏省气象探测中心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不允许（仅针对以下产品：1、卫星导航探空接收机不允许代理商投标）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必须，以下产品需要提供至投标截止日仍有效的《气象专用技术装备使用许可证》：1、卫星导航探空接收机</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（1）标的：卫星导航探空接收机   ，属于  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285.950000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285.950000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本项目采购卫星导航探空接收机5套、配套基础建设3套、网安模组2套，合计285.95万元</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销售合同必须包括卫星导航探空接收机，每提供1份合同得1分，最多得5分。否则不得分。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针对本项目采购的卫星导航探空接收机，承诺每提前10天交货的得1分，最多得1分。否则不得分。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针对卫星导航探空接收机设备，每提供1份用户证明材料得1分，最多得3分。否则不得分。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标注#的重要指标共16项，每满足1项（如有多个下级指标，则每个下级指标均应满足）得2.5分，满分40分。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针对卫星导航探空接收机设备，测试报告应涵盖高低温、电磁兼容、低气压、盐雾（环境指标）等内容，每包含一项得0.75分，最多得3分。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3.1 卫星导航探空接收机</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卫星导航探空接收机主要用于卫星导航探空仪的数据接收，需采用TDMA+FDMA（时分多址与频分多址）技术，可集成并行多信道，支持多个频点数据的并行接收，有效提高本系统的负载终端数量。在时隙与频道上进行多址分布处理，可以实现多台终端在相同信道下工作，有效节约频谱资源，提高频谱利用率。可以同时接收并处理不同时隙和和频点的无线数据包，支持多个终端节点设备的并发信号。</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卫星导航探空接收机需将接收到的信号耦合出一路信号提供给扫频单元，一路耦合主信号供给分路器单元。分路器单元把主信号分路为1路或多路信号分别提供给接收单元。接收单元可以对每一路信号进行实时处理。接收单元需采用超外差二次变频架构方案，对第二中频信号直接进行欠采样数字化处理，藉以实现对多种数字信号解调。扫频器单元需根据指令对400M~406MHz内的信号进行全频段或部分频段场强扫描，将得到的场强数据通过串口发送到中控板，同时通过馈电单元给耦合单元进行供电。中控板将控制多路接收机的接收频率和扫频单元的扫频范围，同时将多路接收机的接收数据和扫频单元的扫频数据重新打包，通过串口发送给主机，并通过指示灯来显示各种工作状态。工作原理图如下图1所示。</w:t>
      </w:r>
    </w:p>
    <w:p>
      <w:pPr>
        <w:spacing w:line="360" w:lineRule="auto"/>
        <w:jc w:val="center"/>
        <w:rPr>
          <w:rFonts w:ascii="宋体" w:hAnsi="宋体"/>
        </w:rPr>
      </w:pPr>
      <w:r>
        <w:rPr>
          <w:rFonts w:ascii="宋体" w:hAnsi="宋体"/>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 o:spid="_x0000_i1026" type="#_x0000_t75" style="width:304.35pt;height:182.95pt;mso-position-horizontal-relative:page;mso-position-vertical-relative:page;mso-wrap-style:square" o:oleicon="f" o:ole="" o:preferrelative="t" filled="f" stroked="f">
            <v:stroke linestyle="single"/>
            <v:imagedata r:id="rId6" o:title=""/>
            <v:path o:extrusionok="f"/>
            <o:lock v:ext="edit" aspectratio="t"/>
          </v:shape>
          <o:OLEObject Type="Embed" ProgID="Visio.Drawing.15" ShapeID="Object 2" DrawAspect="Content" ObjectID="_1234567890" r:id="rId7"/>
        </w:object>
      </w:r>
    </w:p>
    <w:p>
      <w:pPr>
        <w:snapToGrid w:val="0"/>
        <w:spacing w:line="560" w:lineRule="exact"/>
        <w:ind w:firstLine="560" w:firstLineChars="200"/>
        <w:jc w:val="center"/>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图1 工作原理图</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技术指标：</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#（1）工作频段：P波段（400.15MHz～406 MHz），分辨率1KHz。</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#（2）接收通道：</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8通道。</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#（3）调制方式：GFSK。</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#（4）静态接收灵敏度：优于-120dBm@2400bps（误码率</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10</w:t>
      </w:r>
      <w:r>
        <w:rPr>
          <w:rFonts w:ascii="仿宋" w:eastAsia="仿宋" w:hAnsi="仿宋" w:cs="仿宋" w:hint="eastAsia"/>
          <w:sz w:val="28"/>
          <w:szCs w:val="20"/>
          <w:highlight w:val="yellow"/>
          <w:vertAlign w:val="superscript"/>
          <w:lang w:val="en-US" w:eastAsia="zh-CN"/>
        </w:rPr>
        <w:t>-3</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#（5）邻道选择性</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65dB@</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25kHz@2400bps。</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#（6）接收频率跟踪及搜索范围：</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10kHz。</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#（7）频谱扫描特性：</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灵敏度范围：0～-110dBm。</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分辨率：1KHz/3KHz/6KHz，分辨率可设置。</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#（8）天线：采用全向天线，无伺服系统，天线置于天线罩内。天线最大增益</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3dBi。所配连接电缆长度满足实际安装需求。</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#（9）最大接收距离：</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200km。</w:t>
      </w:r>
    </w:p>
    <w:p>
      <w:pPr>
        <w:pStyle w:val="a2"/>
        <w:numPr>
          <w:ilvl w:val="0"/>
          <w:numId w:val="0"/>
        </w:numPr>
        <w:spacing w:before="0" w:beforeLines="0" w:after="0" w:afterLines="0" w:line="560" w:lineRule="exact"/>
        <w:ind w:firstLine="560" w:firstLineChars="200"/>
        <w:outlineLvl w:val="9"/>
        <w:rPr>
          <w:rFonts w:ascii="仿宋" w:eastAsia="仿宋" w:hAnsi="仿宋" w:cs="仿宋" w:hint="eastAsia"/>
          <w:kern w:val="2"/>
          <w:sz w:val="28"/>
          <w:szCs w:val="20"/>
          <w:highlight w:val="yellow"/>
        </w:rPr>
      </w:pPr>
      <w:bookmarkStart w:id="61" w:name="_Toc335816194"/>
      <w:bookmarkStart w:id="62" w:name="_Toc19633"/>
      <w:bookmarkStart w:id="63" w:name="_Toc333826375"/>
      <w:bookmarkStart w:id="64" w:name="_Toc508978788"/>
      <w:bookmarkStart w:id="65" w:name="_Toc334970590"/>
      <w:bookmarkStart w:id="66" w:name="_Toc42010578"/>
      <w:bookmarkStart w:id="67" w:name="_Toc331076526"/>
      <w:bookmarkStart w:id="68" w:name="_Toc335749842"/>
      <w:bookmarkStart w:id="69" w:name="_Toc508833019"/>
      <w:bookmarkStart w:id="70" w:name="_Toc508831549"/>
      <w:bookmarkStart w:id="71" w:name="_Toc508833030"/>
      <w:bookmarkStart w:id="72" w:name="_Toc14828"/>
      <w:bookmarkStart w:id="73" w:name="_Toc508978799"/>
      <w:bookmarkStart w:id="74" w:name="_Toc508978847"/>
      <w:bookmarkStart w:id="75" w:name="_Toc42010590"/>
      <w:r>
        <w:rPr>
          <w:rFonts w:ascii="仿宋" w:eastAsia="仿宋" w:hAnsi="仿宋" w:cs="仿宋" w:hint="eastAsia"/>
          <w:sz w:val="28"/>
          <w:szCs w:val="20"/>
          <w:highlight w:val="yellow"/>
        </w:rPr>
        <w:t>#（10）</w:t>
      </w:r>
      <w:r>
        <w:rPr>
          <w:rFonts w:ascii="仿宋" w:eastAsia="仿宋" w:hAnsi="仿宋" w:cs="仿宋" w:hint="eastAsia"/>
          <w:kern w:val="2"/>
          <w:sz w:val="28"/>
          <w:szCs w:val="20"/>
          <w:highlight w:val="yellow"/>
        </w:rPr>
        <w:t>电源适应性</w:t>
      </w:r>
      <w:bookmarkEnd w:id="61"/>
      <w:bookmarkEnd w:id="62"/>
      <w:bookmarkEnd w:id="63"/>
      <w:bookmarkEnd w:id="64"/>
      <w:bookmarkEnd w:id="65"/>
      <w:bookmarkEnd w:id="66"/>
      <w:bookmarkEnd w:id="67"/>
      <w:bookmarkEnd w:id="68"/>
      <w:bookmarkEnd w:id="69"/>
      <w:r>
        <w:rPr>
          <w:rFonts w:ascii="仿宋" w:eastAsia="仿宋" w:hAnsi="仿宋" w:cs="仿宋" w:hint="eastAsia"/>
          <w:kern w:val="2"/>
          <w:sz w:val="28"/>
          <w:szCs w:val="20"/>
          <w:highlight w:val="yellow"/>
        </w:rPr>
        <w:t>：电源电压单相220V、频率50Hz，在电源电压变化+10％～-15％，频率变化</w:t>
      </w:r>
      <w:r>
        <w:rPr>
          <w:rFonts w:ascii="仿宋" w:eastAsia="仿宋" w:hAnsi="仿宋" w:cs="仿宋" w:hint="eastAsia"/>
          <w:kern w:val="2"/>
          <w:sz w:val="28"/>
          <w:szCs w:val="20"/>
          <w:highlight w:val="yellow"/>
        </w:rPr>
        <w:t>±</w:t>
      </w:r>
      <w:r>
        <w:rPr>
          <w:rFonts w:ascii="仿宋" w:eastAsia="仿宋" w:hAnsi="仿宋" w:cs="仿宋" w:hint="eastAsia"/>
          <w:kern w:val="2"/>
          <w:sz w:val="28"/>
          <w:szCs w:val="20"/>
          <w:highlight w:val="yellow"/>
        </w:rPr>
        <w:t>3％时，系统能正常工作。</w:t>
      </w:r>
    </w:p>
    <w:p>
      <w:pPr>
        <w:pStyle w:val="a2"/>
        <w:numPr>
          <w:ilvl w:val="0"/>
          <w:numId w:val="0"/>
        </w:numPr>
        <w:spacing w:before="0" w:beforeLines="0" w:after="0" w:afterLines="0" w:line="560" w:lineRule="exact"/>
        <w:ind w:firstLine="560" w:firstLineChars="200"/>
        <w:outlineLvl w:val="9"/>
        <w:rPr>
          <w:rFonts w:ascii="仿宋" w:eastAsia="仿宋" w:hAnsi="仿宋" w:cs="仿宋" w:hint="eastAsia"/>
          <w:kern w:val="2"/>
          <w:sz w:val="28"/>
          <w:szCs w:val="20"/>
        </w:rPr>
      </w:pPr>
      <w:bookmarkStart w:id="76" w:name="_Toc42010579"/>
      <w:bookmarkStart w:id="77" w:name="_Toc18747"/>
      <w:r>
        <w:rPr>
          <w:rFonts w:ascii="仿宋" w:eastAsia="仿宋" w:hAnsi="仿宋" w:cs="仿宋" w:hint="eastAsia"/>
          <w:sz w:val="28"/>
          <w:szCs w:val="20"/>
        </w:rPr>
        <w:t>（11）</w:t>
      </w:r>
      <w:r>
        <w:rPr>
          <w:rFonts w:ascii="仿宋" w:eastAsia="仿宋" w:hAnsi="仿宋" w:cs="仿宋" w:hint="eastAsia"/>
          <w:kern w:val="2"/>
          <w:sz w:val="28"/>
          <w:szCs w:val="20"/>
        </w:rPr>
        <w:t>网络接口</w:t>
      </w:r>
      <w:bookmarkEnd w:id="76"/>
      <w:bookmarkEnd w:id="77"/>
      <w:r>
        <w:rPr>
          <w:rFonts w:ascii="仿宋" w:eastAsia="仿宋" w:hAnsi="仿宋" w:cs="仿宋" w:hint="eastAsia"/>
          <w:kern w:val="2"/>
          <w:sz w:val="28"/>
          <w:szCs w:val="20"/>
        </w:rPr>
        <w:t>：</w:t>
      </w:r>
    </w:p>
    <w:p>
      <w:pPr>
        <w:pStyle w:val="a2"/>
        <w:numPr>
          <w:ilvl w:val="0"/>
          <w:numId w:val="0"/>
        </w:numPr>
        <w:spacing w:before="0" w:beforeLines="0" w:after="0" w:afterLines="0" w:line="560" w:lineRule="exact"/>
        <w:ind w:firstLine="560" w:firstLineChars="200"/>
        <w:outlineLvl w:val="9"/>
        <w:rPr>
          <w:rFonts w:ascii="仿宋" w:eastAsia="仿宋" w:hAnsi="仿宋" w:cs="仿宋" w:hint="eastAsia"/>
          <w:kern w:val="2"/>
          <w:sz w:val="28"/>
          <w:szCs w:val="20"/>
          <w:highlight w:val="yellow"/>
        </w:rPr>
      </w:pPr>
      <w:r>
        <w:rPr>
          <w:rFonts w:ascii="仿宋" w:eastAsia="仿宋" w:hAnsi="仿宋" w:cs="仿宋" w:hint="eastAsia"/>
          <w:sz w:val="28"/>
          <w:szCs w:val="20"/>
          <w:highlight w:val="yellow"/>
        </w:rPr>
        <w:t>#</w:t>
      </w:r>
      <w:r>
        <w:rPr>
          <w:rFonts w:ascii="仿宋" w:eastAsia="仿宋" w:hAnsi="仿宋" w:cs="仿宋" w:hint="eastAsia"/>
          <w:kern w:val="2"/>
          <w:sz w:val="28"/>
          <w:szCs w:val="20"/>
          <w:highlight w:val="yellow"/>
        </w:rPr>
        <w:t>适应跨越网段通讯；可以工作在局域网，也可工作在互联网。</w:t>
      </w:r>
    </w:p>
    <w:p>
      <w:pPr>
        <w:pStyle w:val="a3"/>
        <w:tabs>
          <w:tab w:val="center" w:pos="4201"/>
          <w:tab w:val="right" w:leader="dot" w:pos="9298"/>
        </w:tabs>
        <w:spacing w:line="560" w:lineRule="exact"/>
        <w:ind w:firstLine="552"/>
        <w:rPr>
          <w:rFonts w:ascii="仿宋" w:eastAsia="仿宋" w:hAnsi="仿宋" w:cs="仿宋" w:hint="eastAsia"/>
          <w:kern w:val="2"/>
          <w:sz w:val="28"/>
          <w:highlight w:val="yellow"/>
        </w:rPr>
      </w:pPr>
      <w:r>
        <w:rPr>
          <w:rFonts w:ascii="仿宋" w:eastAsia="仿宋" w:hAnsi="仿宋" w:cs="仿宋" w:hint="eastAsia"/>
          <w:sz w:val="28"/>
          <w:highlight w:val="yellow"/>
        </w:rPr>
        <w:t>#</w:t>
      </w:r>
      <w:r>
        <w:rPr>
          <w:rFonts w:ascii="仿宋" w:eastAsia="仿宋" w:hAnsi="仿宋" w:cs="仿宋" w:hint="eastAsia"/>
          <w:kern w:val="2"/>
          <w:sz w:val="28"/>
          <w:highlight w:val="yellow"/>
        </w:rPr>
        <w:t>支持协议宜包括UDP、TCP。</w:t>
      </w:r>
    </w:p>
    <w:p>
      <w:pPr>
        <w:pStyle w:val="a3"/>
        <w:tabs>
          <w:tab w:val="center" w:pos="4201"/>
          <w:tab w:val="right" w:leader="dot" w:pos="9298"/>
        </w:tabs>
        <w:spacing w:line="560" w:lineRule="exact"/>
        <w:ind w:firstLine="552"/>
        <w:rPr>
          <w:rFonts w:ascii="仿宋" w:eastAsia="仿宋" w:hAnsi="仿宋" w:cs="仿宋" w:hint="eastAsia"/>
          <w:kern w:val="2"/>
          <w:sz w:val="28"/>
          <w:highlight w:val="yellow"/>
        </w:rPr>
      </w:pPr>
      <w:r>
        <w:rPr>
          <w:rFonts w:ascii="仿宋" w:eastAsia="仿宋" w:hAnsi="仿宋" w:cs="仿宋" w:hint="eastAsia"/>
          <w:sz w:val="28"/>
          <w:highlight w:val="yellow"/>
        </w:rPr>
        <w:t>#</w:t>
      </w:r>
      <w:r>
        <w:rPr>
          <w:rFonts w:ascii="仿宋" w:eastAsia="仿宋" w:hAnsi="仿宋" w:cs="仿宋" w:hint="eastAsia"/>
          <w:kern w:val="2"/>
          <w:sz w:val="28"/>
          <w:highlight w:val="yellow"/>
        </w:rPr>
        <w:t>速率：10/100Mbps，MDI/MDIX交叉直连自动切换。</w:t>
      </w:r>
    </w:p>
    <w:p>
      <w:pPr>
        <w:pStyle w:val="a4"/>
        <w:numPr>
          <w:ilvl w:val="0"/>
          <w:numId w:val="0"/>
        </w:numPr>
        <w:spacing w:before="0" w:beforeLines="0" w:after="0" w:afterLines="0" w:line="560" w:lineRule="exact"/>
        <w:ind w:firstLine="560" w:firstLineChars="200"/>
        <w:outlineLvl w:val="9"/>
        <w:rPr>
          <w:rFonts w:ascii="仿宋" w:eastAsia="仿宋" w:hAnsi="仿宋" w:cs="仿宋" w:hint="eastAsia"/>
          <w:kern w:val="2"/>
          <w:sz w:val="28"/>
          <w:highlight w:val="yellow"/>
        </w:rPr>
      </w:pPr>
      <w:r>
        <w:rPr>
          <w:rFonts w:ascii="仿宋" w:eastAsia="仿宋" w:hAnsi="仿宋" w:cs="仿宋" w:hint="eastAsia"/>
          <w:sz w:val="28"/>
          <w:highlight w:val="yellow"/>
        </w:rPr>
        <w:t>#（12）</w:t>
      </w:r>
      <w:r>
        <w:rPr>
          <w:rFonts w:ascii="仿宋" w:eastAsia="仿宋" w:hAnsi="仿宋" w:cs="仿宋" w:hint="eastAsia"/>
          <w:kern w:val="2"/>
          <w:sz w:val="28"/>
          <w:highlight w:val="yellow"/>
        </w:rPr>
        <w:t>功耗指标</w:t>
      </w:r>
      <w:bookmarkEnd w:id="70"/>
      <w:bookmarkEnd w:id="71"/>
      <w:bookmarkEnd w:id="72"/>
      <w:bookmarkEnd w:id="73"/>
      <w:bookmarkEnd w:id="74"/>
      <w:bookmarkEnd w:id="75"/>
      <w:r>
        <w:rPr>
          <w:rFonts w:ascii="仿宋" w:eastAsia="仿宋" w:hAnsi="仿宋" w:cs="仿宋" w:hint="eastAsia"/>
          <w:kern w:val="2"/>
          <w:sz w:val="28"/>
          <w:highlight w:val="yellow"/>
        </w:rPr>
        <w:t>：</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25W。</w:t>
      </w:r>
    </w:p>
    <w:p>
      <w:pPr>
        <w:pStyle w:val="a4"/>
        <w:numPr>
          <w:ilvl w:val="0"/>
          <w:numId w:val="0"/>
        </w:numPr>
        <w:spacing w:before="0" w:beforeLines="0" w:after="0" w:afterLines="0" w:line="560" w:lineRule="exact"/>
        <w:ind w:firstLine="560" w:firstLineChars="200"/>
        <w:outlineLvl w:val="9"/>
        <w:rPr>
          <w:rFonts w:ascii="仿宋" w:eastAsia="仿宋" w:hAnsi="仿宋" w:cs="仿宋" w:hint="eastAsia"/>
          <w:kern w:val="2"/>
          <w:sz w:val="28"/>
        </w:rPr>
      </w:pPr>
      <w:bookmarkStart w:id="78" w:name="_Toc508978800"/>
      <w:bookmarkStart w:id="79" w:name="_Toc508978848"/>
      <w:bookmarkStart w:id="80" w:name="_Toc508979420"/>
      <w:bookmarkStart w:id="81" w:name="_Toc42010591"/>
      <w:bookmarkStart w:id="82" w:name="_Toc23866860"/>
      <w:bookmarkStart w:id="83" w:name="_Toc508831550"/>
      <w:bookmarkStart w:id="84" w:name="_Toc27411"/>
      <w:bookmarkStart w:id="85" w:name="_Toc23818"/>
      <w:bookmarkStart w:id="86" w:name="_Toc508833031"/>
      <w:r>
        <w:rPr>
          <w:rFonts w:ascii="仿宋" w:eastAsia="仿宋" w:hAnsi="仿宋" w:cs="仿宋" w:hint="eastAsia"/>
          <w:sz w:val="28"/>
        </w:rPr>
        <w:t>（13）</w:t>
      </w:r>
      <w:r>
        <w:rPr>
          <w:rFonts w:ascii="仿宋" w:eastAsia="仿宋" w:hAnsi="仿宋" w:cs="仿宋" w:hint="eastAsia"/>
          <w:kern w:val="2"/>
          <w:sz w:val="28"/>
        </w:rPr>
        <w:t>体积和重量指标</w:t>
      </w:r>
      <w:bookmarkEnd w:id="78"/>
      <w:bookmarkEnd w:id="79"/>
      <w:bookmarkEnd w:id="80"/>
      <w:bookmarkEnd w:id="81"/>
      <w:bookmarkEnd w:id="82"/>
      <w:bookmarkEnd w:id="83"/>
      <w:bookmarkEnd w:id="84"/>
      <w:bookmarkEnd w:id="85"/>
      <w:bookmarkEnd w:id="86"/>
      <w:r>
        <w:rPr>
          <w:rFonts w:ascii="仿宋" w:eastAsia="仿宋" w:hAnsi="仿宋" w:cs="仿宋" w:hint="eastAsia"/>
          <w:kern w:val="2"/>
          <w:sz w:val="28"/>
        </w:rPr>
        <w:t>：</w:t>
      </w:r>
    </w:p>
    <w:p>
      <w:pPr>
        <w:pStyle w:val="a3"/>
        <w:tabs>
          <w:tab w:val="center" w:pos="4201"/>
          <w:tab w:val="right" w:leader="dot" w:pos="9298"/>
        </w:tabs>
        <w:spacing w:line="560" w:lineRule="exact"/>
        <w:ind w:firstLine="552"/>
        <w:rPr>
          <w:rFonts w:ascii="仿宋" w:eastAsia="仿宋" w:hAnsi="仿宋" w:cs="仿宋" w:hint="eastAsia"/>
          <w:kern w:val="2"/>
          <w:sz w:val="28"/>
          <w:highlight w:val="yellow"/>
        </w:rPr>
      </w:pPr>
      <w:r>
        <w:rPr>
          <w:rFonts w:ascii="仿宋" w:eastAsia="仿宋" w:hAnsi="仿宋" w:cs="仿宋" w:hint="eastAsia"/>
          <w:sz w:val="28"/>
          <w:highlight w:val="yellow"/>
        </w:rPr>
        <w:t>#</w:t>
      </w:r>
      <w:r>
        <w:rPr>
          <w:rFonts w:ascii="仿宋" w:eastAsia="仿宋" w:hAnsi="仿宋" w:cs="仿宋" w:hint="eastAsia"/>
          <w:kern w:val="2"/>
          <w:sz w:val="28"/>
          <w:highlight w:val="yellow"/>
        </w:rPr>
        <w:t>接收模块重量</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20kg，体积</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100cm*60cm*40cm（长*宽*高）。</w:t>
      </w:r>
    </w:p>
    <w:p>
      <w:pPr>
        <w:pStyle w:val="a3"/>
        <w:tabs>
          <w:tab w:val="center" w:pos="4201"/>
          <w:tab w:val="right" w:leader="dot" w:pos="9298"/>
        </w:tabs>
        <w:spacing w:line="560" w:lineRule="exact"/>
        <w:ind w:firstLine="552"/>
        <w:rPr>
          <w:rFonts w:ascii="仿宋" w:eastAsia="仿宋" w:hAnsi="仿宋" w:cs="仿宋" w:hint="eastAsia"/>
          <w:kern w:val="2"/>
          <w:sz w:val="28"/>
          <w:highlight w:val="yellow"/>
        </w:rPr>
      </w:pPr>
      <w:r>
        <w:rPr>
          <w:rFonts w:ascii="仿宋" w:eastAsia="仿宋" w:hAnsi="仿宋" w:cs="仿宋" w:hint="eastAsia"/>
          <w:sz w:val="28"/>
          <w:highlight w:val="yellow"/>
        </w:rPr>
        <w:t>#</w:t>
      </w:r>
      <w:r>
        <w:rPr>
          <w:rFonts w:ascii="仿宋" w:eastAsia="仿宋" w:hAnsi="仿宋" w:cs="仿宋" w:hint="eastAsia"/>
          <w:kern w:val="2"/>
          <w:sz w:val="28"/>
          <w:highlight w:val="yellow"/>
        </w:rPr>
        <w:t>天线重量</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32kg，直径</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94cm，高</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64cm（不含安装结构件，需根据安装环境定制设计）。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正式交付运行，并通过合同验收次日起质保期为 8 年*。</w:t>
      </w:r>
      <w:r>
        <w:rPr>
          <w:rFonts w:ascii="仿宋" w:eastAsia="仿宋" w:hAnsi="仿宋" w:cs="仿宋" w:hint="eastAsia"/>
          <w:sz w:val="28"/>
          <w:szCs w:val="20"/>
        </w:rPr>
        <w:t>维保包括设备维护维修、相关附属软件及附属设备维护维修，保证每年至少1次的现场巡检和4次远程维护检查，设备发生故障时在业务规定时间内完成维修、维护保障或更换组件。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投标人应提供 7（天）</w:t>
      </w:r>
      <w:r>
        <w:rPr>
          <w:rFonts w:ascii="仿宋" w:eastAsia="仿宋" w:hAnsi="仿宋" w:cs="仿宋" w:hint="eastAsia"/>
          <w:sz w:val="28"/>
          <w:szCs w:val="20"/>
        </w:rPr>
        <w:t>×</w:t>
      </w:r>
      <w:r>
        <w:rPr>
          <w:rFonts w:ascii="仿宋" w:eastAsia="仿宋" w:hAnsi="仿宋" w:cs="仿宋" w:hint="eastAsia"/>
          <w:sz w:val="28"/>
          <w:szCs w:val="20"/>
        </w:rPr>
        <w:t>24（小时）技术支持热线电话，在发生故障的情况下，中标方应承诺在8个小时内响应。</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项目验收：中标方准备好所有相关材料，书面向采购方提出验收申请，采购方接到申请后 10 个工作日内，组织相关专家对项目进行验收，设备需按照《北斗探空系统出厂及现场测试大纲》中接收机测试部分进行测试，并在 10个工作日内出具项目验收报告，验收合格后，开展后续建设、安装、调试工作。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如因第三方不可控原因导致工期延迟，中标方可视情况向采购方书面递交延期申请，采购方批复同意后，方可延期。</w:t>
      </w:r>
    </w:p>
    <w:p>
      <w:pPr>
        <w:spacing w:line="560" w:lineRule="exact"/>
        <w:ind w:left="365" w:leftChars="174"/>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sectPr>
          <w:type w:val="nextPage"/>
          <w:pgSz w:w="11906" w:h="16838"/>
          <w:pgMar w:top="2154" w:right="1474" w:bottom="2041" w:left="1587" w:header="709" w:footer="1417" w:gutter="0"/>
          <w:cols w:space="708"/>
          <w:docGrid w:type="linesAndChars" w:linePitch="579" w:charSpace="-849"/>
        </w:sect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spacing w:line="560" w:lineRule="exact"/>
        <w:jc w:val="both"/>
        <w:outlineLvl w:val="9"/>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42"/>
        <w:gridCol w:w="1107"/>
        <w:gridCol w:w="560"/>
        <w:gridCol w:w="779"/>
        <w:gridCol w:w="889"/>
        <w:gridCol w:w="560"/>
        <w:gridCol w:w="432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87" w:name="货物一览表_index"/>
            <w:r>
              <w:rPr>
                <w:rFonts w:asciiTheme="minorEastAsia" w:eastAsiaTheme="minorEastAsia" w:hAnsiTheme="minorEastAsia" w:cstheme="minorEastAsia" w:hint="eastAsia"/>
                <w:kern w:val="0"/>
                <w:szCs w:val="21"/>
              </w:rPr>
              <w:t>序号</w:t>
            </w:r>
            <w:bookmarkEnd w:id="87"/>
          </w:p>
        </w:tc>
        <w:tc>
          <w:tcPr>
            <w:tcW w:w="1135" w:type="dxa"/>
          </w:tcPr>
          <w:p>
            <w:pPr>
              <w:autoSpaceDE w:val="0"/>
              <w:jc w:val="center"/>
              <w:rPr>
                <w:rFonts w:asciiTheme="minorEastAsia" w:hAnsiTheme="minorEastAsia" w:cstheme="minorEastAsia"/>
                <w:kern w:val="0"/>
                <w:szCs w:val="21"/>
              </w:rPr>
            </w:pPr>
            <w:bookmarkStart w:id="88" w:name="货物一览表_goodsName"/>
            <w:r>
              <w:rPr>
                <w:rFonts w:asciiTheme="minorEastAsia" w:eastAsiaTheme="minorEastAsia" w:hAnsiTheme="minorEastAsia" w:cstheme="minorEastAsia" w:hint="eastAsia"/>
                <w:kern w:val="0"/>
                <w:szCs w:val="21"/>
              </w:rPr>
              <w:t>设备名称</w:t>
            </w:r>
            <w:bookmarkEnd w:id="88"/>
          </w:p>
        </w:tc>
        <w:tc>
          <w:tcPr>
            <w:tcW w:w="965" w:type="dxa"/>
          </w:tcPr>
          <w:p>
            <w:pPr>
              <w:autoSpaceDE w:val="0"/>
              <w:jc w:val="center"/>
              <w:rPr>
                <w:rFonts w:asciiTheme="minorEastAsia" w:hAnsiTheme="minorEastAsia" w:cstheme="minorEastAsia"/>
                <w:kern w:val="0"/>
                <w:szCs w:val="21"/>
              </w:rPr>
            </w:pPr>
            <w:bookmarkStart w:id="89" w:name="货物一览表_nums"/>
            <w:r>
              <w:rPr>
                <w:rFonts w:asciiTheme="minorEastAsia" w:eastAsiaTheme="minorEastAsia" w:hAnsiTheme="minorEastAsia" w:cstheme="minorEastAsia" w:hint="eastAsia"/>
                <w:kern w:val="0"/>
                <w:szCs w:val="21"/>
              </w:rPr>
              <w:t>采购数量</w:t>
            </w:r>
            <w:bookmarkEnd w:id="89"/>
          </w:p>
        </w:tc>
        <w:tc>
          <w:tcPr>
            <w:tcW w:w="1062" w:type="dxa"/>
          </w:tcPr>
          <w:p>
            <w:pPr>
              <w:autoSpaceDE w:val="0"/>
              <w:jc w:val="center"/>
              <w:rPr>
                <w:rFonts w:asciiTheme="minorEastAsia" w:hAnsiTheme="minorEastAsia" w:cstheme="minorEastAsia"/>
                <w:kern w:val="0"/>
                <w:szCs w:val="21"/>
              </w:rPr>
            </w:pPr>
            <w:bookmarkStart w:id="90" w:name="货物一览表_units"/>
            <w:r>
              <w:rPr>
                <w:rFonts w:asciiTheme="minorEastAsia" w:eastAsiaTheme="minorEastAsia" w:hAnsiTheme="minorEastAsia" w:cstheme="minorEastAsia" w:hint="eastAsia"/>
                <w:kern w:val="0"/>
                <w:szCs w:val="21"/>
              </w:rPr>
              <w:t>计量单位</w:t>
            </w:r>
            <w:bookmarkEnd w:id="90"/>
          </w:p>
        </w:tc>
        <w:tc>
          <w:tcPr>
            <w:tcW w:w="1220" w:type="dxa"/>
          </w:tcPr>
          <w:p>
            <w:pPr>
              <w:autoSpaceDE w:val="0"/>
              <w:jc w:val="center"/>
              <w:rPr>
                <w:rFonts w:asciiTheme="minorEastAsia" w:hAnsiTheme="minorEastAsia" w:cstheme="minorEastAsia"/>
                <w:kern w:val="0"/>
                <w:szCs w:val="21"/>
              </w:rPr>
            </w:pPr>
            <w:bookmarkStart w:id="91" w:name="货物一览表_procurementBudget"/>
            <w:r>
              <w:rPr>
                <w:rFonts w:asciiTheme="minorEastAsia" w:eastAsiaTheme="minorEastAsia" w:hAnsiTheme="minorEastAsia" w:cstheme="minorEastAsia" w:hint="eastAsia"/>
                <w:kern w:val="0"/>
                <w:szCs w:val="21"/>
              </w:rPr>
              <w:t>采购预算（元）</w:t>
            </w:r>
            <w:bookmarkEnd w:id="91"/>
          </w:p>
        </w:tc>
        <w:tc>
          <w:tcPr>
            <w:tcW w:w="1329" w:type="dxa"/>
          </w:tcPr>
          <w:p>
            <w:pPr>
              <w:autoSpaceDE w:val="0"/>
              <w:jc w:val="center"/>
              <w:rPr>
                <w:rFonts w:asciiTheme="minorEastAsia" w:hAnsiTheme="minorEastAsia" w:cstheme="minorEastAsia" w:hint="eastAsia"/>
                <w:kern w:val="0"/>
                <w:szCs w:val="21"/>
              </w:rPr>
            </w:pPr>
            <w:bookmarkStart w:id="9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92"/>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93" w:name="货物一览表_remark"/>
            <w:r>
              <w:rPr>
                <w:rFonts w:asciiTheme="minorEastAsia" w:eastAsiaTheme="minorEastAsia" w:hAnsiTheme="minorEastAsia" w:cstheme="minorEastAsia" w:hint="eastAsia"/>
                <w:kern w:val="0"/>
                <w:szCs w:val="21"/>
              </w:rPr>
              <w:t>备注</w:t>
            </w:r>
            <w:bookmarkEnd w:id="9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卫星导航探空接收机</w:t>
            </w:r>
          </w:p>
        </w:tc>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2,859,500.00</w:t>
            </w:r>
          </w:p>
        </w:tc>
        <w:tc>
          <w:tcPr/>
          <w:p>
            <w:pPr>
              <w:autoSpaceDE w:val="0"/>
              <w:jc w:val="center"/>
              <w:rPr>
                <w:rFonts w:asciiTheme="minorEastAsia" w:hAnsiTheme="minorEastAsia" w:cstheme="minorEastAsia" w:hint="eastAsia"/>
                <w:kern w:val="0"/>
                <w:szCs w:val="21"/>
              </w:rPr>
            </w:pPr>
            <w:r>
              <w:t>90天</w:t>
            </w:r>
          </w:p>
        </w:tc>
        <w:tc>
          <w:tcPr/>
          <w:p>
            <w:pPr>
              <w:autoSpaceDE w:val="0"/>
              <w:autoSpaceDN w:val="0"/>
              <w:adjustRightInd w:val="0"/>
              <w:spacing w:before="48"/>
              <w:ind w:right="-20"/>
              <w:jc w:val="center"/>
              <w:rPr>
                <w:rFonts w:asciiTheme="minorEastAsia" w:hAnsiTheme="minorEastAsia" w:cstheme="minorEastAsia"/>
                <w:kern w:val="0"/>
                <w:szCs w:val="21"/>
              </w:rPr>
            </w:pPr>
            <w:r>
              <w:t>本项目采购卫星导航探空接收机5套、配套基础建设3套、网安模组2套，合计285.95万元</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2,859,500.00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95"/>
        <w:gridCol w:w="1683"/>
        <w:gridCol w:w="1603"/>
        <w:gridCol w:w="495"/>
        <w:gridCol w:w="1128"/>
        <w:gridCol w:w="941"/>
        <w:gridCol w:w="1128"/>
        <w:gridCol w:w="104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9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探测中心(001040017)</w:t>
            </w:r>
          </w:p>
        </w:tc>
        <w:tc>
          <w:tcPr/>
          <w:p>
            <w:r>
              <w:t>卫星导航探空接收机</w:t>
            </w:r>
          </w:p>
        </w:tc>
        <w:tc>
          <w:tcPr/>
          <w:p>
            <w:r>
              <w:t>5</w:t>
            </w:r>
          </w:p>
        </w:tc>
        <w:tc>
          <w:tcPr/>
          <w:p>
            <w:r>
              <w:t>2859500.00</w:t>
            </w:r>
          </w:p>
        </w:tc>
        <w:tc>
          <w:tcPr/>
          <w:p>
            <w:r>
              <w:t xml:space="preserve">2859500.00  </w:t>
            </w:r>
          </w:p>
        </w:tc>
        <w:tc>
          <w:tcPr/>
          <w:p>
            <w:r>
              <w:t>甲方指定地点</w:t>
            </w:r>
          </w:p>
        </w:tc>
        <w:tc>
          <w:tcPr/>
          <w:p>
            <w:r>
              <w:t>何国安 15005180400</w:t>
            </w:r>
          </w:p>
        </w:tc>
      </w:tr>
    </w:tbl>
    <w:p w:rsidR="00A77B3E"/>
    <w:p>
      <w:pPr>
        <w:spacing w:line="360" w:lineRule="auto"/>
        <w:rPr>
          <w:rFonts w:ascii="宋体" w:hAnsi="宋体"/>
          <w:szCs w:val="21"/>
        </w:rPr>
      </w:pPr>
      <w:bookmarkEnd w:id="94"/>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05805" w:rsidP="00790327">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A05805" w:rsidP="00790327">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790327" w:rsidRPr="00790327" w:rsidP="00790327">
      <w:pPr>
        <w:ind w:firstLine="560" w:firstLineChars="200"/>
        <w:rPr>
          <w:rFonts w:ascii="仿宋" w:eastAsia="仿宋" w:hAnsi="仿宋" w:cs="仿宋"/>
          <w:sz w:val="28"/>
          <w:szCs w:val="20"/>
        </w:rPr>
      </w:pPr>
      <w:r w:rsidRPr="00790327">
        <w:rPr>
          <w:rFonts w:ascii="仿宋" w:eastAsia="仿宋" w:hAnsi="仿宋" w:cs="仿宋" w:hint="eastAsia"/>
          <w:sz w:val="28"/>
          <w:szCs w:val="20"/>
        </w:rPr>
        <w:t>1、依据中国气象局《2025年站网和雷达工程建设初步</w:t>
      </w:r>
      <w:r w:rsidRPr="00790327">
        <w:rPr>
          <w:rFonts w:ascii="仿宋" w:eastAsia="仿宋" w:hAnsi="仿宋" w:cs="仿宋" w:hint="eastAsia"/>
          <w:sz w:val="28"/>
          <w:szCs w:val="20"/>
        </w:rPr>
        <w:t>设计安排》，拟在江苏省建设3个北斗探空站中继接收站（每个站点包括一套卫星导航探空接收机），实现对以上省份平漂段温度、压力、湿度垂直廓线高分辨率、高精度实时监测，有效增强探空资料垂直探测能力。</w:t>
      </w:r>
    </w:p>
    <w:p w:rsidR="00A05805" w:rsidP="00790327">
      <w:pPr>
        <w:ind w:firstLine="560" w:firstLineChars="200"/>
        <w:rPr>
          <w:rFonts w:ascii="仿宋" w:eastAsia="仿宋" w:hAnsi="仿宋" w:cs="仿宋"/>
          <w:sz w:val="28"/>
          <w:szCs w:val="20"/>
        </w:rPr>
      </w:pPr>
      <w:r w:rsidRPr="00790327">
        <w:rPr>
          <w:rFonts w:ascii="仿宋" w:eastAsia="仿宋" w:hAnsi="仿宋" w:cs="仿宋" w:hint="eastAsia"/>
          <w:sz w:val="28"/>
          <w:szCs w:val="20"/>
        </w:rPr>
        <w:t>2、江苏省建设2套北斗探空站备份设备，备份设备具备相应的观测能力，各项技术性能指标满足相关设备业务运行规定，实现本项目探测设备在一定条件下稳定可靠运行，满足预报、服务等后续业务系统对探测数据的需求。</w:t>
      </w:r>
    </w:p>
    <w:p w:rsidR="00A05805" w:rsidP="00790327">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790327" w:rsidP="00790327">
      <w:pPr>
        <w:ind w:firstLine="560" w:firstLineChars="200"/>
        <w:rPr>
          <w:rFonts w:ascii="仿宋" w:eastAsia="仿宋" w:hAnsi="仿宋" w:cs="仿宋"/>
          <w:sz w:val="28"/>
          <w:szCs w:val="20"/>
        </w:rPr>
      </w:pPr>
      <w:r w:rsidRPr="00790327">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A05805" w:rsidP="00790327">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790327" w:rsidRPr="00790327" w:rsidP="00790327">
      <w:pPr>
        <w:ind w:firstLine="560" w:firstLineChars="200"/>
        <w:rPr>
          <w:rFonts w:ascii="仿宋" w:eastAsia="仿宋" w:hAnsi="仿宋" w:cs="仿宋"/>
          <w:sz w:val="28"/>
          <w:szCs w:val="20"/>
        </w:rPr>
      </w:pPr>
      <w:r w:rsidRPr="00790327">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A05805" w:rsidP="00790327">
      <w:pPr>
        <w:ind w:firstLine="560" w:firstLineChars="200"/>
        <w:rPr>
          <w:rFonts w:ascii="仿宋" w:eastAsia="仿宋" w:hAnsi="仿宋" w:cs="仿宋"/>
          <w:b/>
          <w:bCs/>
          <w:sz w:val="28"/>
          <w:szCs w:val="20"/>
        </w:rPr>
      </w:pPr>
      <w:r w:rsidRPr="00790327">
        <w:rPr>
          <w:rFonts w:ascii="仿宋" w:eastAsia="仿宋" w:hAnsi="仿宋" w:cs="仿宋" w:hint="eastAsia"/>
          <w:sz w:val="28"/>
          <w:szCs w:val="20"/>
        </w:rPr>
        <w:t>设备供应商对每套投标产品提供至少2次技术培训，培训课时不</w:t>
      </w:r>
      <w:r w:rsidRPr="00790327">
        <w:rPr>
          <w:rFonts w:ascii="仿宋" w:eastAsia="仿宋" w:hAnsi="仿宋" w:cs="仿宋" w:hint="eastAsia"/>
          <w:sz w:val="28"/>
          <w:szCs w:val="20"/>
        </w:rPr>
        <w:t>少于24个课时，培训人数不少于15人。培训内容包括设备安装、使用、日常维护、观测原理及产品应用，培训时间及地点双方协商确定。</w:t>
      </w:r>
      <w:r w:rsidR="00585D8B">
        <w:rPr>
          <w:rFonts w:ascii="仿宋" w:eastAsia="仿宋" w:hAnsi="仿宋" w:cs="仿宋" w:hint="eastAsia"/>
          <w:b/>
          <w:bCs/>
          <w:sz w:val="28"/>
          <w:szCs w:val="20"/>
        </w:rPr>
        <w:t>四、交货要求及履约地点</w:t>
      </w:r>
    </w:p>
    <w:p w:rsidR="00790327" w:rsidRPr="00790327" w:rsidP="00790327">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中标供应商将所有设备运送至甲方指定地点（运输相关费用由z</w:t>
      </w:r>
      <w:r w:rsidRPr="00790327">
        <w:rPr>
          <w:rFonts w:ascii="仿宋" w:eastAsia="仿宋" w:hAnsi="仿宋" w:cs="仿宋" w:hint="eastAsia"/>
          <w:sz w:val="28"/>
          <w:szCs w:val="20"/>
        </w:rPr>
        <w:t>应商负责），并负责安装调试。</w:t>
      </w:r>
    </w:p>
    <w:p w:rsidR="00A05805" w:rsidP="00790327">
      <w:pPr>
        <w:ind w:firstLine="560" w:firstLineChars="200"/>
        <w:rPr>
          <w:rFonts w:ascii="仿宋" w:eastAsia="仿宋" w:hAnsi="仿宋" w:cs="仿宋"/>
          <w:b/>
          <w:bCs/>
          <w:sz w:val="28"/>
          <w:szCs w:val="20"/>
        </w:rPr>
      </w:pPr>
      <w:r w:rsidRPr="00790327">
        <w:rPr>
          <w:rFonts w:ascii="仿宋" w:eastAsia="仿宋" w:hAnsi="仿宋" w:cs="仿宋" w:hint="eastAsia"/>
          <w:sz w:val="28"/>
          <w:szCs w:val="20"/>
        </w:rPr>
        <w:t>合同签订后90天内完成供货、</w:t>
      </w:r>
      <w:r>
        <w:rPr>
          <w:rFonts w:ascii="仿宋" w:eastAsia="仿宋" w:hAnsi="仿宋" w:cs="仿宋" w:hint="eastAsia"/>
          <w:sz w:val="28"/>
          <w:szCs w:val="20"/>
        </w:rPr>
        <w:t>120天内</w:t>
      </w:r>
      <w:r w:rsidRPr="00790327">
        <w:rPr>
          <w:rFonts w:ascii="仿宋" w:eastAsia="仿宋" w:hAnsi="仿宋" w:cs="仿宋" w:hint="eastAsia"/>
          <w:sz w:val="28"/>
          <w:szCs w:val="20"/>
        </w:rPr>
        <w:t>安装调试并具备验收条件。</w:t>
      </w:r>
      <w:r w:rsidR="00585D8B">
        <w:rPr>
          <w:rFonts w:ascii="仿宋" w:eastAsia="仿宋" w:hAnsi="仿宋" w:cs="仿宋" w:hint="eastAsia"/>
          <w:sz w:val="28"/>
          <w:szCs w:val="20"/>
        </w:rPr>
        <w:br/>
      </w:r>
      <w:r w:rsidR="00585D8B">
        <w:rPr>
          <w:rFonts w:ascii="仿宋" w:eastAsia="仿宋" w:hAnsi="仿宋" w:cs="仿宋" w:hint="eastAsia"/>
          <w:b/>
          <w:bCs/>
          <w:sz w:val="28"/>
          <w:szCs w:val="20"/>
        </w:rPr>
        <w:t>五、服务团队要求</w:t>
      </w:r>
    </w:p>
    <w:p w:rsidR="00A05805">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A05805" w:rsidP="00790327">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790327" w:rsidP="00790327">
      <w:pPr>
        <w:ind w:firstLine="560" w:firstLineChars="200"/>
        <w:rPr>
          <w:rFonts w:ascii="仿宋" w:eastAsia="仿宋" w:hAnsi="仿宋" w:cs="仿宋"/>
          <w:sz w:val="28"/>
          <w:szCs w:val="20"/>
        </w:rPr>
      </w:pPr>
      <w:r w:rsidRPr="00790327">
        <w:rPr>
          <w:rFonts w:ascii="仿宋" w:eastAsia="仿宋" w:hAnsi="仿宋" w:cs="仿宋" w:hint="eastAsia"/>
          <w:sz w:val="28"/>
          <w:szCs w:val="20"/>
        </w:rPr>
        <w:t xml:space="preserve">设备数据可无缝接入气象网络系统，实现与原有省级业务平台无缝接入，完全符合甲方相关要求和规范，保证其系统的兼容性和功能的完整性。  </w:t>
      </w:r>
    </w:p>
    <w:p w:rsidR="00A05805">
      <w:pPr>
        <w:ind w:firstLine="560" w:firstLineChars="200"/>
        <w:rPr>
          <w:rFonts w:ascii="仿宋" w:eastAsia="仿宋" w:hAnsi="仿宋" w:cs="仿宋"/>
          <w:sz w:val="28"/>
          <w:szCs w:val="20"/>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603A33">
      <w:pPr>
        <w:tabs>
          <w:tab w:val="left" w:pos="1573"/>
        </w:tabs>
        <w:adjustRightInd w:val="0"/>
        <w:snapToGrid w:val="0"/>
        <w:spacing w:line="360" w:lineRule="auto"/>
        <w:jc w:val="center"/>
        <w:outlineLvl w:val="1"/>
        <w:rPr>
          <w:b/>
          <w:bCs/>
          <w:sz w:val="30"/>
          <w:szCs w:val="30"/>
        </w:rPr>
      </w:pPr>
      <w:bookmarkStart w:id="95"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603A33">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1110BB">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603A33">
            <w:pPr>
              <w:rPr>
                <w:sz w:val="18"/>
                <w:szCs w:val="18"/>
              </w:rPr>
            </w:pPr>
            <w:r>
              <w:rPr>
                <w:rFonts w:hint="eastAsia"/>
                <w:sz w:val="18"/>
                <w:szCs w:val="18"/>
              </w:rPr>
              <w:t>序号</w:t>
            </w:r>
          </w:p>
        </w:tc>
        <w:tc>
          <w:tcPr>
            <w:tcW w:w="898" w:type="dxa"/>
            <w:vAlign w:val="center"/>
          </w:tcPr>
          <w:p w:rsidR="00603A33">
            <w:pPr>
              <w:jc w:val="center"/>
              <w:rPr>
                <w:sz w:val="18"/>
                <w:szCs w:val="18"/>
              </w:rPr>
            </w:pPr>
            <w:r>
              <w:rPr>
                <w:rFonts w:hint="eastAsia"/>
                <w:sz w:val="18"/>
                <w:szCs w:val="18"/>
              </w:rPr>
              <w:t>对应</w:t>
            </w:r>
          </w:p>
          <w:p w:rsidR="00603A33">
            <w:pPr>
              <w:jc w:val="center"/>
              <w:rPr>
                <w:sz w:val="18"/>
                <w:szCs w:val="18"/>
              </w:rPr>
            </w:pPr>
            <w:r>
              <w:rPr>
                <w:rFonts w:hint="eastAsia"/>
                <w:sz w:val="18"/>
                <w:szCs w:val="18"/>
              </w:rPr>
              <w:t>条款号</w:t>
            </w:r>
          </w:p>
        </w:tc>
        <w:tc>
          <w:tcPr>
            <w:tcW w:w="7347" w:type="dxa"/>
            <w:vAlign w:val="center"/>
          </w:tcPr>
          <w:p w:rsidR="00603A33">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1110BB">
        <w:tblPrEx>
          <w:tblW w:w="8789" w:type="dxa"/>
          <w:tblLayout w:type="fixed"/>
          <w:tblLook w:val="04A0"/>
        </w:tblPrEx>
        <w:trPr>
          <w:cantSplit/>
        </w:trPr>
        <w:tc>
          <w:tcPr>
            <w:tcW w:w="8789" w:type="dxa"/>
            <w:gridSpan w:val="3"/>
            <w:vAlign w:val="center"/>
          </w:tcPr>
          <w:p w:rsidR="00603A33">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1110BB">
        <w:tblPrEx>
          <w:tblW w:w="8789" w:type="dxa"/>
          <w:tblLayout w:type="fixed"/>
          <w:tblLook w:val="04A0"/>
        </w:tblPrEx>
        <w:trPr>
          <w:cantSplit/>
        </w:trPr>
        <w:tc>
          <w:tcPr>
            <w:tcW w:w="544" w:type="dxa"/>
            <w:vAlign w:val="center"/>
          </w:tcPr>
          <w:p w:rsidR="00603A33">
            <w:pPr>
              <w:numPr>
                <w:ilvl w:val="0"/>
                <w:numId w:val="14"/>
              </w:numPr>
              <w:rPr>
                <w:rFonts w:ascii="宋体" w:hAnsi="宋体"/>
                <w:sz w:val="18"/>
                <w:szCs w:val="18"/>
              </w:rPr>
            </w:pPr>
          </w:p>
        </w:tc>
        <w:tc>
          <w:tcPr>
            <w:tcW w:w="898" w:type="dxa"/>
            <w:vAlign w:val="center"/>
          </w:tcPr>
          <w:p w:rsidR="00603A33">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603A33">
            <w:pPr>
              <w:tabs>
                <w:tab w:val="left" w:pos="709"/>
              </w:tabs>
              <w:spacing w:line="360" w:lineRule="auto"/>
              <w:jc w:val="left"/>
              <w:rPr>
                <w:rFonts w:ascii="宋体" w:hAnsi="宋体" w:cs="微软雅黑"/>
                <w:b/>
                <w:color w:val="0000FF"/>
                <w:kern w:val="0"/>
                <w:sz w:val="18"/>
                <w:szCs w:val="18"/>
              </w:rPr>
            </w:pPr>
            <w:r w:rsidRPr="003A5805">
              <w:rPr>
                <w:rFonts w:ascii="宋体" w:hAnsi="宋体" w:cs="微软雅黑" w:hint="eastAsia"/>
                <w:b/>
                <w:color w:val="0000FF"/>
                <w:kern w:val="0"/>
                <w:sz w:val="18"/>
                <w:szCs w:val="18"/>
              </w:rPr>
              <w:t>针对以下货物必须取得《气象专用技术装备使用许可证》</w:t>
            </w:r>
            <w:r>
              <w:rPr>
                <w:rFonts w:ascii="宋体" w:hAnsi="宋体" w:cs="微软雅黑" w:hint="eastAsia"/>
                <w:b/>
                <w:color w:val="0000FF"/>
                <w:kern w:val="0"/>
                <w:sz w:val="18"/>
                <w:szCs w:val="18"/>
              </w:rPr>
              <w:t>：（卫星导航探空接收机）气象</w:t>
            </w:r>
            <w:r>
              <w:rPr>
                <w:rFonts w:ascii="宋体" w:hAnsi="宋体" w:cs="微软雅黑"/>
                <w:b/>
                <w:color w:val="0000FF"/>
                <w:kern w:val="0"/>
                <w:sz w:val="18"/>
                <w:szCs w:val="18"/>
              </w:rPr>
              <w:t>装备许可证</w:t>
            </w:r>
          </w:p>
        </w:tc>
      </w:tr>
      <w:tr w:rsidTr="001110BB">
        <w:tblPrEx>
          <w:tblW w:w="8789" w:type="dxa"/>
          <w:tblLayout w:type="fixed"/>
          <w:tblLook w:val="04A0"/>
        </w:tblPrEx>
        <w:trPr>
          <w:cantSplit/>
        </w:trPr>
        <w:tc>
          <w:tcPr>
            <w:tcW w:w="544" w:type="dxa"/>
            <w:vAlign w:val="center"/>
          </w:tcPr>
          <w:p w:rsidR="00603A33">
            <w:pPr>
              <w:numPr>
                <w:ilvl w:val="0"/>
                <w:numId w:val="14"/>
              </w:numPr>
              <w:rPr>
                <w:rFonts w:ascii="宋体" w:hAnsi="宋体"/>
                <w:sz w:val="18"/>
                <w:szCs w:val="18"/>
              </w:rPr>
            </w:pPr>
          </w:p>
        </w:tc>
        <w:tc>
          <w:tcPr>
            <w:tcW w:w="898" w:type="dxa"/>
            <w:vAlign w:val="center"/>
          </w:tcPr>
          <w:p w:rsidR="00603A33">
            <w:pPr>
              <w:jc w:val="center"/>
              <w:rPr>
                <w:rFonts w:ascii="宋体" w:hAnsi="宋体"/>
                <w:sz w:val="18"/>
                <w:szCs w:val="18"/>
              </w:rPr>
            </w:pPr>
            <w:r>
              <w:rPr>
                <w:rFonts w:ascii="宋体" w:hAnsi="宋体"/>
                <w:sz w:val="18"/>
                <w:szCs w:val="18"/>
              </w:rPr>
              <w:t>……</w:t>
            </w:r>
          </w:p>
        </w:tc>
        <w:tc>
          <w:tcPr>
            <w:tcW w:w="7347" w:type="dxa"/>
            <w:vAlign w:val="center"/>
          </w:tcPr>
          <w:p w:rsidR="00603A33">
            <w:pPr>
              <w:rPr>
                <w:rFonts w:cs="微软雅黑"/>
                <w:b/>
                <w:color w:val="0000FF"/>
                <w:kern w:val="0"/>
                <w:sz w:val="18"/>
                <w:szCs w:val="18"/>
              </w:rPr>
            </w:pPr>
            <w:r>
              <w:rPr>
                <w:rFonts w:cs="微软雅黑"/>
                <w:b/>
                <w:color w:val="0000FF"/>
                <w:kern w:val="0"/>
                <w:sz w:val="18"/>
                <w:szCs w:val="18"/>
              </w:rPr>
              <w:t>……</w:t>
            </w:r>
          </w:p>
        </w:tc>
      </w:tr>
      <w:tr w:rsidTr="001110BB">
        <w:tblPrEx>
          <w:tblW w:w="8789" w:type="dxa"/>
          <w:tblLayout w:type="fixed"/>
          <w:tblLook w:val="04A0"/>
        </w:tblPrEx>
        <w:trPr>
          <w:cantSplit/>
        </w:trPr>
        <w:tc>
          <w:tcPr>
            <w:tcW w:w="544" w:type="dxa"/>
            <w:vAlign w:val="center"/>
          </w:tcPr>
          <w:p w:rsidR="00603A33">
            <w:pPr>
              <w:numPr>
                <w:ilvl w:val="0"/>
                <w:numId w:val="14"/>
              </w:numPr>
              <w:rPr>
                <w:rFonts w:ascii="宋体" w:hAnsi="宋体"/>
                <w:sz w:val="18"/>
                <w:szCs w:val="18"/>
              </w:rPr>
            </w:pPr>
          </w:p>
        </w:tc>
        <w:tc>
          <w:tcPr>
            <w:tcW w:w="898" w:type="dxa"/>
            <w:vAlign w:val="center"/>
          </w:tcPr>
          <w:p w:rsidR="00603A33">
            <w:pPr>
              <w:jc w:val="center"/>
              <w:rPr>
                <w:rFonts w:ascii="宋体" w:hAnsi="宋体"/>
                <w:sz w:val="18"/>
                <w:szCs w:val="18"/>
              </w:rPr>
            </w:pPr>
            <w:r>
              <w:rPr>
                <w:rFonts w:ascii="宋体" w:hAnsi="宋体"/>
                <w:sz w:val="18"/>
                <w:szCs w:val="18"/>
              </w:rPr>
              <w:t>……</w:t>
            </w:r>
          </w:p>
        </w:tc>
        <w:tc>
          <w:tcPr>
            <w:tcW w:w="7347" w:type="dxa"/>
            <w:vAlign w:val="center"/>
          </w:tcPr>
          <w:p w:rsidR="00603A33">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rsidTr="001110BB">
        <w:tblPrEx>
          <w:tblW w:w="8789" w:type="dxa"/>
          <w:tblLayout w:type="fixed"/>
          <w:tblLook w:val="04A0"/>
        </w:tblPrEx>
        <w:trPr>
          <w:cantSplit/>
        </w:trPr>
        <w:tc>
          <w:tcPr>
            <w:tcW w:w="544" w:type="dxa"/>
            <w:vAlign w:val="center"/>
          </w:tcPr>
          <w:p w:rsidR="00603A33">
            <w:pPr>
              <w:numPr>
                <w:ilvl w:val="0"/>
                <w:numId w:val="14"/>
              </w:numPr>
              <w:rPr>
                <w:rFonts w:ascii="宋体" w:hAnsi="宋体"/>
                <w:sz w:val="18"/>
                <w:szCs w:val="18"/>
              </w:rPr>
            </w:pPr>
          </w:p>
        </w:tc>
        <w:tc>
          <w:tcPr>
            <w:tcW w:w="898" w:type="dxa"/>
            <w:vAlign w:val="center"/>
          </w:tcPr>
          <w:p w:rsidR="00603A33">
            <w:pPr>
              <w:jc w:val="center"/>
              <w:rPr>
                <w:rFonts w:ascii="宋体" w:hAnsi="宋体"/>
                <w:sz w:val="18"/>
                <w:szCs w:val="18"/>
              </w:rPr>
            </w:pPr>
            <w:r>
              <w:rPr>
                <w:rFonts w:ascii="宋体" w:hAnsi="宋体"/>
                <w:sz w:val="18"/>
                <w:szCs w:val="18"/>
              </w:rPr>
              <w:t>……</w:t>
            </w:r>
          </w:p>
        </w:tc>
        <w:tc>
          <w:tcPr>
            <w:tcW w:w="7347" w:type="dxa"/>
            <w:vAlign w:val="center"/>
          </w:tcPr>
          <w:p w:rsidR="00603A33">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rsidTr="001110BB">
        <w:tblPrEx>
          <w:tblW w:w="8789" w:type="dxa"/>
          <w:tblLayout w:type="fixed"/>
          <w:tblLook w:val="04A0"/>
        </w:tblPrEx>
        <w:trPr>
          <w:cantSplit/>
        </w:trPr>
        <w:tc>
          <w:tcPr>
            <w:tcW w:w="544" w:type="dxa"/>
            <w:vAlign w:val="center"/>
          </w:tcPr>
          <w:p w:rsidR="00603A33">
            <w:pPr>
              <w:numPr>
                <w:ilvl w:val="0"/>
                <w:numId w:val="14"/>
              </w:numPr>
              <w:rPr>
                <w:rFonts w:ascii="宋体" w:hAnsi="宋体"/>
                <w:sz w:val="18"/>
                <w:szCs w:val="18"/>
              </w:rPr>
            </w:pPr>
          </w:p>
        </w:tc>
        <w:tc>
          <w:tcPr>
            <w:tcW w:w="898" w:type="dxa"/>
            <w:vAlign w:val="center"/>
          </w:tcPr>
          <w:p w:rsidR="00603A33">
            <w:pPr>
              <w:jc w:val="center"/>
              <w:rPr>
                <w:rFonts w:ascii="宋体" w:hAnsi="宋体"/>
                <w:sz w:val="18"/>
                <w:szCs w:val="18"/>
              </w:rPr>
            </w:pPr>
            <w:r>
              <w:rPr>
                <w:rFonts w:ascii="宋体" w:hAnsi="宋体"/>
                <w:sz w:val="18"/>
                <w:szCs w:val="18"/>
              </w:rPr>
              <w:t>……</w:t>
            </w:r>
          </w:p>
        </w:tc>
        <w:tc>
          <w:tcPr>
            <w:tcW w:w="7347" w:type="dxa"/>
            <w:vAlign w:val="center"/>
          </w:tcPr>
          <w:p w:rsidR="00603A33">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rsidTr="001110BB">
        <w:tblPrEx>
          <w:tblW w:w="8789" w:type="dxa"/>
          <w:tblLayout w:type="fixed"/>
          <w:tblLook w:val="04A0"/>
        </w:tblPrEx>
        <w:trPr>
          <w:cantSplit/>
        </w:trPr>
        <w:tc>
          <w:tcPr>
            <w:tcW w:w="8789" w:type="dxa"/>
            <w:gridSpan w:val="3"/>
            <w:vAlign w:val="center"/>
          </w:tcPr>
          <w:p w:rsidR="00603A33">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1110BB">
        <w:tblPrEx>
          <w:tblW w:w="8789" w:type="dxa"/>
          <w:tblLayout w:type="fixed"/>
          <w:tblLook w:val="04A0"/>
        </w:tblPrEx>
        <w:trPr>
          <w:cantSplit/>
        </w:trPr>
        <w:tc>
          <w:tcPr>
            <w:tcW w:w="544" w:type="dxa"/>
            <w:vAlign w:val="center"/>
          </w:tcPr>
          <w:p w:rsidR="001110BB" w:rsidP="001110BB">
            <w:pPr>
              <w:numPr>
                <w:ilvl w:val="0"/>
                <w:numId w:val="14"/>
              </w:numPr>
              <w:rPr>
                <w:rFonts w:ascii="宋体" w:hAnsi="宋体"/>
                <w:sz w:val="18"/>
                <w:szCs w:val="18"/>
              </w:rPr>
            </w:pPr>
          </w:p>
        </w:tc>
        <w:tc>
          <w:tcPr>
            <w:tcW w:w="898" w:type="dxa"/>
            <w:vAlign w:val="center"/>
          </w:tcPr>
          <w:p w:rsidR="001110BB" w:rsidP="001110BB">
            <w:pPr>
              <w:jc w:val="center"/>
              <w:rPr>
                <w:rFonts w:ascii="宋体" w:hAnsi="宋体"/>
                <w:sz w:val="18"/>
                <w:szCs w:val="18"/>
              </w:rPr>
            </w:pPr>
            <w:r>
              <w:rPr>
                <w:rFonts w:ascii="宋体" w:hAnsi="宋体"/>
                <w:sz w:val="18"/>
                <w:szCs w:val="18"/>
              </w:rPr>
              <w:t>……</w:t>
            </w:r>
          </w:p>
        </w:tc>
        <w:tc>
          <w:tcPr>
            <w:tcW w:w="7347" w:type="dxa"/>
            <w:vAlign w:val="center"/>
          </w:tcPr>
          <w:p w:rsidR="001110BB" w:rsidP="001110BB">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设备供应商对所有设备提供自合同验收合格后8年的质保服务</w:t>
            </w:r>
          </w:p>
        </w:tc>
      </w:tr>
    </w:tbl>
    <w:p w:rsidR="00603A33">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8"/>
          <w:footerReference w:type="default" r:id="rId9"/>
          <w:pgSz w:w="11906" w:h="16838"/>
          <w:pgMar w:top="1440" w:right="1800" w:bottom="1440" w:left="1800" w:header="851" w:footer="992" w:gutter="0"/>
          <w:cols w:space="708"/>
          <w:docGrid w:type="lines" w:linePitch="312"/>
        </w:sectPr>
      </w:pPr>
      <w:bookmarkEnd w:id="9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2873EC" w:rsidP="00A21059">
      <w:pPr>
        <w:numPr>
          <w:ilvl w:val="0"/>
          <w:numId w:val="5"/>
        </w:numPr>
        <w:spacing w:line="360" w:lineRule="auto"/>
        <w:ind w:firstLine="3066" w:firstLineChars="1460"/>
        <w:jc w:val="left"/>
        <w:rPr>
          <w:b/>
          <w:bCs/>
          <w:szCs w:val="21"/>
        </w:rPr>
      </w:pPr>
      <w:bookmarkStart w:id="96" w:name="采购公告合同部分_ZBGGHT"/>
      <w:r>
        <w:rPr>
          <w:rFonts w:hint="eastAsia"/>
          <w:b/>
          <w:bCs/>
          <w:szCs w:val="21"/>
        </w:rPr>
        <w:t xml:space="preserve"> </w:t>
      </w:r>
      <w:r>
        <w:rPr>
          <w:rFonts w:hint="eastAsia"/>
          <w:b/>
          <w:bCs/>
          <w:szCs w:val="21"/>
        </w:rPr>
        <w:t>采购合同</w:t>
      </w:r>
    </w:p>
    <w:p w:rsidR="002873EC">
      <w:pPr>
        <w:spacing w:line="360" w:lineRule="auto"/>
        <w:ind w:left="1680" w:firstLine="420"/>
        <w:jc w:val="left"/>
        <w:rPr>
          <w:b/>
          <w:bCs/>
          <w:szCs w:val="21"/>
        </w:rPr>
      </w:pPr>
      <w:r>
        <w:rPr>
          <w:rFonts w:hint="eastAsia"/>
          <w:b/>
          <w:bCs/>
          <w:szCs w:val="21"/>
        </w:rPr>
        <w:t>必须明确合同金额支付条件及支付比例</w:t>
      </w:r>
    </w:p>
    <w:p w:rsidR="002873EC">
      <w:pPr>
        <w:pStyle w:val="BodyText"/>
        <w:spacing w:after="0"/>
        <w:jc w:val="center"/>
        <w:rPr>
          <w:rFonts w:ascii="宋体" w:hAnsi="宋体" w:cs="宋体"/>
          <w:b/>
          <w:bCs/>
          <w:spacing w:val="-20"/>
          <w:kern w:val="44"/>
          <w:sz w:val="48"/>
          <w:szCs w:val="48"/>
        </w:rPr>
      </w:pPr>
      <w:r>
        <w:rPr>
          <w:b/>
          <w:bCs/>
          <w:szCs w:val="21"/>
        </w:rPr>
        <w:br w:type="page"/>
      </w:r>
      <w:bookmarkStart w:id="97" w:name="_Toc3995"/>
    </w:p>
    <w:p w:rsidR="002873EC">
      <w:pPr>
        <w:pStyle w:val="BodyText"/>
        <w:spacing w:after="0"/>
        <w:jc w:val="center"/>
        <w:rPr>
          <w:rFonts w:ascii="宋体" w:hAnsi="宋体" w:cs="宋体"/>
          <w:b/>
          <w:bCs/>
          <w:spacing w:val="-20"/>
          <w:kern w:val="44"/>
          <w:sz w:val="48"/>
          <w:szCs w:val="48"/>
        </w:rPr>
      </w:pPr>
    </w:p>
    <w:p w:rsidR="002873EC">
      <w:pPr>
        <w:pStyle w:val="BodyText"/>
        <w:spacing w:after="0"/>
        <w:jc w:val="center"/>
        <w:rPr>
          <w:rFonts w:ascii="宋体" w:hAnsi="宋体" w:cs="宋体"/>
          <w:b/>
          <w:bCs/>
          <w:spacing w:val="-20"/>
          <w:kern w:val="44"/>
          <w:sz w:val="48"/>
          <w:szCs w:val="48"/>
        </w:rPr>
      </w:pPr>
    </w:p>
    <w:p w:rsidR="002873EC">
      <w:pPr>
        <w:pStyle w:val="BodyText"/>
        <w:spacing w:after="0"/>
        <w:jc w:val="center"/>
        <w:rPr>
          <w:rFonts w:ascii="宋体" w:hAnsi="宋体" w:cs="宋体"/>
          <w:b/>
          <w:bCs/>
          <w:spacing w:val="-20"/>
          <w:kern w:val="44"/>
          <w:sz w:val="48"/>
          <w:szCs w:val="48"/>
        </w:rPr>
      </w:pPr>
    </w:p>
    <w:p w:rsidR="002873EC">
      <w:pPr>
        <w:pStyle w:val="BodyText"/>
        <w:spacing w:after="0"/>
        <w:jc w:val="center"/>
        <w:rPr>
          <w:rFonts w:ascii="宋体" w:hAnsi="宋体" w:cs="宋体"/>
          <w:b/>
          <w:bCs/>
          <w:spacing w:val="-20"/>
          <w:kern w:val="44"/>
          <w:sz w:val="48"/>
          <w:szCs w:val="48"/>
        </w:rPr>
      </w:pPr>
    </w:p>
    <w:p w:rsidR="002873EC">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2873EC">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2873EC">
      <w:pPr>
        <w:rPr>
          <w:rFonts w:ascii="宋体" w:hAnsi="宋体" w:cs="宋体"/>
          <w:b/>
          <w:bCs/>
          <w:spacing w:val="-20"/>
          <w:kern w:val="44"/>
          <w:sz w:val="40"/>
          <w:szCs w:val="40"/>
        </w:rPr>
      </w:pPr>
    </w:p>
    <w:p w:rsidR="002873EC">
      <w:pPr>
        <w:rPr>
          <w:rFonts w:ascii="宋体" w:hAnsi="宋体" w:cs="宋体"/>
          <w:b/>
          <w:bCs/>
          <w:spacing w:val="-20"/>
          <w:kern w:val="44"/>
          <w:sz w:val="40"/>
          <w:szCs w:val="40"/>
        </w:rPr>
      </w:pPr>
    </w:p>
    <w:p w:rsidR="002873EC">
      <w:pPr>
        <w:rPr>
          <w:rFonts w:ascii="宋体" w:hAnsi="宋体" w:cs="宋体"/>
          <w:b/>
          <w:bCs/>
          <w:spacing w:val="-20"/>
          <w:kern w:val="44"/>
          <w:sz w:val="40"/>
          <w:szCs w:val="40"/>
        </w:rPr>
      </w:pPr>
    </w:p>
    <w:p w:rsidR="002873EC">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2873EC">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2873EC">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2873EC">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2873EC">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2873EC"/>
    <w:p w:rsidR="002873EC">
      <w:pPr>
        <w:rPr>
          <w:rFonts w:eastAsia="黑体"/>
          <w:sz w:val="44"/>
          <w:szCs w:val="44"/>
        </w:rPr>
      </w:pPr>
      <w:r>
        <w:rPr>
          <w:rFonts w:eastAsia="黑体"/>
          <w:sz w:val="44"/>
          <w:szCs w:val="44"/>
        </w:rPr>
        <w:br w:type="page"/>
      </w:r>
    </w:p>
    <w:p w:rsidR="002873EC">
      <w:pPr>
        <w:rPr>
          <w:rFonts w:eastAsia="黑体"/>
          <w:sz w:val="44"/>
          <w:szCs w:val="44"/>
        </w:rPr>
      </w:pPr>
    </w:p>
    <w:p w:rsidR="002873EC">
      <w:pPr>
        <w:rPr>
          <w:rFonts w:eastAsia="黑体"/>
          <w:sz w:val="44"/>
          <w:szCs w:val="44"/>
        </w:rPr>
      </w:pPr>
    </w:p>
    <w:p w:rsidR="002873EC">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2873EC">
      <w:pPr>
        <w:ind w:firstLine="640" w:firstLineChars="200"/>
        <w:rPr>
          <w:rFonts w:ascii="仿宋_GB2312" w:eastAsia="仿宋_GB2312" w:hAnsi="仿宋_GB2312" w:cs="仿宋_GB2312"/>
          <w:sz w:val="32"/>
          <w:szCs w:val="32"/>
        </w:rPr>
      </w:pPr>
    </w:p>
    <w:p w:rsidR="002873EC">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2873EC">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2873EC">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2873EC">
      <w:pPr>
        <w:rPr>
          <w:rFonts w:eastAsia="黑体"/>
          <w:sz w:val="44"/>
          <w:szCs w:val="44"/>
        </w:rPr>
        <w:sectPr>
          <w:pgSz w:w="11906" w:h="16838"/>
          <w:pgMar w:top="1440" w:right="1800" w:bottom="1440" w:left="1800" w:header="851" w:footer="992" w:gutter="0"/>
          <w:cols w:space="425"/>
          <w:docGrid w:type="lines" w:linePitch="312"/>
        </w:sectPr>
      </w:pPr>
    </w:p>
    <w:p w:rsidR="002873EC">
      <w:pPr>
        <w:pStyle w:val="Heading2"/>
        <w:numPr>
          <w:ilvl w:val="0"/>
          <w:numId w:val="0"/>
        </w:numPr>
        <w:adjustRightInd w:val="0"/>
        <w:snapToGrid w:val="0"/>
        <w:spacing w:line="400" w:lineRule="exact"/>
        <w:jc w:val="center"/>
        <w:rPr>
          <w:rFonts w:ascii="黑体" w:hAnsi="华文中宋"/>
          <w:b w:val="0"/>
          <w:bCs w:val="0"/>
          <w:sz w:val="28"/>
          <w:szCs w:val="28"/>
        </w:rPr>
      </w:pPr>
      <w:bookmarkStart w:id="98" w:name="_Toc22209"/>
      <w:bookmarkEnd w:id="97"/>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98"/>
    </w:p>
    <w:p w:rsidR="002873EC">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2873EC">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2873EC">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2873EC">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2873EC">
      <w:pPr>
        <w:spacing w:line="400" w:lineRule="exact"/>
      </w:pPr>
    </w:p>
    <w:p w:rsidR="002873EC">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2873EC" w:rsidP="00A21059">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2873EC">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2873EC">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2873EC">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2873E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2873EC">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2873EC">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2873EC">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2873EC">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2873EC">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2873EC">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2873EC">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873EC">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2873EC">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2873EC">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2873EC">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873EC">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2873EC">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2873EC">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2873EC">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2873EC">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2873EC">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873EC">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2873EC">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2873EC">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2873EC">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2873E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2873EC">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2873EC">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2873EC">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2873EC">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2873EC">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2873EC">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2873EC">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2873EC">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2873EC">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2873EC">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2873EC">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2873EC">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2873EC">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2873EC">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2873EC">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2873EC">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873EC">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2873EC">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2873EC">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2873EC">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873EC">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2873EC">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2873EC">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2873EC">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873EC">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2873EC">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2873EC" w:rsidP="00A21059">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2873E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2873EC">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2873EC">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2873EC">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2873EC">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2873EC">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2873EC">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2873EC">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2873EC">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A21059" w:rsidP="00A21059">
      <w:pPr>
        <w:tabs>
          <w:tab w:val="left" w:pos="1573"/>
        </w:tabs>
        <w:adjustRightInd w:val="0"/>
        <w:snapToGrid w:val="0"/>
        <w:spacing w:line="360" w:lineRule="auto"/>
        <w:ind w:firstLine="630" w:firstLineChars="300"/>
        <w:jc w:val="left"/>
        <w:rPr>
          <w:rFonts w:ascii="宋体" w:hAnsi="宋体" w:hint="eastAsia"/>
          <w:szCs w:val="21"/>
        </w:rPr>
      </w:pPr>
      <w:r>
        <w:rPr>
          <w:rFonts w:ascii="Wingdings" w:hAnsi="Wingdings"/>
          <w:szCs w:val="21"/>
        </w:rPr>
        <w:sym w:font="Wingdings" w:char="F0A8"/>
      </w:r>
      <w:r>
        <w:rPr>
          <w:rFonts w:ascii="宋体" w:hAnsi="宋体" w:hint="eastAsia"/>
          <w:szCs w:val="21"/>
        </w:rPr>
        <w:t>分期付款：</w:t>
      </w:r>
    </w:p>
    <w:p w:rsidR="00A21059" w:rsidRPr="00A21059" w:rsidP="00A21059">
      <w:pPr>
        <w:tabs>
          <w:tab w:val="left" w:pos="1573"/>
        </w:tabs>
        <w:adjustRightInd w:val="0"/>
        <w:snapToGrid w:val="0"/>
        <w:spacing w:line="360" w:lineRule="auto"/>
        <w:ind w:firstLine="630" w:firstLineChars="300"/>
        <w:jc w:val="left"/>
        <w:rPr>
          <w:rFonts w:ascii="宋体" w:eastAsia="宋体" w:hAnsi="宋体" w:cs="Times New Roman"/>
          <w:szCs w:val="21"/>
          <w:highlight w:val="yellow"/>
        </w:rPr>
      </w:pPr>
      <w:r w:rsidRPr="00A21059">
        <w:rPr>
          <w:rFonts w:ascii="宋体" w:eastAsia="宋体" w:hAnsi="宋体" w:cs="Times New Roman"/>
          <w:szCs w:val="21"/>
          <w:highlight w:val="yellow"/>
        </w:rPr>
        <w:t>1</w:t>
      </w:r>
      <w:r w:rsidRPr="00A21059">
        <w:rPr>
          <w:rFonts w:ascii="宋体" w:eastAsia="宋体" w:hAnsi="宋体" w:cs="Times New Roman" w:hint="eastAsia"/>
          <w:szCs w:val="21"/>
          <w:highlight w:val="yellow"/>
        </w:rPr>
        <w:t>、合同生效后付款：双方签署合同后10个工作日内，甲方向乙方支付合同总金额的</w:t>
      </w:r>
      <w:r w:rsidRPr="00A21059">
        <w:rPr>
          <w:rFonts w:ascii="Times New Roman" w:eastAsia="宋体" w:hAnsi="Times New Roman" w:cs="Times New Roman"/>
          <w:b/>
          <w:bCs/>
          <w:szCs w:val="20"/>
          <w:highlight w:val="yellow"/>
        </w:rPr>
        <w:t>80</w:t>
      </w:r>
      <w:r w:rsidRPr="00A21059">
        <w:rPr>
          <w:rFonts w:ascii="宋体" w:eastAsia="宋体" w:hAnsi="宋体" w:cs="微软雅黑" w:hint="eastAsia"/>
          <w:b/>
          <w:kern w:val="0"/>
          <w:szCs w:val="21"/>
          <w:highlight w:val="yellow"/>
        </w:rPr>
        <w:t>%</w:t>
      </w:r>
      <w:r w:rsidRPr="00A21059">
        <w:rPr>
          <w:rFonts w:ascii="宋体" w:eastAsia="宋体" w:hAnsi="宋体" w:cs="Times New Roman" w:hint="eastAsia"/>
          <w:szCs w:val="21"/>
          <w:highlight w:val="yellow"/>
        </w:rPr>
        <w:t>，即人民币</w:t>
      </w:r>
      <w:r w:rsidRPr="00A21059">
        <w:rPr>
          <w:rFonts w:ascii="宋体" w:eastAsia="宋体" w:hAnsi="宋体" w:cs="Times New Roman" w:hint="eastAsia"/>
          <w:szCs w:val="21"/>
          <w:highlight w:val="yellow"/>
          <w:u w:val="single"/>
        </w:rPr>
        <w:t xml:space="preserve">                  </w:t>
      </w:r>
      <w:r w:rsidRPr="00A21059">
        <w:rPr>
          <w:rFonts w:ascii="宋体" w:eastAsia="宋体" w:hAnsi="宋体" w:cs="Times New Roman" w:hint="eastAsia"/>
          <w:szCs w:val="21"/>
          <w:highlight w:val="yellow"/>
        </w:rPr>
        <w:t>元（大写）：</w:t>
      </w:r>
      <w:r w:rsidRPr="00A21059">
        <w:rPr>
          <w:rFonts w:ascii="宋体" w:eastAsia="宋体" w:hAnsi="宋体" w:cs="Times New Roman" w:hint="eastAsia"/>
          <w:szCs w:val="21"/>
          <w:highlight w:val="yellow"/>
          <w:u w:val="single"/>
        </w:rPr>
        <w:t xml:space="preserve">          </w:t>
      </w:r>
      <w:r w:rsidRPr="00A21059">
        <w:rPr>
          <w:rFonts w:ascii="宋体" w:eastAsia="宋体" w:hAnsi="宋体" w:cs="Times New Roman" w:hint="eastAsia"/>
          <w:szCs w:val="21"/>
          <w:highlight w:val="yellow"/>
        </w:rPr>
        <w:t>元（小写）；</w:t>
      </w:r>
    </w:p>
    <w:p w:rsidR="00A21059" w:rsidRPr="00A21059" w:rsidP="00A21059">
      <w:pPr>
        <w:tabs>
          <w:tab w:val="left" w:pos="1573"/>
        </w:tabs>
        <w:adjustRightInd w:val="0"/>
        <w:snapToGrid w:val="0"/>
        <w:spacing w:line="360" w:lineRule="auto"/>
        <w:ind w:firstLine="630" w:firstLineChars="300"/>
        <w:jc w:val="left"/>
        <w:rPr>
          <w:rFonts w:ascii="宋体" w:eastAsia="宋体" w:hAnsi="宋体" w:cs="Times New Roman"/>
          <w:szCs w:val="21"/>
          <w:highlight w:val="yellow"/>
        </w:rPr>
      </w:pPr>
      <w:r w:rsidRPr="00A21059">
        <w:rPr>
          <w:rFonts w:ascii="宋体" w:eastAsia="宋体" w:hAnsi="宋体" w:cs="Times New Roman"/>
          <w:szCs w:val="21"/>
          <w:highlight w:val="yellow"/>
        </w:rPr>
        <w:t>2</w:t>
      </w:r>
      <w:r w:rsidRPr="00A21059">
        <w:rPr>
          <w:rFonts w:ascii="宋体" w:eastAsia="宋体" w:hAnsi="宋体" w:cs="Times New Roman" w:hint="eastAsia"/>
          <w:szCs w:val="21"/>
          <w:highlight w:val="yellow"/>
        </w:rPr>
        <w:t>、出厂测试合格后付款：双方签署出厂测试验收报告后10个工作日内，甲方向乙方支付合同总金额的</w:t>
      </w:r>
      <w:r w:rsidRPr="00A21059">
        <w:rPr>
          <w:rFonts w:ascii="宋体" w:eastAsia="宋体" w:hAnsi="宋体" w:cs="Times New Roman"/>
          <w:szCs w:val="21"/>
          <w:highlight w:val="yellow"/>
        </w:rPr>
        <w:t>1</w:t>
      </w:r>
      <w:r w:rsidRPr="00A21059">
        <w:rPr>
          <w:rFonts w:ascii="宋体" w:eastAsia="宋体" w:hAnsi="宋体" w:cs="Times New Roman" w:hint="eastAsia"/>
          <w:b/>
          <w:bCs/>
          <w:szCs w:val="21"/>
          <w:highlight w:val="yellow"/>
        </w:rPr>
        <w:t>0 %</w:t>
      </w:r>
      <w:r w:rsidRPr="00A21059">
        <w:rPr>
          <w:rFonts w:ascii="宋体" w:eastAsia="宋体" w:hAnsi="宋体" w:cs="Times New Roman" w:hint="eastAsia"/>
          <w:szCs w:val="21"/>
          <w:highlight w:val="yellow"/>
        </w:rPr>
        <w:t>，即人民币</w:t>
      </w:r>
      <w:r w:rsidRPr="00A21059">
        <w:rPr>
          <w:rFonts w:ascii="宋体" w:eastAsia="宋体" w:hAnsi="宋体" w:cs="Times New Roman" w:hint="eastAsia"/>
          <w:szCs w:val="21"/>
          <w:highlight w:val="yellow"/>
          <w:u w:val="single"/>
        </w:rPr>
        <w:t xml:space="preserve">                  </w:t>
      </w:r>
      <w:r w:rsidRPr="00A21059">
        <w:rPr>
          <w:rFonts w:ascii="宋体" w:eastAsia="宋体" w:hAnsi="宋体" w:cs="Times New Roman" w:hint="eastAsia"/>
          <w:szCs w:val="21"/>
          <w:highlight w:val="yellow"/>
        </w:rPr>
        <w:t>元（大写）：</w:t>
      </w:r>
      <w:r w:rsidRPr="00A21059">
        <w:rPr>
          <w:rFonts w:ascii="宋体" w:eastAsia="宋体" w:hAnsi="宋体" w:cs="Times New Roman" w:hint="eastAsia"/>
          <w:szCs w:val="21"/>
          <w:highlight w:val="yellow"/>
          <w:u w:val="single"/>
        </w:rPr>
        <w:t xml:space="preserve">          </w:t>
      </w:r>
      <w:r w:rsidRPr="00A21059">
        <w:rPr>
          <w:rFonts w:ascii="宋体" w:eastAsia="宋体" w:hAnsi="宋体" w:cs="Times New Roman" w:hint="eastAsia"/>
          <w:szCs w:val="21"/>
          <w:highlight w:val="yellow"/>
        </w:rPr>
        <w:t>元（小写）；</w:t>
      </w:r>
    </w:p>
    <w:p w:rsidR="002873EC" w:rsidRPr="00A21059" w:rsidP="00A21059">
      <w:pPr>
        <w:tabs>
          <w:tab w:val="left" w:pos="1573"/>
        </w:tabs>
        <w:adjustRightInd w:val="0"/>
        <w:snapToGrid w:val="0"/>
        <w:spacing w:line="360" w:lineRule="auto"/>
        <w:ind w:firstLine="630" w:firstLineChars="300"/>
        <w:jc w:val="left"/>
        <w:rPr>
          <w:rFonts w:ascii="Times New Roman" w:eastAsia="宋体" w:hAnsi="宋体" w:cs="Times New Roman"/>
          <w:kern w:val="0"/>
          <w:szCs w:val="20"/>
        </w:rPr>
      </w:pPr>
      <w:r w:rsidRPr="00A21059">
        <w:rPr>
          <w:rFonts w:ascii="宋体" w:eastAsia="宋体" w:hAnsi="宋体" w:cs="Times New Roman"/>
          <w:szCs w:val="21"/>
          <w:highlight w:val="yellow"/>
        </w:rPr>
        <w:t>3</w:t>
      </w:r>
      <w:r w:rsidRPr="00A21059">
        <w:rPr>
          <w:rFonts w:ascii="宋体" w:eastAsia="宋体" w:hAnsi="宋体" w:cs="Times New Roman" w:hint="eastAsia"/>
          <w:szCs w:val="21"/>
          <w:highlight w:val="yellow"/>
        </w:rPr>
        <w:t>、合同验收通过后付款：合同验收通过后10个工作日内，甲方向乙方支付合同总金额的</w:t>
      </w:r>
      <w:r w:rsidRPr="00A21059">
        <w:rPr>
          <w:rFonts w:ascii="Times New Roman" w:eastAsia="宋体" w:hAnsi="Times New Roman" w:cs="Times New Roman"/>
          <w:b/>
          <w:bCs/>
          <w:szCs w:val="20"/>
          <w:highlight w:val="yellow"/>
        </w:rPr>
        <w:t>10</w:t>
      </w:r>
      <w:r w:rsidRPr="00A21059">
        <w:rPr>
          <w:rFonts w:ascii="宋体" w:eastAsia="宋体" w:hAnsi="宋体" w:cs="微软雅黑" w:hint="eastAsia"/>
          <w:b/>
          <w:kern w:val="0"/>
          <w:szCs w:val="21"/>
          <w:highlight w:val="yellow"/>
        </w:rPr>
        <w:t>%</w:t>
      </w:r>
      <w:r w:rsidRPr="00A21059">
        <w:rPr>
          <w:rFonts w:ascii="宋体" w:eastAsia="宋体" w:hAnsi="宋体" w:cs="Times New Roman" w:hint="eastAsia"/>
          <w:szCs w:val="21"/>
          <w:highlight w:val="yellow"/>
        </w:rPr>
        <w:t>，即人民币</w:t>
      </w:r>
      <w:r w:rsidRPr="00A21059">
        <w:rPr>
          <w:rFonts w:ascii="宋体" w:eastAsia="宋体" w:hAnsi="宋体" w:cs="Times New Roman" w:hint="eastAsia"/>
          <w:szCs w:val="21"/>
          <w:highlight w:val="yellow"/>
          <w:u w:val="single"/>
        </w:rPr>
        <w:t xml:space="preserve">                    </w:t>
      </w:r>
      <w:r w:rsidRPr="00A21059">
        <w:rPr>
          <w:rFonts w:ascii="宋体" w:eastAsia="宋体" w:hAnsi="宋体" w:cs="Times New Roman" w:hint="eastAsia"/>
          <w:szCs w:val="21"/>
          <w:highlight w:val="yellow"/>
        </w:rPr>
        <w:t>元（大写）：</w:t>
      </w:r>
      <w:r w:rsidRPr="00A21059">
        <w:rPr>
          <w:rFonts w:ascii="宋体" w:eastAsia="宋体" w:hAnsi="宋体" w:cs="Times New Roman" w:hint="eastAsia"/>
          <w:szCs w:val="21"/>
          <w:highlight w:val="yellow"/>
          <w:u w:val="single"/>
        </w:rPr>
        <w:t xml:space="preserve">          </w:t>
      </w:r>
      <w:r w:rsidRPr="00A21059">
        <w:rPr>
          <w:rFonts w:ascii="宋体" w:eastAsia="宋体" w:hAnsi="宋体" w:cs="Times New Roman" w:hint="eastAsia"/>
          <w:szCs w:val="21"/>
          <w:highlight w:val="yellow"/>
        </w:rPr>
        <w:t>元（小写）。</w:t>
      </w:r>
    </w:p>
    <w:p w:rsidR="002873EC">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2873EC">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2873EC" w:rsidP="00A21059">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2873EC">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2873EC">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2873EC">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2873EC">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2873EC">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2873EC">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2873EC">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2873EC">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2873EC" w:rsidP="00A21059">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2873EC">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2873EC">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2873EC">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873EC">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873EC">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873EC">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873EC">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873EC">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2873EC">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873EC">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2873EC">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2873EC">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2873EC">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2873EC">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2873EC">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2873EC">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2873EC">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2873EC">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2873EC" w:rsidP="00A21059">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2873EC">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2873E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2873E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2873E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2873E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2873E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2873E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2873E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2873EC">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2873EC" w:rsidP="00A21059">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2873EC">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2873EC" w:rsidP="00A21059">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2873EC">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2873EC">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2873EC">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2873EC">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2873EC">
      <w:r>
        <w:rPr>
          <w:rFonts w:hint="eastAsia"/>
        </w:rPr>
        <w:br w:type="page"/>
      </w:r>
    </w:p>
    <w:p w:rsidR="002873EC">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2873EC">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2873EC">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2873EC">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2873EC">
            <w:pPr>
              <w:adjustRightInd w:val="0"/>
              <w:snapToGrid w:val="0"/>
              <w:spacing w:line="300" w:lineRule="exact"/>
              <w:jc w:val="center"/>
              <w:rPr>
                <w:szCs w:val="21"/>
              </w:rPr>
            </w:pPr>
            <w:r>
              <w:rPr>
                <w:szCs w:val="21"/>
              </w:rPr>
              <w:t>法定代表人</w:t>
            </w:r>
          </w:p>
          <w:p w:rsidR="002873EC">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2873EC">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2873EC">
            <w:pPr>
              <w:adjustRightInd w:val="0"/>
              <w:snapToGrid w:val="0"/>
              <w:spacing w:line="300" w:lineRule="exact"/>
              <w:jc w:val="center"/>
              <w:rPr>
                <w:szCs w:val="21"/>
              </w:rPr>
            </w:pPr>
            <w:r>
              <w:rPr>
                <w:szCs w:val="21"/>
              </w:rPr>
              <w:t>法定代表人</w:t>
            </w:r>
          </w:p>
          <w:p w:rsidR="002873EC">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2873EC">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2873EC">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2873E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2873E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2873E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2873E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2873E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2873E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2873E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2873E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2873E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2873E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873EC">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2873EC">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2873EC">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2873EC">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99"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99"/>
    </w:p>
    <w:p w:rsidR="002873EC">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2873E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2873EC">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2873EC">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2873EC">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2873EC">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2873EC">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2873EC">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2873EC">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2873EC">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2873EC">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2873EC">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2873EC">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2873E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2873EC">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2873E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2873E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2873E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2873EC">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2873E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2873E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2873EC">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2873E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2873E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2873EC">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2873EC">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2873EC">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2873E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2873EC">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2873EC">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2873E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2873EC">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2873EC">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2873E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2873E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2873EC">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2873EC">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2873EC">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2873EC">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2873EC">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2873EC">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2873E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2873E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2873E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2873EC">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100"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100"/>
      <w:r>
        <w:rPr>
          <w:rFonts w:ascii="宋体" w:hAnsi="宋体" w:hint="eastAsia"/>
          <w:szCs w:val="21"/>
        </w:rPr>
        <w:t>。</w:t>
      </w:r>
    </w:p>
    <w:p w:rsidR="002873EC">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2873EC">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2873EC">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2873EC">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2873EC">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2873EC">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2873EC">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2873EC">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2873EC">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2873EC">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2873EC">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2873EC">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2873EC">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2873EC">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2873EC">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2873EC">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2873EC">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2873EC">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2873EC">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2873EC">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2873EC">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2873EC">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2873EC">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2873EC">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2873EC">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2873EC">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2873EC">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2873EC">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2873EC">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2873EC">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2873EC">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2873EC">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2873EC">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2873EC">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2873EC">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2873EC">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2873EC">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2873EC">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2873EC">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2873EC">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2873EC">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2873EC">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2873EC">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2873EC">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101" w:name="_Toc20313"/>
    </w:p>
    <w:p w:rsidR="002873EC">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2873EC">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10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2873EC">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2873E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2873E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2873E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2873E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2873EC">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2873EC"/>
        </w:tc>
      </w:tr>
      <w:tr>
        <w:tblPrEx>
          <w:tblW w:w="8519" w:type="dxa"/>
          <w:tblInd w:w="108" w:type="dxa"/>
          <w:tblLayout w:type="fixed"/>
          <w:tblLook w:val="04A0"/>
        </w:tblPrEx>
        <w:trPr>
          <w:trHeight w:val="667"/>
        </w:trPr>
        <w:tc>
          <w:tcPr>
            <w:tcW w:w="1607" w:type="dxa"/>
            <w:vMerge/>
            <w:vAlign w:val="center"/>
          </w:tcPr>
          <w:p w:rsidR="002873EC">
            <w:pPr>
              <w:adjustRightInd w:val="0"/>
              <w:snapToGrid w:val="0"/>
              <w:jc w:val="center"/>
              <w:rPr>
                <w:rFonts w:ascii="宋体" w:hAnsi="宋体"/>
                <w:szCs w:val="21"/>
              </w:rPr>
            </w:pPr>
          </w:p>
        </w:tc>
        <w:tc>
          <w:tcPr>
            <w:tcW w:w="1742" w:type="dxa"/>
            <w:vAlign w:val="center"/>
          </w:tcPr>
          <w:p w:rsidR="002873EC">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2873EC"/>
        </w:tc>
      </w:tr>
      <w:tr>
        <w:tblPrEx>
          <w:tblW w:w="8519" w:type="dxa"/>
          <w:tblInd w:w="108" w:type="dxa"/>
          <w:tblLayout w:type="fixed"/>
          <w:tblLook w:val="04A0"/>
        </w:tblPrEx>
        <w:trPr>
          <w:trHeight w:val="772"/>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2873EC"/>
        </w:tc>
      </w:tr>
      <w:tr>
        <w:tblPrEx>
          <w:tblW w:w="8519" w:type="dxa"/>
          <w:tblInd w:w="108" w:type="dxa"/>
          <w:tblLayout w:type="fixed"/>
          <w:tblLook w:val="04A0"/>
        </w:tblPrEx>
        <w:trPr>
          <w:trHeight w:val="667"/>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2873EC"/>
        </w:tc>
      </w:tr>
      <w:tr>
        <w:tblPrEx>
          <w:tblW w:w="8519" w:type="dxa"/>
          <w:tblInd w:w="108" w:type="dxa"/>
          <w:tblLayout w:type="fixed"/>
          <w:tblLook w:val="04A0"/>
        </w:tblPrEx>
        <w:trPr>
          <w:trHeight w:val="736"/>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2873EC">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货物质量缺陷</w:t>
            </w:r>
          </w:p>
          <w:p w:rsidR="002873EC">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2873E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873EC">
            <w:pPr>
              <w:snapToGrid w:val="0"/>
              <w:jc w:val="center"/>
              <w:rPr>
                <w:rFonts w:ascii="宋体" w:hAnsi="宋体" w:cs="宋体"/>
                <w:szCs w:val="21"/>
              </w:rPr>
            </w:pPr>
            <w:r>
              <w:rPr>
                <w:rFonts w:ascii="宋体" w:hAnsi="宋体" w:cs="宋体" w:hint="eastAsia"/>
                <w:szCs w:val="21"/>
              </w:rPr>
              <w:t>第二节</w:t>
            </w:r>
          </w:p>
          <w:p w:rsidR="002873EC">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2873EC">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2873EC">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2873EC">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2873E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2873EC">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2873EC">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2873E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2873E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2873E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2873EC">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2873EC">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2873EC">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2873EC">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2873EC">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2873EC">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2873EC">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2873EC">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2873EC">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2873EC">
            <w:pPr>
              <w:adjustRightInd w:val="0"/>
              <w:snapToGrid w:val="0"/>
              <w:jc w:val="center"/>
              <w:rPr>
                <w:rFonts w:ascii="宋体" w:hAnsi="宋体"/>
                <w:szCs w:val="21"/>
              </w:rPr>
            </w:pPr>
            <w:r>
              <w:rPr>
                <w:rFonts w:ascii="宋体" w:hAnsi="宋体" w:hint="eastAsia"/>
                <w:szCs w:val="21"/>
              </w:rPr>
              <w:t>第二节</w:t>
            </w:r>
          </w:p>
          <w:p w:rsidR="002873E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2873EC">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2873EC">
            <w:pPr>
              <w:adjustRightInd w:val="0"/>
              <w:snapToGrid w:val="0"/>
              <w:jc w:val="left"/>
              <w:rPr>
                <w:rFonts w:ascii="宋体" w:hAnsi="宋体"/>
                <w:szCs w:val="21"/>
              </w:rPr>
            </w:pPr>
          </w:p>
        </w:tc>
      </w:tr>
    </w:tbl>
    <w:p w:rsidR="002873EC"/>
    <w:p w:rsidR="002873EC">
      <w:pPr>
        <w:rPr>
          <w:b/>
          <w:bCs/>
          <w:sz w:val="44"/>
          <w:szCs w:val="44"/>
        </w:rPr>
      </w:pPr>
    </w:p>
    <w:p w:rsidR="002873EC"/>
    <w:p w:rsidR="00A77B3E"/>
    <w:p>
      <w:pPr>
        <w:spacing w:line="360" w:lineRule="auto"/>
        <w:ind w:firstLine="3066" w:firstLineChars="1460"/>
        <w:jc w:val="left"/>
        <w:rPr>
          <w:b/>
          <w:bCs/>
          <w:szCs w:val="21"/>
          <w:highlight w:val="none"/>
        </w:rPr>
      </w:pPr>
      <w:bookmarkEnd w:id="96"/>
    </w:p>
    <w:sectPr>
      <w:headerReference w:type="even" r:id="rId10"/>
      <w:headerReference w:type="default" r:id="rId11"/>
      <w:footerReference w:type="default" r:id="rId12"/>
      <w:headerReference w:type="first" r:id="rId13"/>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FC91163"/>
    <w:multiLevelType w:val="multilevel"/>
    <w:tmpl w:val="1FC91163"/>
    <w:lvl w:ilvl="0">
      <w:start w:val="1"/>
      <w:numFmt w:val="decimal"/>
      <w:suff w:val="nothing"/>
      <w:lvlText w:val="%1　"/>
      <w:lvlJc w:val="left"/>
      <w:pPr>
        <w:ind w:left="0" w:firstLine="0"/>
      </w:pPr>
      <w:rPr>
        <w:rFonts w:ascii="黑体" w:eastAsia="黑体" w:hAnsi="Times New Roman" w:hint="eastAsia"/>
        <w:b w:val="0"/>
        <w:i w:val="0"/>
        <w:sz w:val="21"/>
        <w:szCs w:val="21"/>
      </w:rPr>
    </w:lvl>
    <w:lvl w:ilvl="1">
      <w:start w:val="1"/>
      <w:numFmt w:val="decimal"/>
      <w:suff w:val="nothing"/>
      <w:lvlText w:val="%1.%2　"/>
      <w:lvlJc w:val="left"/>
      <w:pPr>
        <w:ind w:left="142" w:firstLine="0"/>
      </w:pPr>
      <w:rPr>
        <w:rFonts w:ascii="黑体" w:eastAsia="黑体" w:hAnsi="Times New Roman" w:cs="Times New Roman" w:hint="eastAsia"/>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10BB"/>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873EC"/>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805"/>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5D8B"/>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3A33"/>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0327"/>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805"/>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059"/>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一级条标题"/>
    <w:next w:val="a3"/>
    <w:qFormat/>
    <w:pPr>
      <w:numPr>
        <w:ilvl w:val="1"/>
        <w:numId w:val="4"/>
      </w:numPr>
      <w:spacing w:before="156" w:beforeLines="50" w:after="156" w:afterLines="50"/>
      <w:outlineLvl w:val="2"/>
    </w:pPr>
    <w:rPr>
      <w:rFonts w:ascii="黑体" w:eastAsia="黑体"/>
      <w:sz w:val="21"/>
      <w:szCs w:val="21"/>
      <w:lang w:eastAsia="zh-CN"/>
    </w:rPr>
  </w:style>
  <w:style w:type="paragraph" w:customStyle="1" w:styleId="a3">
    <w:name w:val="段"/>
    <w:qFormat/>
    <w:pPr>
      <w:tabs>
        <w:tab w:val="center" w:pos="4201"/>
        <w:tab w:val="right" w:leader="dot" w:pos="9298"/>
      </w:tabs>
      <w:autoSpaceDE w:val="0"/>
      <w:autoSpaceDN w:val="0"/>
      <w:spacing w:line="360" w:lineRule="auto"/>
      <w:ind w:firstLine="200" w:firstLineChars="200"/>
      <w:jc w:val="both"/>
    </w:pPr>
    <w:rPr>
      <w:rFonts w:ascii="宋体"/>
      <w:sz w:val="24"/>
      <w:lang w:eastAsia="zh-CN"/>
    </w:rPr>
  </w:style>
  <w:style w:type="paragraph" w:customStyle="1" w:styleId="a4">
    <w:name w:val="章标题"/>
    <w:next w:val="a3"/>
    <w:qFormat/>
    <w:pPr>
      <w:numPr>
        <w:numId w:val="4"/>
      </w:numPr>
      <w:spacing w:before="312" w:beforeLines="100" w:after="312" w:afterLines="100"/>
      <w:jc w:val="both"/>
      <w:outlineLvl w:val="1"/>
    </w:pPr>
    <w:rPr>
      <w:rFonts w:ascii="黑体" w:eastAsia="黑体"/>
      <w:sz w:val="21"/>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bin"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