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2025年生态观测站建设项目-蒸散量观测系统（重新招标）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新疆维吾尔自治区气象技术装备保障中心；浙江省大气探测技术保障中心；南宁市气象局；重庆市气象信息与技术保障中心；云南省大气探测技术保障中心;陕西省大气探测技术保障中心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2025年生态观测站建设项目-蒸散量观测系统（重新招标）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新疆、浙江、广西、重庆、云南、陕西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2025年09月28日 12:00:00</w:t>
      </w:r>
      <w:bookmarkEnd w:id="26"/>
      <w:r>
        <w:rPr>
          <w:rFonts w:ascii="宋体" w:hint="eastAsia"/>
          <w:szCs w:val="21"/>
          <w:highlight w:val="none"/>
        </w:rPr>
        <w:t>至</w:t>
      </w:r>
      <w:bookmarkStart w:id="27" w:name="项目公告_signUpLastTime"/>
      <w:r>
        <w:rPr>
          <w:rFonts w:ascii="宋体" w:hint="eastAsia"/>
          <w:szCs w:val="21"/>
          <w:highlight w:val="none"/>
        </w:rPr>
        <w:t>2025年10月13日 17:59:59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新疆维吾尔自治区气象技术装备保障中心；浙江省大气探测技术保障中心；南宁市气象局；重庆市气象信息与技术保障中心；云南省大气探测技术保障中心;陕西省大气探测技术保障中心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冯婉悦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0991-3631560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新疆乌鲁木齐市新市区天津南路215号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新疆维吾尔自治区气象技术装备保障中心；浙江省大气探测技术保障中心；南宁市气象局；重庆市气象信息与技术保障中心；云南省大气探测技术保障中心;陕西省大气探测技术保障中心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不允许（仅针对以下产品：蒸散量观测系统不允许代理商投标）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必须，以下产品需要提供至投标截止日仍有效的《气象专用技术装备使用许可证》：蒸散量观测系统（红外闪烁法）</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标的：蒸散量观测系统  ，属于工业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926.000000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926.000000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销售合同必须包括蒸散量观测系统，每提供1份合同得1分，最多得5分。否则不得分。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针对本项目采购的蒸散量观测系统，承诺每提前10天交货的得0.5分，最多得1分。否则不得分。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针对蒸散量观测系统，每提供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针对蒸散量观测系统，测试报告应涵盖气候环境、电磁环境测试、抗盐雾等内容，每包含一项得1分，最多得3分。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2"/>
        </w:rPr>
      </w:pPr>
      <w:r>
        <w:rPr>
          <w:rFonts w:ascii="仿宋" w:eastAsia="仿宋" w:hAnsi="仿宋" w:cs="仿宋" w:hint="eastAsia"/>
          <w:sz w:val="28"/>
          <w:szCs w:val="22"/>
        </w:rPr>
        <w:t>3.1观测设备具备数据质量控制，包括剔除 达到饱和的数据、剔除稳定条件下的弱湍流数据、剔除高风速强湍流数据等控制算法。</w:t>
      </w:r>
    </w:p>
    <w:p>
      <w:pPr>
        <w:spacing w:line="560" w:lineRule="exact"/>
        <w:jc w:val="center"/>
        <w:rPr>
          <w:rFonts w:ascii="仿宋_GB2312" w:eastAsia="仿宋_GB2312" w:hAnsi="仿宋_GB2312" w:cs="仿宋_GB2312" w:hint="eastAsia"/>
          <w:b/>
          <w:bCs/>
          <w:sz w:val="28"/>
          <w:szCs w:val="22"/>
        </w:rPr>
      </w:pPr>
      <w:r>
        <w:rPr>
          <w:rFonts w:ascii="仿宋" w:eastAsia="仿宋" w:hAnsi="仿宋" w:cs="仿宋" w:hint="eastAsia"/>
          <w:b/>
          <w:bCs/>
          <w:sz w:val="28"/>
          <w:szCs w:val="20"/>
        </w:rPr>
        <w:t>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仿宋" w:eastAsia="仿宋" w:hAnsi="仿宋" w:cs="仿宋" w:hint="eastAsia"/>
              </w:rPr>
            </w:pPr>
            <w:r>
              <w:rPr>
                <w:rStyle w:val="font11"/>
                <w:rFonts w:ascii="仿宋" w:eastAsia="仿宋" w:hAnsi="仿宋" w:cs="仿宋" w:hint="default"/>
                <w:sz w:val="24"/>
                <w:szCs w:val="24"/>
              </w:rPr>
              <w:t>序号</w:t>
            </w:r>
          </w:p>
        </w:tc>
        <w:tc>
          <w:tcPr>
            <w:tcW w:w="1384" w:type="dxa"/>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7229" w:type="dxa"/>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仿宋" w:eastAsia="仿宋" w:hAnsi="仿宋" w:cs="仿宋" w:hint="eastAsia"/>
                <w:sz w:val="24"/>
                <w:szCs w:val="24"/>
              </w:rPr>
            </w:pPr>
          </w:p>
        </w:tc>
        <w:tc>
          <w:tcPr>
            <w:tcW w:w="1384" w:type="dxa"/>
            <w:vAlign w:val="center"/>
          </w:tcPr>
          <w:p>
            <w:pPr>
              <w:rPr>
                <w:rFonts w:ascii="仿宋" w:eastAsia="仿宋" w:hAnsi="仿宋" w:cs="仿宋" w:hint="eastAsia"/>
              </w:rPr>
            </w:pPr>
            <w:r>
              <w:rPr>
                <w:rFonts w:ascii="仿宋" w:eastAsia="仿宋" w:hAnsi="仿宋" w:cs="仿宋" w:hint="eastAsia"/>
                <w:sz w:val="24"/>
              </w:rPr>
              <w:t>蒸散量观测系统（红外闪烁法）</w:t>
            </w:r>
          </w:p>
        </w:tc>
        <w:tc>
          <w:tcPr>
            <w:tcW w:w="7229" w:type="dxa"/>
            <w:vAlign w:val="center"/>
          </w:tcPr>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（1）大口径闪烁仪性能要求</w:t>
            </w:r>
          </w:p>
          <w:p>
            <w:pPr>
              <w:rPr>
                <w:rFonts w:ascii="仿宋" w:eastAsia="仿宋" w:hAnsi="仿宋" w:cs="仿宋" w:hint="eastAsia"/>
              </w:rPr>
            </w:pPr>
            <w:r>
              <w:rPr>
                <w:rFonts w:ascii="仿宋" w:eastAsia="仿宋" w:hAnsi="仿宋" w:cs="仿宋" w:hint="eastAsia"/>
                <w:sz w:val="24"/>
              </w:rPr>
              <w:t>大口径闪烁仪性能符合下列要求：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a）测量路径长度（能见度大于4km）：250m-4.5km（加装光阑：100m-1km）</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b）系统有效口径：100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1mm（有光阑）；150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1mm（无光阑）</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c）发光功率范围：4mW-160mW（四档可调）</w:t>
            </w:r>
          </w:p>
          <w:p>
            <w:pPr>
              <w:pStyle w:val="14"/>
              <w:ind w:firstLine="0" w:firstLineChars="0"/>
              <w:rPr>
                <w:rFonts w:ascii="仿宋" w:eastAsia="仿宋" w:hAnsi="仿宋" w:cs="仿宋" w:hint="eastAsia"/>
                <w:sz w:val="24"/>
                <w:szCs w:val="24"/>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d）工作波长：850nm（40nm半波宽度）</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e）载波频率：8</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0.5kHz</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f）大气折射率结构参数范围：10</w:t>
            </w:r>
            <w:r>
              <w:rPr>
                <w:rFonts w:ascii="仿宋" w:eastAsia="仿宋" w:hAnsi="仿宋" w:cs="仿宋" w:hint="eastAsia"/>
                <w:sz w:val="24"/>
                <w:szCs w:val="24"/>
                <w:vertAlign w:val="superscript"/>
              </w:rPr>
              <w:t>-17</w:t>
            </w:r>
            <w:r>
              <w:rPr>
                <w:rFonts w:ascii="仿宋" w:eastAsia="仿宋" w:hAnsi="仿宋" w:cs="仿宋" w:hint="eastAsia"/>
                <w:color w:val="000000"/>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-11</w:t>
            </w:r>
            <w:r>
              <w:rPr>
                <w:rFonts w:ascii="仿宋" w:eastAsia="仿宋" w:hAnsi="仿宋" w:cs="仿宋" w:hint="eastAsia"/>
                <w:sz w:val="24"/>
                <w:szCs w:val="24"/>
              </w:rPr>
              <w:t>m</w:t>
            </w:r>
            <w:r>
              <w:rPr>
                <w:rFonts w:ascii="仿宋" w:eastAsia="仿宋" w:hAnsi="仿宋" w:cs="仿宋" w:hint="eastAsia"/>
                <w:sz w:val="24"/>
                <w:szCs w:val="24"/>
                <w:vertAlign w:val="superscript"/>
              </w:rPr>
              <w:t>-2/3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g）使用温度范围：-40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h）使用湿度范围：0-100%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i）供电电源：</w:t>
            </w:r>
            <w:r>
              <w:rPr>
                <w:rFonts w:ascii="仿宋" w:eastAsia="仿宋" w:hAnsi="仿宋" w:cs="仿宋" w:hint="eastAsia"/>
                <w:sz w:val="24"/>
                <w:szCs w:val="24"/>
              </w:rPr>
              <w:br/>
            </w:r>
            <w:r>
              <w:rPr>
                <w:rFonts w:ascii="仿宋" w:eastAsia="仿宋" w:hAnsi="仿宋" w:cs="仿宋" w:hint="eastAsia"/>
                <w:sz w:val="24"/>
                <w:szCs w:val="24"/>
              </w:rPr>
              <w:t>电压：典型值：12VDC，10VDC-36VDC</w:t>
            </w:r>
            <w:r>
              <w:rPr>
                <w:rFonts w:ascii="仿宋" w:eastAsia="仿宋" w:hAnsi="仿宋" w:cs="仿宋" w:hint="eastAsia"/>
                <w:sz w:val="24"/>
                <w:szCs w:val="24"/>
              </w:rPr>
              <w:br/>
            </w:r>
            <w:r>
              <w:rPr>
                <w:rFonts w:ascii="仿宋" w:eastAsia="仿宋" w:hAnsi="仿宋" w:cs="仿宋" w:hint="eastAsia"/>
                <w:sz w:val="24"/>
                <w:szCs w:val="24"/>
              </w:rPr>
              <w:t>电流：最大值：5A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j）功耗：系统功耗</w:t>
            </w:r>
            <w:r>
              <w:rPr>
                <w:rFonts w:ascii="仿宋" w:eastAsia="仿宋" w:hAnsi="仿宋" w:cs="仿宋" w:hint="eastAsia"/>
                <w:sz w:val="24"/>
                <w:szCs w:val="24"/>
              </w:rPr>
              <w:t>≤</w:t>
            </w:r>
            <w:r>
              <w:rPr>
                <w:rFonts w:ascii="仿宋" w:eastAsia="仿宋" w:hAnsi="仿宋" w:cs="仿宋" w:hint="eastAsia"/>
                <w:sz w:val="24"/>
                <w:szCs w:val="24"/>
              </w:rPr>
              <w:t>12W，开启加热功耗</w:t>
            </w:r>
            <w:r>
              <w:rPr>
                <w:rFonts w:ascii="仿宋" w:eastAsia="仿宋" w:hAnsi="仿宋" w:cs="仿宋" w:hint="eastAsia"/>
                <w:sz w:val="24"/>
                <w:szCs w:val="24"/>
              </w:rPr>
              <w:t>≤</w:t>
            </w:r>
            <w:r>
              <w:rPr>
                <w:rFonts w:ascii="仿宋" w:eastAsia="仿宋" w:hAnsi="仿宋" w:cs="仿宋" w:hint="eastAsia"/>
                <w:sz w:val="24"/>
                <w:szCs w:val="24"/>
              </w:rPr>
              <w:t>48W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k）外形尺寸(长x宽x高）：400mmX220mmX318mm</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l）重量：</w:t>
            </w:r>
            <w:r>
              <w:rPr>
                <w:rFonts w:ascii="仿宋" w:eastAsia="仿宋" w:hAnsi="仿宋" w:cs="仿宋" w:hint="eastAsia"/>
                <w:sz w:val="24"/>
                <w:szCs w:val="24"/>
              </w:rPr>
              <w:t>≤</w:t>
            </w:r>
            <w:r>
              <w:rPr>
                <w:rFonts w:ascii="仿宋" w:eastAsia="仿宋" w:hAnsi="仿宋" w:cs="仿宋" w:hint="eastAsia"/>
                <w:sz w:val="24"/>
                <w:szCs w:val="24"/>
              </w:rPr>
              <w:t>15kg</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m）信号输出方式：数字型传感器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n）接口标准：RS-232、RS-422</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（2）气压传感器</w:t>
            </w:r>
          </w:p>
          <w:p>
            <w:pPr>
              <w:rPr>
                <w:rFonts w:ascii="仿宋" w:eastAsia="仿宋" w:hAnsi="仿宋" w:cs="仿宋" w:hint="eastAsia"/>
              </w:rPr>
            </w:pPr>
            <w:r>
              <w:rPr>
                <w:rFonts w:ascii="仿宋" w:eastAsia="仿宋" w:hAnsi="仿宋" w:cs="仿宋" w:hint="eastAsia"/>
                <w:sz w:val="24"/>
              </w:rPr>
              <w:t>气压传感器性能符合下列要求：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a）测量范围：500hPa～1100hPa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b）分辨力：0.1hPa</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0.3hPa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电流：平均值小于30mA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依据《GB/T35225-2017地面气象观测规范气压》</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（3）气温传感器</w:t>
            </w:r>
          </w:p>
          <w:p>
            <w:pPr>
              <w:pStyle w:val="5"/>
              <w:spacing w:beforeLines="0" w:afterLines="0" w:line="240" w:lineRule="auto"/>
              <w:ind w:left="0" w:right="0" w:firstLine="0"/>
              <w:rPr>
                <w:rFonts w:ascii="仿宋" w:eastAsia="仿宋" w:hAnsi="仿宋" w:cs="仿宋" w:hint="eastAsia"/>
                <w:sz w:val="24"/>
                <w:szCs w:val="24"/>
              </w:rPr>
            </w:pPr>
            <w:r>
              <w:rPr>
                <w:rFonts w:ascii="仿宋" w:eastAsia="仿宋" w:hAnsi="仿宋" w:cs="仿宋" w:hint="eastAsia"/>
                <w:sz w:val="24"/>
                <w:szCs w:val="24"/>
              </w:rPr>
              <w:t>气温传感器采用Pt100铂电阻温度传感器。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（4）湿度传感器</w:t>
            </w:r>
          </w:p>
          <w:p>
            <w:pPr>
              <w:rPr>
                <w:rFonts w:ascii="仿宋" w:eastAsia="仿宋" w:hAnsi="仿宋" w:cs="仿宋" w:hint="eastAsia"/>
              </w:rPr>
            </w:pPr>
            <w:r>
              <w:rPr>
                <w:rFonts w:ascii="仿宋" w:eastAsia="仿宋" w:hAnsi="仿宋" w:cs="仿宋" w:hint="eastAsia"/>
                <w:sz w:val="24"/>
              </w:rPr>
              <w:t>湿度传感器采用电容式湿度传感器：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a）测量范围：5%～100%RH</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b）分辨力：1%RH</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rPr>
              <w:t>±</w:t>
            </w:r>
            <w:r>
              <w:rPr>
                <w:rFonts w:ascii="仿宋" w:eastAsia="仿宋" w:hAnsi="仿宋" w:cs="仿宋" w:hint="eastAsia"/>
                <w:sz w:val="24"/>
                <w:szCs w:val="24"/>
              </w:rPr>
              <w:t>4%RH（</w:t>
            </w:r>
            <w:r>
              <w:rPr>
                <w:rFonts w:ascii="仿宋" w:eastAsia="仿宋" w:hAnsi="仿宋" w:cs="仿宋" w:hint="eastAsia"/>
                <w:sz w:val="24"/>
                <w:szCs w:val="24"/>
              </w:rPr>
              <w:t>≤</w:t>
            </w:r>
            <w:r>
              <w:rPr>
                <w:rFonts w:ascii="仿宋" w:eastAsia="仿宋" w:hAnsi="仿宋" w:cs="仿宋" w:hint="eastAsia"/>
                <w:sz w:val="24"/>
                <w:szCs w:val="24"/>
              </w:rPr>
              <w:t>80%）</w:t>
            </w:r>
            <w:r>
              <w:rPr>
                <w:rFonts w:ascii="仿宋" w:eastAsia="仿宋" w:hAnsi="仿宋" w:cs="仿宋" w:hint="eastAsia"/>
                <w:sz w:val="24"/>
                <w:szCs w:val="24"/>
              </w:rPr>
              <w:br/>
            </w:r>
            <w:r>
              <w:rPr>
                <w:rFonts w:ascii="仿宋" w:eastAsia="仿宋" w:hAnsi="仿宋" w:cs="仿宋" w:hint="eastAsia"/>
                <w:sz w:val="24"/>
                <w:szCs w:val="24"/>
              </w:rPr>
              <w:t>±</w:t>
            </w:r>
            <w:r>
              <w:rPr>
                <w:rFonts w:ascii="仿宋" w:eastAsia="仿宋" w:hAnsi="仿宋" w:cs="仿宋" w:hint="eastAsia"/>
                <w:sz w:val="24"/>
                <w:szCs w:val="24"/>
              </w:rPr>
              <w:t>8%RH（&gt;80%）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（5）三维超声波风传感器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w:t>
            </w:r>
            <w:r>
              <w:rPr>
                <w:rFonts w:ascii="仿宋" w:eastAsia="仿宋" w:hAnsi="仿宋" w:cs="仿宋" w:hint="eastAsia"/>
                <w:sz w:val="24"/>
                <w:szCs w:val="24"/>
              </w:rPr>
              <w:br/>
            </w:r>
            <w:r>
              <w:rPr>
                <w:rFonts w:ascii="仿宋" w:eastAsia="仿宋" w:hAnsi="仿宋" w:cs="仿宋" w:hint="eastAsia"/>
                <w:sz w:val="24"/>
                <w:szCs w:val="24"/>
              </w:rPr>
              <w:t>风向：方位角：0</w:t>
            </w:r>
            <w:r>
              <w:rPr>
                <w:rFonts w:ascii="仿宋" w:eastAsia="仿宋" w:hAnsi="仿宋" w:cs="仿宋" w:hint="eastAsia"/>
                <w:color w:val="000000"/>
                <w:sz w:val="24"/>
                <w:szCs w:val="24"/>
              </w:rPr>
              <w:t>～</w:t>
            </w:r>
            <w:r>
              <w:rPr>
                <w:rFonts w:ascii="仿宋" w:eastAsia="仿宋" w:hAnsi="仿宋" w:cs="仿宋" w:hint="eastAsia"/>
                <w:sz w:val="24"/>
                <w:szCs w:val="24"/>
              </w:rPr>
              <w:t>360</w:t>
            </w:r>
            <w:r>
              <w:rPr>
                <w:rFonts w:ascii="仿宋" w:eastAsia="仿宋" w:hAnsi="仿宋" w:cs="仿宋" w:hint="eastAsia"/>
                <w:sz w:val="24"/>
                <w:szCs w:val="24"/>
              </w:rPr>
              <w:t>°</w:t>
            </w:r>
            <w:r>
              <w:rPr>
                <w:rFonts w:ascii="仿宋" w:eastAsia="仿宋" w:hAnsi="仿宋" w:cs="仿宋" w:hint="eastAsia"/>
                <w:sz w:val="24"/>
                <w:szCs w:val="24"/>
              </w:rPr>
              <w:t>；仰角：-90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90</w:t>
            </w:r>
            <w:r>
              <w:rPr>
                <w:rFonts w:ascii="仿宋" w:eastAsia="仿宋" w:hAnsi="仿宋" w:cs="仿宋" w:hint="eastAsia"/>
                <w:sz w:val="24"/>
                <w:szCs w:val="24"/>
              </w:rPr>
              <w:t>°</w:t>
            </w:r>
            <w:r>
              <w:rPr>
                <w:rFonts w:ascii="仿宋" w:eastAsia="仿宋" w:hAnsi="仿宋" w:cs="仿宋" w:hint="eastAsia"/>
                <w:sz w:val="24"/>
                <w:szCs w:val="24"/>
              </w:rPr>
              <w:br/>
            </w:r>
            <w:r>
              <w:rPr>
                <w:rFonts w:ascii="仿宋" w:eastAsia="仿宋" w:hAnsi="仿宋" w:cs="仿宋" w:hint="eastAsia"/>
                <w:sz w:val="24"/>
                <w:szCs w:val="24"/>
              </w:rPr>
              <w:t>水平风速：0m/s～40m/s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垂直风速：0m/s～8m/s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#b）分辨力：</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风向：1</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风速：0.1m/s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电压：DC(24</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g）接口标准：RS-232或RS-485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（6）四分量辐射传感器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长波辐射表：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b）不稳定性：</w:t>
            </w:r>
            <w:r>
              <w:rPr>
                <w:rFonts w:ascii="仿宋" w:eastAsia="仿宋" w:hAnsi="仿宋" w:cs="仿宋" w:hint="eastAsia"/>
                <w:sz w:val="24"/>
                <w:szCs w:val="24"/>
              </w:rPr>
              <w:t>±</w:t>
            </w:r>
            <w:r>
              <w:rPr>
                <w:rFonts w:ascii="仿宋" w:eastAsia="仿宋" w:hAnsi="仿宋" w:cs="仿宋" w:hint="eastAsia"/>
                <w:sz w:val="24"/>
                <w:szCs w:val="24"/>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c）灵敏度：</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μ</w:t>
            </w:r>
            <w:r>
              <w:rPr>
                <w:rFonts w:ascii="仿宋" w:eastAsia="仿宋" w:hAnsi="仿宋" w:cs="仿宋"/>
                <w:sz w:val="24"/>
                <w:szCs w:val="24"/>
              </w:rPr>
              <w:t>V</w:t>
            </w:r>
            <w:r>
              <w:rPr>
                <w:rFonts w:ascii="Cambria Math" w:eastAsia="仿宋" w:hAnsi="Cambria Math" w:cs="Cambria Math"/>
                <w:sz w:val="24"/>
                <w:szCs w:val="24"/>
              </w:rPr>
              <w:t>∙</w:t>
            </w:r>
            <w:r>
              <w:rPr>
                <w:rFonts w:ascii="仿宋" w:eastAsia="仿宋" w:hAnsi="仿宋" w:cs="仿宋"/>
                <w:sz w:val="24"/>
                <w:szCs w:val="24"/>
              </w:rPr>
              <w:t>W</w:t>
            </w:r>
            <w:r>
              <w:rPr>
                <w:rFonts w:ascii="仿宋" w:eastAsia="仿宋" w:hAnsi="仿宋" w:cs="仿宋"/>
                <w:sz w:val="24"/>
                <w:szCs w:val="24"/>
                <w:vertAlign w:val="superscript"/>
              </w:rPr>
              <w:t>-1</w:t>
            </w:r>
            <w:r>
              <w:rPr>
                <w:rFonts w:ascii="Cambria Math" w:eastAsia="仿宋" w:hAnsi="Cambria Math" w:cs="Cambria Math"/>
                <w:sz w:val="24"/>
                <w:szCs w:val="24"/>
                <w:vertAlign w:val="superscript"/>
              </w:rPr>
              <w:t>∙</w:t>
            </w:r>
            <w:r>
              <w:rPr>
                <w:rFonts w:ascii="仿宋" w:eastAsia="仿宋" w:hAnsi="仿宋" w:cs="仿宋"/>
                <w:sz w:val="24"/>
                <w:szCs w:val="24"/>
              </w:rPr>
              <w:t>m</w:t>
            </w:r>
            <w:r>
              <w:rPr>
                <w:rFonts w:ascii="仿宋" w:eastAsia="仿宋" w:hAnsi="仿宋" w:cs="仿宋"/>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短波辐射表：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b）方向性相应误差：</w:t>
            </w:r>
            <w:r>
              <w:rPr>
                <w:rFonts w:ascii="仿宋" w:eastAsia="仿宋" w:hAnsi="仿宋" w:cs="仿宋" w:hint="eastAsia"/>
                <w:sz w:val="24"/>
                <w:szCs w:val="24"/>
              </w:rPr>
              <w:t>≤</w:t>
            </w:r>
            <w:r>
              <w:rPr>
                <w:rFonts w:ascii="仿宋" w:eastAsia="仿宋" w:hAnsi="仿宋" w:cs="仿宋" w:hint="eastAsia"/>
                <w:sz w:val="24"/>
                <w:szCs w:val="24"/>
              </w:rPr>
              <w:t>30W/m</w:t>
            </w:r>
            <w:r>
              <w:rPr>
                <w:rFonts w:ascii="仿宋" w:eastAsia="仿宋" w:hAnsi="仿宋" w:cs="仿宋" w:hint="eastAsia"/>
                <w:sz w:val="24"/>
                <w:szCs w:val="24"/>
                <w:vertAlign w:val="superscript"/>
              </w:rPr>
              <w:t>2</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pt;height:1pt">
                  <v:imagedata r:id="rId6"/>
                </v:shape>
              </w:pic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c）温度响应：</w:t>
            </w:r>
            <w:r>
              <w:rPr>
                <w:rFonts w:ascii="仿宋" w:eastAsia="仿宋" w:hAnsi="仿宋" w:cs="仿宋" w:hint="eastAsia"/>
                <w:sz w:val="24"/>
                <w:szCs w:val="24"/>
              </w:rPr>
              <w:t>≤</w:t>
            </w:r>
            <w:r>
              <w:rPr>
                <w:rFonts w:ascii="仿宋" w:eastAsia="仿宋" w:hAnsi="仿宋" w:cs="仿宋" w:hint="eastAsia"/>
                <w:sz w:val="24"/>
                <w:szCs w:val="24"/>
              </w:rPr>
              <w:t>8%</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g）四分量辐射传感器总功率：</w:t>
            </w:r>
            <w:r>
              <w:rPr>
                <w:rFonts w:ascii="仿宋" w:eastAsia="仿宋" w:hAnsi="仿宋" w:cs="仿宋" w:hint="eastAsia"/>
                <w:sz w:val="24"/>
                <w:szCs w:val="24"/>
              </w:rPr>
              <w:t>≤</w:t>
            </w:r>
            <w:r>
              <w:rPr>
                <w:rFonts w:ascii="仿宋" w:eastAsia="仿宋" w:hAnsi="仿宋" w:cs="仿宋" w:hint="eastAsia"/>
                <w:sz w:val="24"/>
                <w:szCs w:val="24"/>
              </w:rPr>
              <w:t>1.2W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依据《GB/T19565-2017总辐射表》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依据《GB/T33701-2017长波辐射表》</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（7）净辐射传感器（选配）</w:t>
            </w:r>
          </w:p>
          <w:p>
            <w:pPr>
              <w:rPr>
                <w:rFonts w:ascii="仿宋" w:eastAsia="仿宋" w:hAnsi="仿宋" w:cs="仿宋" w:hint="eastAsia"/>
              </w:rPr>
            </w:pPr>
            <w:r>
              <w:rPr>
                <w:rFonts w:ascii="仿宋" w:eastAsia="仿宋" w:hAnsi="仿宋" w:cs="仿宋" w:hint="eastAsia"/>
                <w:sz w:val="24"/>
              </w:rPr>
              <w:t>净辐射传感器性能符合下列要求：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a）响应时间：</w:t>
            </w:r>
            <w:r>
              <w:rPr>
                <w:rFonts w:ascii="仿宋" w:eastAsia="仿宋" w:hAnsi="仿宋" w:cs="仿宋" w:hint="eastAsia"/>
                <w:sz w:val="24"/>
                <w:szCs w:val="24"/>
              </w:rPr>
              <w:t>≤</w:t>
            </w:r>
            <w:r>
              <w:rPr>
                <w:rFonts w:ascii="仿宋" w:eastAsia="仿宋" w:hAnsi="仿宋" w:cs="仿宋" w:hint="eastAsia"/>
                <w:sz w:val="24"/>
                <w:szCs w:val="24"/>
              </w:rPr>
              <w:t>90s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b）温度响应（-10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+40</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10%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（8）土壤热通量传感器</w:t>
            </w:r>
          </w:p>
          <w:p>
            <w:pPr>
              <w:rPr>
                <w:rFonts w:ascii="仿宋" w:eastAsia="仿宋" w:hAnsi="仿宋" w:cs="仿宋" w:hint="eastAsia"/>
              </w:rPr>
            </w:pPr>
            <w:r>
              <w:rPr>
                <w:rFonts w:ascii="仿宋" w:eastAsia="仿宋" w:hAnsi="仿宋" w:cs="仿宋" w:hint="eastAsia"/>
                <w:sz w:val="24"/>
              </w:rPr>
              <w:t>土壤热通量传感器性能符合下列要求：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a）测量范围：-800W/m</w:t>
            </w:r>
            <w:r>
              <w:rPr>
                <w:rFonts w:ascii="仿宋" w:eastAsia="仿宋" w:hAnsi="仿宋" w:cs="仿宋" w:hint="eastAsia"/>
                <w:sz w:val="24"/>
                <w:szCs w:val="24"/>
                <w:vertAlign w:val="superscript"/>
              </w:rPr>
              <w:t>2</w:t>
            </w:r>
            <w:r>
              <w:rPr>
                <w:rFonts w:ascii="仿宋" w:eastAsia="仿宋" w:hAnsi="仿宋" w:cs="仿宋" w:hint="eastAsia"/>
                <w:color w:val="000000"/>
                <w:sz w:val="24"/>
                <w:szCs w:val="24"/>
              </w:rPr>
              <w:t>～</w:t>
            </w:r>
            <w:r>
              <w:rPr>
                <w:rFonts w:ascii="仿宋" w:eastAsia="仿宋" w:hAnsi="仿宋" w:cs="仿宋" w:hint="eastAsia"/>
                <w:sz w:val="24"/>
                <w:szCs w:val="24"/>
              </w:rPr>
              <w:t>800W/m</w:t>
            </w:r>
            <w:r>
              <w:rPr>
                <w:rFonts w:ascii="仿宋" w:eastAsia="仿宋" w:hAnsi="仿宋" w:cs="仿宋" w:hint="eastAsia"/>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b）灵敏度范围：5.0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12.0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～60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rPr>
                <w:rFonts w:ascii="仿宋" w:eastAsia="仿宋" w:hAnsi="仿宋" w:cs="仿宋" w:hint="eastAsia"/>
                <w:bCs/>
              </w:rPr>
            </w:pPr>
            <w:r>
              <w:rPr>
                <w:rFonts w:ascii="仿宋" w:eastAsia="仿宋" w:hAnsi="仿宋" w:cs="仿宋" w:hint="eastAsia"/>
                <w:bCs/>
                <w:sz w:val="24"/>
              </w:rPr>
              <w:t>（9）数据采集器</w:t>
            </w:r>
          </w:p>
          <w:p>
            <w:pPr>
              <w:rPr>
                <w:rFonts w:ascii="仿宋" w:eastAsia="仿宋" w:hAnsi="仿宋" w:cs="仿宋" w:hint="eastAsia"/>
              </w:rPr>
            </w:pPr>
            <w:r>
              <w:rPr>
                <w:rFonts w:ascii="仿宋" w:eastAsia="仿宋" w:hAnsi="仿宋" w:cs="仿宋" w:hint="eastAsia"/>
                <w:sz w:val="24"/>
              </w:rPr>
              <w:t>a）与传感器时钟最大允许误差：</w:t>
            </w:r>
            <w:r>
              <w:rPr>
                <w:rFonts w:ascii="仿宋" w:eastAsia="仿宋" w:hAnsi="仿宋" w:cs="仿宋" w:hint="eastAsia"/>
                <w:sz w:val="24"/>
              </w:rPr>
              <w:t>±</w:t>
            </w:r>
            <w:r>
              <w:rPr>
                <w:rFonts w:ascii="仿宋" w:eastAsia="仿宋" w:hAnsi="仿宋" w:cs="仿宋" w:hint="eastAsia"/>
                <w:sz w:val="24"/>
              </w:rPr>
              <w:t>15s（月累计）；对通信命令的响应延迟不超过1秒。</w:t>
            </w:r>
          </w:p>
          <w:p>
            <w:pPr>
              <w:rPr>
                <w:rFonts w:ascii="仿宋" w:eastAsia="仿宋" w:hAnsi="仿宋" w:cs="仿宋" w:hint="eastAsia"/>
              </w:rPr>
            </w:pPr>
            <w:r>
              <w:rPr>
                <w:rFonts w:ascii="仿宋" w:eastAsia="仿宋" w:hAnsi="仿宋" w:cs="仿宋" w:hint="eastAsia"/>
                <w:sz w:val="24"/>
                <w:highlight w:val="yellow"/>
              </w:rPr>
              <w:t>#b）数据采集器功率：</w:t>
            </w:r>
            <w:r>
              <w:rPr>
                <w:rFonts w:ascii="仿宋" w:eastAsia="仿宋" w:hAnsi="仿宋" w:cs="仿宋" w:hint="eastAsia"/>
                <w:sz w:val="24"/>
                <w:highlight w:val="yellow"/>
              </w:rPr>
              <w:t>≤</w:t>
            </w:r>
            <w:r>
              <w:rPr>
                <w:rFonts w:ascii="仿宋" w:eastAsia="仿宋" w:hAnsi="仿宋" w:cs="仿宋" w:hint="eastAsia"/>
                <w:sz w:val="24"/>
                <w:highlight w:val="yellow"/>
              </w:rPr>
              <w:t>10W</w:t>
            </w:r>
          </w:p>
          <w:p>
            <w:pPr>
              <w:rPr>
                <w:rFonts w:ascii="仿宋" w:eastAsia="仿宋" w:hAnsi="仿宋" w:cs="仿宋" w:hint="eastAsia"/>
                <w:bCs/>
              </w:rPr>
            </w:pPr>
            <w:r>
              <w:rPr>
                <w:rFonts w:ascii="仿宋" w:eastAsia="仿宋" w:hAnsi="仿宋" w:cs="仿宋" w:hint="eastAsia"/>
                <w:bCs/>
                <w:sz w:val="24"/>
              </w:rPr>
              <w:t>（10）通信系统</w:t>
            </w:r>
          </w:p>
          <w:p>
            <w:pPr>
              <w:rPr>
                <w:rFonts w:ascii="仿宋" w:eastAsia="仿宋" w:hAnsi="仿宋" w:cs="仿宋" w:hint="eastAsia"/>
              </w:rPr>
            </w:pPr>
            <w:r>
              <w:rPr>
                <w:rFonts w:ascii="仿宋" w:eastAsia="仿宋" w:hAnsi="仿宋" w:cs="仿宋" w:hint="eastAsia"/>
                <w:sz w:val="24"/>
              </w:rPr>
              <w:t>与数据采集器以RS-232/RS-485进行连接，可实现无线或有线传输和组网。</w:t>
            </w:r>
          </w:p>
          <w:p>
            <w:pPr>
              <w:rPr>
                <w:rFonts w:ascii="仿宋" w:eastAsia="仿宋" w:hAnsi="仿宋" w:cs="仿宋" w:hint="eastAsia"/>
                <w:bCs/>
              </w:rPr>
            </w:pPr>
            <w:r>
              <w:rPr>
                <w:rFonts w:ascii="仿宋" w:eastAsia="仿宋" w:hAnsi="仿宋" w:cs="仿宋" w:hint="eastAsia"/>
                <w:bCs/>
                <w:sz w:val="24"/>
              </w:rPr>
              <w:t>（11）供电系统</w:t>
            </w:r>
          </w:p>
          <w:p>
            <w:pPr>
              <w:rPr>
                <w:rFonts w:ascii="仿宋" w:eastAsia="仿宋" w:hAnsi="仿宋" w:cs="仿宋" w:hint="eastAsia"/>
              </w:rPr>
            </w:pPr>
            <w:r>
              <w:rPr>
                <w:rFonts w:ascii="仿宋" w:eastAsia="仿宋" w:hAnsi="仿宋" w:cs="仿宋" w:hint="eastAsia"/>
                <w:sz w:val="24"/>
              </w:rPr>
              <w:t>采用标称12V的免维护蓄电池为系统供电，并支持交流电源以及太阳能等为蓄电池充电。蓄电池在脱离辅助电源的条件下可连续工作7天。</w:t>
            </w:r>
          </w:p>
          <w:p>
            <w:pPr>
              <w:rPr>
                <w:rFonts w:ascii="仿宋" w:eastAsia="仿宋" w:hAnsi="仿宋" w:cs="仿宋" w:hint="eastAsia"/>
              </w:rPr>
            </w:pPr>
            <w:r>
              <w:rPr>
                <w:rFonts w:ascii="仿宋" w:eastAsia="仿宋" w:hAnsi="仿宋" w:cs="仿宋" w:hint="eastAsia"/>
                <w:sz w:val="24"/>
              </w:rPr>
              <w:t>设备总功耗在传感器不开启加热的情况下不大于28W。</w:t>
            </w:r>
          </w:p>
          <w:p>
            <w:pPr>
              <w:rPr>
                <w:rFonts w:ascii="仿宋" w:eastAsia="仿宋" w:hAnsi="仿宋" w:cs="仿宋" w:hint="eastAsia"/>
                <w:bCs/>
              </w:rPr>
            </w:pPr>
            <w:r>
              <w:rPr>
                <w:rFonts w:ascii="仿宋" w:eastAsia="仿宋" w:hAnsi="仿宋" w:cs="仿宋" w:hint="eastAsia"/>
                <w:bCs/>
                <w:sz w:val="24"/>
              </w:rPr>
              <w:t>（12）配套设备</w:t>
            </w:r>
          </w:p>
          <w:p>
            <w:pPr>
              <w:rPr>
                <w:rFonts w:ascii="仿宋" w:eastAsia="仿宋" w:hAnsi="仿宋" w:cs="仿宋" w:hint="eastAsia"/>
              </w:rPr>
            </w:pPr>
            <w:r>
              <w:rPr>
                <w:rFonts w:ascii="仿宋" w:eastAsia="仿宋" w:hAnsi="仿宋" w:cs="仿宋" w:hint="eastAsia"/>
                <w:sz w:val="24"/>
              </w:rPr>
              <w:t>标配为两座10米观测塔，结合场地条件，根据地形选择不同规格的铁塔。铁塔爬梯需设置在铁塔内部，保证安装人员安全。</w:t>
            </w:r>
          </w:p>
          <w:p>
            <w:pPr>
              <w:pStyle w:val="a2"/>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铁塔上设置与铁塔相绝缘的避雷针，避雷针引下线入地位置必须单独制作垂直接地体；除特殊（高山、海岛）地域外，观测场地网和接地体的接地电阻不宜大于4</w:t>
            </w:r>
            <w:r>
              <w:rPr>
                <w:rFonts w:ascii="仿宋" w:eastAsia="仿宋" w:hAnsi="仿宋" w:cs="仿宋" w:hint="eastAsia"/>
                <w:sz w:val="24"/>
                <w:szCs w:val="24"/>
              </w:rPr>
              <w:t>Ω</w:t>
            </w:r>
            <w:r>
              <w:rPr>
                <w:rFonts w:ascii="仿宋" w:eastAsia="仿宋" w:hAnsi="仿宋" w:cs="仿宋" w:hint="eastAsia"/>
                <w:sz w:val="24"/>
                <w:szCs w:val="24"/>
                <w:lang w:eastAsia="zh-CN"/>
              </w:rPr>
              <w:t>。</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3.2算法要求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供应商提供的设备嵌入式软件采用国家级业务数据处理算法。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3.3数据要求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供应商提供的设备传输数据能够接入国家级业务运行平台。</w:t>
      </w:r>
    </w:p>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1164"/>
        <w:gridCol w:w="734"/>
        <w:gridCol w:w="1020"/>
        <w:gridCol w:w="1164"/>
        <w:gridCol w:w="734"/>
        <w:gridCol w:w="3298"/>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蒸散量观测系统</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9,260,000.00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含设备 8 年质保、基础建设、测试、选址、运输、安装调试</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9,260,000.00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84"/>
        <w:gridCol w:w="1783"/>
        <w:gridCol w:w="738"/>
        <w:gridCol w:w="284"/>
        <w:gridCol w:w="647"/>
        <w:gridCol w:w="539"/>
        <w:gridCol w:w="738"/>
        <w:gridCol w:w="350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省大探中心(001041017)</w:t>
            </w:r>
          </w:p>
        </w:tc>
        <w:tc>
          <w:tcPr/>
          <w:p>
            <w:r>
              <w:t>蒸散量观测系统</w:t>
            </w:r>
          </w:p>
        </w:tc>
        <w:tc>
          <w:tcPr/>
          <w:p>
            <w:r>
              <w:t>2</w:t>
            </w:r>
          </w:p>
        </w:tc>
        <w:tc>
          <w:tcPr/>
          <w:p>
            <w:r>
              <w:t>2350000.00</w:t>
            </w:r>
          </w:p>
        </w:tc>
        <w:tc>
          <w:tcPr>
            <w:vMerge w:val="restart"/>
          </w:tcPr>
          <w:p>
            <w:r>
              <w:t xml:space="preserve">2350000.00  </w:t>
            </w:r>
          </w:p>
        </w:tc>
        <w:tc>
          <w:tcPr/>
          <w:p>
            <w:r>
              <w:t>龙游、庆元</w:t>
            </w:r>
          </w:p>
        </w:tc>
        <w:tc>
          <w:tcPr/>
          <w:p>
            <w:r>
              <w:t>采购人全称：浙江省大气探测技术保障中心，联系人：王明明18268153689</w:t>
            </w:r>
          </w:p>
        </w:tc>
      </w:tr>
      <w:tr>
        <w:tblPrEx>
          <w:tblW w:w="5000" w:type="pct"/>
          <w:tblCellMar>
            <w:left w:w="108" w:type="dxa"/>
            <w:right w:w="108" w:type="dxa"/>
          </w:tblCellMar>
        </w:tblPrEx>
        <w:tc>
          <w:tcPr/>
          <w:p>
            <w:r>
              <w:t>2</w:t>
            </w:r>
          </w:p>
        </w:tc>
        <w:tc>
          <w:tcPr/>
          <w:p>
            <w:r>
              <w:t>南宁市局(001049031)</w:t>
            </w:r>
          </w:p>
        </w:tc>
        <w:tc>
          <w:tcPr/>
          <w:p>
            <w:r>
              <w:t>蒸散量观测系统</w:t>
            </w:r>
          </w:p>
        </w:tc>
        <w:tc>
          <w:tcPr/>
          <w:p>
            <w:r>
              <w:t>1</w:t>
            </w:r>
          </w:p>
        </w:tc>
        <w:tc>
          <w:tcPr/>
          <w:p>
            <w:r>
              <w:t>1150000.00</w:t>
            </w:r>
          </w:p>
        </w:tc>
        <w:tc>
          <w:tcPr/>
          <w:p>
            <w:r>
              <w:t xml:space="preserve">1150000.00 </w:t>
            </w:r>
          </w:p>
        </w:tc>
        <w:tc>
          <w:tcPr/>
          <w:p>
            <w:r>
              <w:t>南宁</w:t>
            </w:r>
          </w:p>
        </w:tc>
        <w:tc>
          <w:tcPr/>
          <w:p>
            <w:r>
              <w:t>采购人全称：南宁市气象局，联系人：叶骏菲13978860934</w:t>
            </w:r>
          </w:p>
        </w:tc>
      </w:tr>
      <w:tr>
        <w:tblPrEx>
          <w:tblW w:w="5000" w:type="pct"/>
          <w:tblCellMar>
            <w:left w:w="108" w:type="dxa"/>
            <w:right w:w="108" w:type="dxa"/>
          </w:tblCellMar>
        </w:tblPrEx>
        <w:tc>
          <w:tcPr/>
          <w:p>
            <w:r>
              <w:t>3</w:t>
            </w:r>
          </w:p>
        </w:tc>
        <w:tc>
          <w:tcPr/>
          <w:p>
            <w:r>
              <w:t>信息中心(001051012)</w:t>
            </w:r>
          </w:p>
        </w:tc>
        <w:tc>
          <w:tcPr/>
          <w:p>
            <w:r>
              <w:t>蒸散量观测系统</w:t>
            </w:r>
          </w:p>
        </w:tc>
        <w:tc>
          <w:tcPr/>
          <w:p>
            <w:r>
              <w:t>1</w:t>
            </w:r>
          </w:p>
        </w:tc>
        <w:tc>
          <w:tcPr/>
          <w:p>
            <w:r>
              <w:t>1150000.00</w:t>
            </w:r>
          </w:p>
        </w:tc>
        <w:tc>
          <w:tcPr/>
          <w:p>
            <w:r>
              <w:t xml:space="preserve">1150000.00  </w:t>
            </w:r>
          </w:p>
        </w:tc>
        <w:tc>
          <w:tcPr/>
          <w:p>
            <w:r>
              <w:t>重庆</w:t>
            </w:r>
          </w:p>
        </w:tc>
        <w:tc>
          <w:tcPr/>
          <w:p>
            <w:r>
              <w:t>采购人全称：重庆市气象信息与技术保障中心，联系人：鲁小平13618332977</w:t>
            </w:r>
          </w:p>
        </w:tc>
      </w:tr>
      <w:tr>
        <w:tblPrEx>
          <w:tblW w:w="5000" w:type="pct"/>
          <w:tblCellMar>
            <w:left w:w="108" w:type="dxa"/>
            <w:right w:w="108" w:type="dxa"/>
          </w:tblCellMar>
        </w:tblPrEx>
        <w:tc>
          <w:tcPr/>
          <w:p>
            <w:r>
              <w:t>4</w:t>
            </w:r>
          </w:p>
        </w:tc>
        <w:tc>
          <w:tcPr/>
          <w:p>
            <w:r>
              <w:t>云南省大气探测技术保障中心(001053018)</w:t>
            </w:r>
          </w:p>
        </w:tc>
        <w:tc>
          <w:tcPr/>
          <w:p>
            <w:r>
              <w:t>蒸散量观测系统</w:t>
            </w:r>
          </w:p>
        </w:tc>
        <w:tc>
          <w:tcPr/>
          <w:p>
            <w:r>
              <w:t>1</w:t>
            </w:r>
          </w:p>
        </w:tc>
        <w:tc>
          <w:tcPr/>
          <w:p>
            <w:r>
              <w:t>1160000.00</w:t>
            </w:r>
          </w:p>
        </w:tc>
        <w:tc>
          <w:tcPr/>
          <w:p>
            <w:r>
              <w:t xml:space="preserve">1160000.00 </w:t>
            </w:r>
          </w:p>
        </w:tc>
        <w:tc>
          <w:tcPr/>
          <w:p>
            <w:r>
              <w:t>腾冲</w:t>
            </w:r>
          </w:p>
        </w:tc>
        <w:tc>
          <w:tcPr/>
          <w:p>
            <w:r>
              <w:t>采购人全称：云南省大气探测技术保障中心，联系人：解莉燕13888465113</w:t>
            </w:r>
          </w:p>
        </w:tc>
      </w:tr>
      <w:tr>
        <w:tblPrEx>
          <w:tblW w:w="5000" w:type="pct"/>
          <w:tblCellMar>
            <w:left w:w="108" w:type="dxa"/>
            <w:right w:w="108" w:type="dxa"/>
          </w:tblCellMar>
        </w:tblPrEx>
        <w:tc>
          <w:tcPr/>
          <w:p>
            <w:r>
              <w:t>5</w:t>
            </w:r>
          </w:p>
        </w:tc>
        <w:tc>
          <w:tcPr/>
          <w:p>
            <w:r>
              <w:t>探测中心(001055018)</w:t>
            </w:r>
          </w:p>
        </w:tc>
        <w:tc>
          <w:tcPr/>
          <w:p>
            <w:r>
              <w:t>蒸散量观测系统</w:t>
            </w:r>
          </w:p>
        </w:tc>
        <w:tc>
          <w:tcPr/>
          <w:p>
            <w:r>
              <w:t>1</w:t>
            </w:r>
          </w:p>
        </w:tc>
        <w:tc>
          <w:tcPr/>
          <w:p>
            <w:r>
              <w:t>1150000.00</w:t>
            </w:r>
          </w:p>
        </w:tc>
        <w:tc>
          <w:tcPr/>
          <w:p>
            <w:r>
              <w:t xml:space="preserve">1150000.00  </w:t>
            </w:r>
          </w:p>
        </w:tc>
        <w:tc>
          <w:tcPr/>
          <w:p>
            <w:r>
              <w:t>西安</w:t>
            </w:r>
          </w:p>
        </w:tc>
        <w:tc>
          <w:tcPr/>
          <w:p>
            <w:r>
              <w:t>采购人全称：陕西省大气探测技术保障中心，联系人：周瑶15009259013</w:t>
            </w:r>
          </w:p>
        </w:tc>
      </w:tr>
      <w:tr>
        <w:tblPrEx>
          <w:tblW w:w="5000" w:type="pct"/>
          <w:tblCellMar>
            <w:left w:w="108" w:type="dxa"/>
            <w:right w:w="108" w:type="dxa"/>
          </w:tblCellMar>
        </w:tblPrEx>
        <w:tc>
          <w:tcPr/>
          <w:p>
            <w:r>
              <w:t>6</w:t>
            </w:r>
          </w:p>
        </w:tc>
        <w:tc>
          <w:tcPr/>
          <w:p>
            <w:r>
              <w:t>装备保障中心(001059019)</w:t>
            </w:r>
          </w:p>
        </w:tc>
        <w:tc>
          <w:tcPr/>
          <w:p>
            <w:r>
              <w:t>蒸散量观测系统</w:t>
            </w:r>
          </w:p>
        </w:tc>
        <w:tc>
          <w:tcPr/>
          <w:p>
            <w:r>
              <w:t>2</w:t>
            </w:r>
          </w:p>
        </w:tc>
        <w:tc>
          <w:tcPr/>
          <w:p>
            <w:r>
              <w:t>2300000.00</w:t>
            </w:r>
          </w:p>
        </w:tc>
        <w:tc>
          <w:tcPr/>
          <w:p>
            <w:r>
              <w:t xml:space="preserve">2300000.00 </w:t>
            </w:r>
          </w:p>
        </w:tc>
        <w:tc>
          <w:tcPr/>
          <w:p>
            <w:r>
              <w:t>乌鲁木齐、肖塘</w:t>
            </w:r>
          </w:p>
        </w:tc>
        <w:tc>
          <w:tcPr/>
          <w:p>
            <w:r>
              <w:t>采购人全称：新疆维吾尔自治区气象技术装备保障中心；联系人：冯婉悦13809953585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hd w:val="clear" w:color="auto" w:fill="auto"/>
        <w:spacing w:line="560" w:lineRule="exact"/>
        <w:ind w:firstLine="720" w:firstLineChars="200"/>
        <w:jc w:val="center"/>
        <w:rPr>
          <w:rFonts w:ascii="仿宋" w:eastAsia="仿宋" w:hAnsi="仿宋" w:cs="仿宋"/>
          <w:b/>
          <w:sz w:val="28"/>
          <w:szCs w:val="20"/>
          <w:highlight w:val="none"/>
        </w:rPr>
      </w:pPr>
      <w:r>
        <w:rPr>
          <w:rFonts w:ascii="仿宋" w:eastAsia="仿宋" w:hAnsi="仿宋" w:cs="仿宋"/>
          <w:b/>
          <w:sz w:val="36"/>
          <w:szCs w:val="36"/>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highlight w:val="none"/>
        </w:rPr>
        <w:instrText>ADDIN CNKISM.UserStyle</w:instrText>
      </w:r>
      <w:r>
        <w:rPr>
          <w:rFonts w:ascii="仿宋" w:eastAsia="仿宋" w:hAnsi="仿宋" w:cs="仿宋"/>
          <w:b/>
          <w:sz w:val="36"/>
          <w:szCs w:val="36"/>
          <w:highlight w:val="none"/>
        </w:rPr>
        <w:fldChar w:fldCharType="separate"/>
      </w:r>
      <w:r>
        <w:rPr>
          <w:rFonts w:ascii="仿宋" w:eastAsia="仿宋" w:hAnsi="仿宋" w:cs="仿宋"/>
          <w:b/>
          <w:sz w:val="36"/>
          <w:szCs w:val="36"/>
          <w:highlight w:val="none"/>
        </w:rPr>
        <w:fldChar w:fldCharType="end"/>
      </w:r>
      <w:r>
        <w:rPr>
          <w:rFonts w:ascii="仿宋" w:eastAsia="仿宋" w:hAnsi="仿宋" w:cs="仿宋" w:hint="eastAsia"/>
          <w:b/>
          <w:sz w:val="36"/>
          <w:szCs w:val="36"/>
          <w:highlight w:val="none"/>
        </w:rPr>
        <w:t>采购需求（其他技术及商务需求）</w:t>
      </w:r>
    </w:p>
    <w:p>
      <w:pPr>
        <w:shd w:val="clear" w:color="auto" w:fill="auto"/>
        <w:spacing w:line="560" w:lineRule="exact"/>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一、项目概况及总体要求</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依据2025年生态观测站建设项目的要求，需在新疆、陕西等6省（市），建设8套蒸散量观测系统。该系统采用以大孔径闪烁仪和湍流度测试分析仪为主的蒸散设备观测，组成综合的蒸散观测系统，进行长期连续观测，获取能量平衡和蒸发量监测实时数据。</w:t>
      </w:r>
    </w:p>
    <w:p>
      <w:pPr>
        <w:shd w:val="clear" w:color="auto" w:fill="auto"/>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二、售后服务要求</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设备供应商需提供详细售后服务方案，包括设备售后服务组织机构、人员组成、技术支持文档等。其中，售后服务组织机构设置合理，人员技术能力强，技术文档内容全面。</w:t>
      </w:r>
    </w:p>
    <w:p>
      <w:pPr>
        <w:shd w:val="clear" w:color="auto" w:fill="auto"/>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三、培训要求</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24</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16</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p>
    <w:p>
      <w:pPr>
        <w:shd w:val="clear" w:color="auto" w:fill="auto"/>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四、交货要求及履约地点</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中标供应商将所有设备运送至乌鲁木齐、肖塘、西安、南宁、重庆、腾冲、龙游、庆元（运输相关费用由供应商负责），并负责安装调试。</w:t>
      </w:r>
    </w:p>
    <w:p>
      <w:pPr>
        <w:shd w:val="clear" w:color="auto" w:fill="auto"/>
        <w:ind w:firstLine="560" w:firstLineChars="200"/>
        <w:rPr>
          <w:rFonts w:ascii="仿宋" w:eastAsia="仿宋" w:hAnsi="仿宋" w:cs="仿宋"/>
          <w:b/>
          <w:bCs/>
          <w:sz w:val="28"/>
          <w:szCs w:val="20"/>
          <w:highlight w:val="none"/>
        </w:rPr>
      </w:pPr>
      <w:r>
        <w:rPr>
          <w:rFonts w:ascii="仿宋" w:eastAsia="仿宋" w:hAnsi="仿宋" w:cs="仿宋" w:hint="eastAsia"/>
          <w:sz w:val="28"/>
          <w:szCs w:val="20"/>
          <w:highlight w:val="none"/>
        </w:rPr>
        <w:t>合同签订后120天内交货，180天内完成安装调试并具备验收条件。</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五、服务团队要求</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hd w:val="clear" w:color="auto" w:fill="auto"/>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六、投标产品软件兼容性要求</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软件兼容性强，设备数据传输模式、数据格式、数据通讯协议满足中国气象局下发的相关要求，可无缝接入气象业务内网网络系统，实现与气象业务内网网络系统、天元、天衡天衍、天擎及省级业务平台无缝接入，完全符合甲方相关要求和规范，保证其系统的兼容性和功能的完整性。</w:t>
      </w:r>
    </w:p>
    <w:p>
      <w:pPr>
        <w:shd w:val="clear" w:color="auto" w:fill="auto"/>
        <w:ind w:firstLine="560" w:firstLineChars="200"/>
        <w:rPr>
          <w:rFonts w:ascii="仿宋" w:eastAsia="仿宋" w:hAnsi="仿宋" w:cs="仿宋"/>
          <w:sz w:val="28"/>
          <w:szCs w:val="20"/>
          <w:highlight w:val="none"/>
        </w:rPr>
      </w:pPr>
      <w:r>
        <w:rPr>
          <w:rFonts w:ascii="仿宋" w:eastAsia="仿宋" w:hAnsi="仿宋" w:cs="仿宋" w:hint="eastAsia"/>
          <w:b/>
          <w:bCs/>
          <w:sz w:val="28"/>
          <w:szCs w:val="20"/>
          <w:highlight w:val="none"/>
        </w:rPr>
        <w:t>七、其他</w:t>
      </w:r>
    </w:p>
    <w:p>
      <w:pPr>
        <w:shd w:val="clear" w:color="auto" w:fill="auto"/>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873354">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873354">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873354">
            <w:pPr>
              <w:rPr>
                <w:sz w:val="18"/>
                <w:szCs w:val="18"/>
              </w:rPr>
            </w:pPr>
            <w:r>
              <w:rPr>
                <w:rFonts w:hint="eastAsia"/>
                <w:sz w:val="18"/>
                <w:szCs w:val="18"/>
              </w:rPr>
              <w:t>序号</w:t>
            </w:r>
          </w:p>
        </w:tc>
        <w:tc>
          <w:tcPr>
            <w:tcW w:w="898" w:type="dxa"/>
            <w:vAlign w:val="center"/>
          </w:tcPr>
          <w:p w:rsidR="00873354">
            <w:pPr>
              <w:jc w:val="center"/>
              <w:rPr>
                <w:sz w:val="18"/>
                <w:szCs w:val="18"/>
              </w:rPr>
            </w:pPr>
            <w:r>
              <w:rPr>
                <w:rFonts w:hint="eastAsia"/>
                <w:sz w:val="18"/>
                <w:szCs w:val="18"/>
              </w:rPr>
              <w:t>对应</w:t>
            </w:r>
          </w:p>
          <w:p w:rsidR="00873354">
            <w:pPr>
              <w:jc w:val="center"/>
              <w:rPr>
                <w:sz w:val="18"/>
                <w:szCs w:val="18"/>
              </w:rPr>
            </w:pPr>
            <w:r>
              <w:rPr>
                <w:rFonts w:hint="eastAsia"/>
                <w:sz w:val="18"/>
                <w:szCs w:val="18"/>
              </w:rPr>
              <w:t>条款号</w:t>
            </w:r>
          </w:p>
        </w:tc>
        <w:tc>
          <w:tcPr>
            <w:tcW w:w="7347" w:type="dxa"/>
            <w:vAlign w:val="center"/>
          </w:tcPr>
          <w:p w:rsidR="00873354">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873354">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873354">
            <w:pPr>
              <w:numPr>
                <w:ilvl w:val="0"/>
                <w:numId w:val="14"/>
              </w:numPr>
              <w:rPr>
                <w:rFonts w:ascii="宋体" w:hAnsi="宋体"/>
                <w:sz w:val="18"/>
                <w:szCs w:val="18"/>
              </w:rPr>
            </w:pPr>
          </w:p>
        </w:tc>
        <w:tc>
          <w:tcPr>
            <w:tcW w:w="898" w:type="dxa"/>
            <w:vAlign w:val="center"/>
          </w:tcPr>
          <w:p w:rsidR="00873354">
            <w:pPr>
              <w:jc w:val="center"/>
              <w:rPr>
                <w:rFonts w:ascii="宋体" w:hAnsi="宋体"/>
                <w:sz w:val="18"/>
                <w:szCs w:val="18"/>
              </w:rPr>
            </w:pPr>
            <w:r>
              <w:rPr>
                <w:rFonts w:hint="eastAsia"/>
                <w:szCs w:val="21"/>
              </w:rPr>
              <w:t>5.7</w:t>
            </w:r>
          </w:p>
        </w:tc>
        <w:tc>
          <w:tcPr>
            <w:tcW w:w="7347" w:type="dxa"/>
            <w:vAlign w:val="center"/>
          </w:tcPr>
          <w:p w:rsidR="00873354">
            <w:pPr>
              <w:rPr>
                <w:rFonts w:cs="微软雅黑"/>
                <w:b/>
                <w:color w:val="0000FF"/>
                <w:kern w:val="0"/>
                <w:sz w:val="18"/>
                <w:szCs w:val="18"/>
              </w:rPr>
            </w:pPr>
            <w:r>
              <w:rPr>
                <w:rFonts w:ascii="宋体" w:hAnsi="宋体" w:cs="微软雅黑" w:hint="eastAsia"/>
                <w:b/>
                <w:color w:val="0000FF"/>
                <w:kern w:val="0"/>
                <w:sz w:val="18"/>
                <w:szCs w:val="18"/>
              </w:rPr>
              <w:t>投标的货物必须取得《气象专用技术装备使用许可证》：蒸散量观测系统（红外闪烁法）</w:t>
            </w:r>
          </w:p>
        </w:tc>
      </w:tr>
      <w:tr>
        <w:tblPrEx>
          <w:tblW w:w="8789" w:type="dxa"/>
          <w:tblLayout w:type="fixed"/>
          <w:tblLook w:val="04A0"/>
        </w:tblPrEx>
        <w:trPr>
          <w:cantSplit/>
        </w:trPr>
        <w:tc>
          <w:tcPr>
            <w:tcW w:w="8789" w:type="dxa"/>
            <w:gridSpan w:val="3"/>
            <w:vAlign w:val="center"/>
          </w:tcPr>
          <w:p w:rsidR="00873354">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873354">
            <w:pPr>
              <w:numPr>
                <w:ilvl w:val="0"/>
                <w:numId w:val="14"/>
              </w:numPr>
              <w:rPr>
                <w:rFonts w:ascii="宋体" w:hAnsi="宋体"/>
                <w:sz w:val="18"/>
                <w:szCs w:val="18"/>
              </w:rPr>
            </w:pPr>
          </w:p>
        </w:tc>
        <w:tc>
          <w:tcPr>
            <w:tcW w:w="898" w:type="dxa"/>
            <w:vAlign w:val="center"/>
          </w:tcPr>
          <w:p w:rsidR="00873354">
            <w:pPr>
              <w:jc w:val="center"/>
              <w:rPr>
                <w:rFonts w:ascii="宋体" w:hAnsi="宋体"/>
                <w:sz w:val="18"/>
                <w:szCs w:val="18"/>
              </w:rPr>
            </w:pPr>
            <w:r>
              <w:rPr>
                <w:rFonts w:ascii="宋体" w:hAnsi="宋体" w:hint="eastAsia"/>
                <w:sz w:val="18"/>
                <w:szCs w:val="18"/>
              </w:rPr>
              <w:t>第七章第四部分质保服务要求</w:t>
            </w:r>
          </w:p>
        </w:tc>
        <w:tc>
          <w:tcPr>
            <w:tcW w:w="7347" w:type="dxa"/>
            <w:vAlign w:val="center"/>
          </w:tcPr>
          <w:p w:rsidR="00873354">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w:t>
            </w:r>
            <w:r>
              <w:rPr>
                <w:rFonts w:ascii="宋体" w:hAnsi="宋体" w:cs="微软雅黑" w:hint="eastAsia"/>
                <w:b/>
                <w:color w:val="0000FF"/>
                <w:kern w:val="0"/>
                <w:sz w:val="18"/>
                <w:szCs w:val="18"/>
              </w:rPr>
              <w:t>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年的质保服务</w:t>
            </w:r>
            <w:r>
              <w:rPr>
                <w:rFonts w:ascii="宋体" w:hAnsi="宋体" w:cs="微软雅黑" w:hint="eastAsia"/>
                <w:b/>
                <w:color w:val="0000FF"/>
                <w:kern w:val="0"/>
                <w:sz w:val="18"/>
                <w:szCs w:val="18"/>
              </w:rPr>
              <w:t>*</w:t>
            </w:r>
          </w:p>
        </w:tc>
      </w:tr>
    </w:tbl>
    <w:p w:rsidR="00873354">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双方签订合同后，7个工作日内，甲方向乙方支付合同总金额的85%，到货检验后，双方签订验收报告后，付款合同尾款15%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3354"/>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14">
    <w:name w:val="列表段落1"/>
    <w:basedOn w:val="Normal"/>
    <w:qFormat/>
    <w:pPr>
      <w:ind w:firstLine="420" w:firstLineChars="200"/>
    </w:pPr>
    <w:rPr>
      <w:rFonts w:ascii="Calibri" w:eastAsia="方正仿宋" w:hAnsi="Calibri"/>
      <w:sz w:val="32"/>
      <w:szCs w:val="21"/>
    </w:rPr>
  </w:style>
  <w:style w:type="paragraph" w:styleId="NormalIndent">
    <w:name w:val="Normal Indent"/>
    <w:basedOn w:val="Normal"/>
    <w:pPr>
      <w:ind w:firstLine="420"/>
    </w:pPr>
    <w:rPr>
      <w:rFonts w:eastAsia="方正仿宋"/>
      <w:sz w:val="32"/>
    </w:rPr>
  </w:style>
  <w:style w:type="paragraph" w:customStyle="1" w:styleId="5">
    <w:name w:val="样式5"/>
    <w:basedOn w:val="NormalIndent"/>
    <w:qFormat/>
    <w:pPr>
      <w:spacing w:beforeLines="50" w:afterLines="50" w:line="360" w:lineRule="auto"/>
      <w:ind w:left="856" w:right="-17"/>
    </w:pPr>
    <w:rPr>
      <w:sz w:val="28"/>
      <w:szCs w:val="28"/>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ADMINI~1/AppData/Local/Temp/ksohtml14700/wps4.jpg"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