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2025年站网雷达工程高精度温室气体浓度观测系统(大气N2O/CO高精度分析仪)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长三角环境气象预报预警中心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2025年站网雷达工程高精度温室气体浓度观测系统(大气N2O/CO高精度分析仪)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2025年12月04日 00:00:00</w:t>
      </w:r>
      <w:bookmarkEnd w:id="26"/>
      <w:r>
        <w:rPr>
          <w:rFonts w:ascii="宋体" w:hint="eastAsia"/>
          <w:szCs w:val="21"/>
          <w:highlight w:val="none"/>
        </w:rPr>
        <w:t>至</w:t>
      </w:r>
      <w:bookmarkStart w:id="27" w:name="项目公告_signUpLastTime"/>
      <w:r>
        <w:rPr>
          <w:rFonts w:ascii="宋体" w:hint="eastAsia"/>
          <w:szCs w:val="21"/>
          <w:highlight w:val="none"/>
        </w:rPr>
        <w:t>2025年12月10日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2025年12月26日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长三角环境气象预报预警中心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高伟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021-54896236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长三角环境气象预报预警中心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允许（仅针对以下产品：UPS允许代理商投标）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（1）标的：高精度温室气体（N2O/CO）浓度观测系统，属于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618.000000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618.000000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销售合同必须包括高精度温室气体（N2O/CO）浓度观测系统（光腔衰荡光谱法），每提供1份合同得1分，最多得5分。否则不得分。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针对本项目采购的高精度温室气体（N2O/CO）浓度观测系统（光腔衰荡光谱法），承诺每提前10天交货的得1分，最多得1分。否则不得分。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针对高精度温室气体（N2O/CO）浓度观测系统（光腔衰荡光谱法），每提供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N2O/CO）浓度观测系统（光腔衰荡光谱法），测试报告应涵盖浪涌（冲击）抗扰度、电快速瞬变脉冲群抗扰度、射频电磁场辐射抗扰度、射频场感应的传导骚扰抗扰度、静电放电抗扰度、低温贮存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w:t>
      </w:r>
      <w:r>
        <w:rPr>
          <w:rFonts w:eastAsia="仿宋"/>
          <w:sz w:val="28"/>
          <w:szCs w:val="20"/>
          <w:highlight w:val="none"/>
        </w:rPr>
        <w:t>总体要求</w:t>
      </w:r>
      <w:r>
        <w:rPr>
          <w:rFonts w:eastAsia="仿宋" w:hint="eastAsia"/>
          <w:sz w:val="28"/>
          <w:szCs w:val="20"/>
          <w:highlight w:val="none"/>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技术性能指标</w:t>
      </w:r>
    </w:p>
    <w:tbl>
      <w:tblPr>
        <w:tblStyle w:val="TableNormal"/>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9"/>
        <w:gridCol w:w="2791"/>
        <w:gridCol w:w="5721"/>
      </w:tblGrid>
      <w:tr>
        <w:tblPrEx>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tblHeader/>
          <w:jc w:val="center"/>
        </w:trPr>
        <w:tc>
          <w:tcPr>
            <w:tcW w:w="419"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序号</w:t>
            </w:r>
          </w:p>
        </w:tc>
        <w:tc>
          <w:tcPr>
            <w:tcW w:w="1502"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设备名称</w:t>
            </w:r>
          </w:p>
        </w:tc>
        <w:tc>
          <w:tcPr>
            <w:tcW w:w="3079" w:type="pct"/>
            <w:vAlign w:val="center"/>
          </w:tcPr>
          <w:p>
            <w:pPr>
              <w:widowControl/>
              <w:jc w:val="center"/>
              <w:rPr>
                <w:rFonts w:ascii="仿宋" w:eastAsia="仿宋" w:hAnsi="仿宋" w:cs="仿宋" w:hint="eastAsia"/>
                <w:b/>
                <w:bCs/>
                <w:color w:val="000000"/>
                <w:kern w:val="0"/>
              </w:rPr>
            </w:pPr>
            <w:r>
              <w:rPr>
                <w:rFonts w:ascii="仿宋" w:eastAsia="仿宋" w:hAnsi="仿宋" w:cs="仿宋" w:hint="eastAsia"/>
                <w:b/>
                <w:bCs/>
                <w:color w:val="000000"/>
                <w:kern w:val="0"/>
                <w:sz w:val="24"/>
              </w:rPr>
              <w:t>指标参数</w:t>
            </w:r>
          </w:p>
        </w:tc>
      </w:tr>
      <w:tr>
        <w:tblPrEx>
          <w:tblW w:w="5160" w:type="pct"/>
          <w:jc w:val="center"/>
          <w:tblCellMar>
            <w:top w:w="0" w:type="dxa"/>
            <w:left w:w="108" w:type="dxa"/>
            <w:bottom w:w="0" w:type="dxa"/>
            <w:right w:w="108" w:type="dxa"/>
          </w:tblCellMar>
        </w:tblPrEx>
        <w:trPr>
          <w:trHeight w:val="20"/>
          <w:jc w:val="center"/>
        </w:trPr>
        <w:tc>
          <w:tcPr>
            <w:tcW w:w="419" w:type="pct"/>
            <w:vAlign w:val="center"/>
          </w:tcPr>
          <w:p>
            <w:pPr>
              <w:widowControl/>
              <w:numPr>
                <w:ilvl w:val="0"/>
                <w:numId w:val="4"/>
              </w:numPr>
              <w:ind w:left="0" w:firstLine="0"/>
              <w:rPr>
                <w:rFonts w:ascii="仿宋" w:eastAsia="仿宋" w:hAnsi="仿宋" w:cs="仿宋" w:hint="eastAsia"/>
                <w:color w:val="000000"/>
              </w:rPr>
            </w:pPr>
          </w:p>
        </w:tc>
        <w:tc>
          <w:tcPr>
            <w:tcW w:w="1502" w:type="pct"/>
            <w:vAlign w:val="center"/>
          </w:tcPr>
          <w:p>
            <w:pPr>
              <w:widowControl/>
              <w:rPr>
                <w:rFonts w:ascii="仿宋" w:eastAsia="仿宋" w:hAnsi="仿宋" w:cs="仿宋" w:hint="eastAsia"/>
                <w:b/>
                <w:bCs/>
                <w:color w:val="000000"/>
                <w:kern w:val="0"/>
              </w:rPr>
            </w:pPr>
            <w:r>
              <w:rPr>
                <w:rFonts w:ascii="仿宋" w:eastAsia="仿宋" w:hAnsi="仿宋" w:cs="仿宋" w:hint="eastAsia"/>
                <w:color w:val="000000"/>
                <w:kern w:val="0"/>
                <w:sz w:val="24"/>
              </w:rPr>
              <w:t>高精度温室气体（N</w:t>
            </w:r>
            <w:r>
              <w:rPr>
                <w:rFonts w:ascii="仿宋" w:eastAsia="仿宋" w:hAnsi="仿宋" w:cs="仿宋" w:hint="eastAsia"/>
                <w:color w:val="000000"/>
                <w:kern w:val="0"/>
                <w:sz w:val="24"/>
                <w:vertAlign w:val="subscript"/>
              </w:rPr>
              <w:t>2</w:t>
            </w:r>
            <w:r>
              <w:rPr>
                <w:rFonts w:ascii="仿宋" w:eastAsia="仿宋" w:hAnsi="仿宋" w:cs="仿宋" w:hint="eastAsia"/>
                <w:color w:val="000000"/>
                <w:kern w:val="0"/>
                <w:sz w:val="24"/>
              </w:rPr>
              <w:t>O/CO）浓度观测系统（光腔衰荡光谱法）</w:t>
            </w:r>
          </w:p>
        </w:tc>
        <w:tc>
          <w:tcPr>
            <w:tcW w:w="3079" w:type="pct"/>
            <w:vAlign w:val="center"/>
          </w:tcPr>
          <w:p>
            <w:pPr>
              <w:numPr>
                <w:ilvl w:val="0"/>
                <w:numId w:val="5"/>
              </w:numPr>
              <w:rPr>
                <w:rFonts w:ascii="仿宋" w:eastAsia="仿宋" w:hAnsi="仿宋" w:cs="仿宋" w:hint="eastAsia"/>
                <w:b/>
                <w:bCs/>
                <w:color w:val="000000"/>
              </w:rPr>
            </w:pPr>
            <w:r>
              <w:rPr>
                <w:rFonts w:ascii="仿宋" w:eastAsia="仿宋" w:hAnsi="仿宋" w:cs="仿宋" w:hint="eastAsia"/>
                <w:b/>
                <w:bCs/>
                <w:color w:val="000000"/>
                <w:sz w:val="24"/>
              </w:rPr>
              <w:t>测量单元</w:t>
            </w:r>
          </w:p>
          <w:p>
            <w:pPr>
              <w:rPr>
                <w:rFonts w:ascii="仿宋" w:eastAsia="仿宋" w:hAnsi="仿宋" w:cs="仿宋"/>
                <w:b/>
                <w:bCs/>
                <w:color w:val="000000"/>
              </w:rPr>
            </w:pPr>
            <w:r>
              <w:rPr>
                <w:rFonts w:ascii="仿宋" w:eastAsia="仿宋" w:hAnsi="仿宋" w:cs="仿宋" w:hint="eastAsia"/>
                <w:b/>
                <w:bCs/>
                <w:color w:val="000000"/>
                <w:sz w:val="24"/>
              </w:rPr>
              <w:t xml:space="preserve">   </w:t>
            </w:r>
            <w:r>
              <w:rPr>
                <w:rFonts w:ascii="仿宋" w:eastAsia="仿宋" w:hAnsi="仿宋" w:cs="仿宋" w:hint="eastAsia"/>
                <w:sz w:val="24"/>
              </w:rPr>
              <w:t>包括主机和显示器。其中主机参数如下：</w:t>
            </w:r>
          </w:p>
          <w:p>
            <w:pPr>
              <w:rPr>
                <w:rFonts w:ascii="仿宋" w:eastAsia="仿宋" w:hAnsi="仿宋" w:cs="仿宋"/>
              </w:rPr>
            </w:pPr>
            <w:r>
              <w:rPr>
                <w:rFonts w:ascii="仿宋" w:eastAsia="仿宋" w:hAnsi="仿宋" w:cs="仿宋" w:hint="eastAsia"/>
                <w:sz w:val="24"/>
              </w:rPr>
              <w:t>量程</w:t>
            </w:r>
          </w:p>
          <w:p>
            <w:pPr>
              <w:rPr>
                <w:rFonts w:ascii="仿宋" w:eastAsia="仿宋" w:hAnsi="仿宋" w:cs="仿宋"/>
                <w:highlight w:val="yellow"/>
              </w:rPr>
            </w:pPr>
            <w:r>
              <w:rPr>
                <w:rFonts w:ascii="仿宋" w:eastAsia="仿宋" w:hAnsi="仿宋" w:cs="仿宋" w:hint="eastAsia"/>
                <w:sz w:val="24"/>
                <w:highlight w:val="yellow"/>
              </w:rPr>
              <w:t>#N</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O：1～1000ppb</w:t>
            </w:r>
          </w:p>
          <w:p>
            <w:pPr>
              <w:rPr>
                <w:rFonts w:ascii="仿宋" w:eastAsia="仿宋" w:hAnsi="仿宋" w:cs="仿宋" w:hint="eastAsia"/>
              </w:rPr>
            </w:pPr>
            <w:r>
              <w:rPr>
                <w:rFonts w:ascii="仿宋" w:eastAsia="仿宋" w:hAnsi="仿宋" w:cs="仿宋" w:hint="eastAsia"/>
                <w:sz w:val="24"/>
                <w:highlight w:val="yellow"/>
              </w:rPr>
              <w:t>#CO：1～1500ppb</w:t>
            </w:r>
          </w:p>
          <w:p>
            <w:pPr>
              <w:rPr>
                <w:rFonts w:ascii="仿宋" w:eastAsia="仿宋" w:hAnsi="仿宋" w:cs="仿宋"/>
              </w:rPr>
            </w:pPr>
            <w:r>
              <w:rPr>
                <w:rFonts w:ascii="仿宋" w:eastAsia="仿宋" w:hAnsi="仿宋" w:cs="仿宋" w:hint="eastAsia"/>
                <w:sz w:val="24"/>
              </w:rPr>
              <w:t>精度（1σ，5min）</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＜0.07</w:t>
            </w:r>
            <w:r>
              <w:rPr>
                <w:rFonts w:ascii="仿宋" w:eastAsia="仿宋" w:hAnsi="仿宋" w:cs="仿宋"/>
                <w:sz w:val="24"/>
                <w:highlight w:val="yellow"/>
              </w:rPr>
              <w:t>ppb(N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＜5</w:t>
            </w:r>
            <w:r>
              <w:rPr>
                <w:rFonts w:ascii="仿宋" w:eastAsia="仿宋" w:hAnsi="仿宋" w:cs="仿宋"/>
                <w:sz w:val="24"/>
                <w:highlight w:val="yellow"/>
              </w:rPr>
              <w:t>00ppb)</w:t>
            </w:r>
          </w:p>
          <w:p>
            <w:pPr>
              <w:rPr>
                <w:rFonts w:ascii="仿宋" w:eastAsia="仿宋" w:hAnsi="仿宋" w:cs="仿宋" w:hint="eastAsia"/>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＜0.5</w:t>
            </w:r>
            <w:r>
              <w:rPr>
                <w:rFonts w:ascii="仿宋" w:eastAsia="仿宋" w:hAnsi="仿宋" w:cs="仿宋"/>
                <w:sz w:val="24"/>
                <w:highlight w:val="yellow"/>
              </w:rPr>
              <w:t>ppb(CO</w:t>
            </w:r>
            <w:r>
              <w:rPr>
                <w:rFonts w:ascii="仿宋" w:eastAsia="仿宋" w:hAnsi="仿宋" w:cs="仿宋" w:hint="eastAsia"/>
                <w:sz w:val="24"/>
                <w:highlight w:val="yellow"/>
              </w:rPr>
              <w:t>＜</w:t>
            </w:r>
            <w:r>
              <w:rPr>
                <w:rFonts w:ascii="仿宋" w:eastAsia="仿宋" w:hAnsi="仿宋" w:cs="仿宋"/>
                <w:sz w:val="24"/>
                <w:highlight w:val="yellow"/>
              </w:rPr>
              <w:t>400ppb)</w:t>
            </w:r>
          </w:p>
          <w:p>
            <w:pPr>
              <w:rPr>
                <w:rFonts w:ascii="仿宋" w:eastAsia="仿宋" w:hAnsi="仿宋" w:cs="仿宋"/>
              </w:rPr>
            </w:pPr>
            <w:r>
              <w:rPr>
                <w:rFonts w:ascii="仿宋" w:eastAsia="仿宋" w:hAnsi="仿宋" w:cs="仿宋" w:hint="eastAsia"/>
                <w:sz w:val="24"/>
              </w:rPr>
              <w:t>漂移(标准温压下，24h， 1小时均值）</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sz w:val="24"/>
                <w:highlight w:val="yellow"/>
              </w:rPr>
              <w:t>N</w:t>
            </w:r>
            <w:r>
              <w:rPr>
                <w:rFonts w:ascii="仿宋" w:eastAsia="仿宋" w:hAnsi="仿宋" w:cs="仿宋"/>
                <w:sz w:val="24"/>
                <w:highlight w:val="yellow"/>
                <w:vertAlign w:val="subscript"/>
              </w:rPr>
              <w:t>2</w:t>
            </w:r>
            <w:r>
              <w:rPr>
                <w:rFonts w:ascii="仿宋" w:eastAsia="仿宋" w:hAnsi="仿宋" w:cs="仿宋"/>
                <w:sz w:val="24"/>
                <w:highlight w:val="yellow"/>
              </w:rPr>
              <w:t>O</w:t>
            </w:r>
            <w:r>
              <w:rPr>
                <w:rFonts w:ascii="仿宋" w:eastAsia="仿宋" w:hAnsi="仿宋" w:cs="仿宋" w:hint="eastAsia"/>
                <w:sz w:val="24"/>
                <w:highlight w:val="yellow"/>
              </w:rPr>
              <w:t>＜</w:t>
            </w:r>
            <w:r>
              <w:rPr>
                <w:rFonts w:ascii="仿宋" w:eastAsia="仿宋" w:hAnsi="仿宋" w:cs="仿宋"/>
                <w:sz w:val="24"/>
                <w:highlight w:val="yellow"/>
              </w:rPr>
              <w:t>0.1ppb</w:t>
            </w:r>
          </w:p>
          <w:p>
            <w:pPr>
              <w:rPr>
                <w:rFonts w:ascii="仿宋" w:eastAsia="仿宋" w:hAnsi="仿宋" w:cs="仿宋" w:hint="eastAsia"/>
              </w:rPr>
            </w:pPr>
            <w:r>
              <w:rPr>
                <w:rFonts w:ascii="仿宋" w:eastAsia="仿宋" w:hAnsi="仿宋" w:cs="仿宋" w:hint="eastAsia"/>
                <w:sz w:val="24"/>
                <w:highlight w:val="yellow"/>
              </w:rPr>
              <w:t>#</w:t>
            </w:r>
            <w:r>
              <w:rPr>
                <w:rFonts w:ascii="仿宋" w:eastAsia="仿宋" w:hAnsi="仿宋" w:cs="仿宋"/>
                <w:sz w:val="24"/>
                <w:highlight w:val="yellow"/>
              </w:rPr>
              <w:t>CO</w:t>
            </w:r>
            <w:r>
              <w:rPr>
                <w:rFonts w:ascii="仿宋" w:eastAsia="仿宋" w:hAnsi="仿宋" w:cs="仿宋" w:hint="eastAsia"/>
                <w:sz w:val="24"/>
                <w:highlight w:val="yellow"/>
              </w:rPr>
              <w:t>＜1</w:t>
            </w:r>
            <w:r>
              <w:rPr>
                <w:rFonts w:ascii="仿宋" w:eastAsia="仿宋" w:hAnsi="仿宋" w:cs="仿宋"/>
                <w:sz w:val="24"/>
                <w:highlight w:val="yellow"/>
              </w:rPr>
              <w:t>ppb</w:t>
            </w:r>
          </w:p>
          <w:p>
            <w:pPr>
              <w:rPr>
                <w:rFonts w:ascii="仿宋" w:eastAsia="仿宋" w:hAnsi="仿宋" w:cs="仿宋"/>
              </w:rPr>
            </w:pPr>
          </w:p>
          <w:p>
            <w:pPr>
              <w:rPr>
                <w:rFonts w:ascii="仿宋" w:eastAsia="仿宋" w:hAnsi="仿宋" w:cs="仿宋"/>
                <w:b/>
                <w:bCs/>
                <w:color w:val="000000"/>
              </w:rPr>
            </w:pPr>
            <w:r>
              <w:rPr>
                <w:rFonts w:ascii="仿宋" w:eastAsia="仿宋" w:hAnsi="仿宋" w:cs="仿宋" w:hint="eastAsia"/>
                <w:b/>
                <w:bCs/>
                <w:color w:val="000000"/>
                <w:sz w:val="24"/>
              </w:rPr>
              <w:t>2、样气采集单元</w:t>
            </w:r>
          </w:p>
          <w:p>
            <w:pPr>
              <w:rPr>
                <w:rFonts w:ascii="仿宋" w:eastAsia="仿宋" w:hAnsi="仿宋" w:cs="仿宋"/>
                <w:color w:val="000000"/>
                <w:highlight w:val="yellow"/>
              </w:rPr>
            </w:pPr>
            <w:r>
              <w:rPr>
                <w:rFonts w:ascii="仿宋" w:eastAsia="仿宋" w:hAnsi="仿宋" w:cs="仿宋" w:hint="eastAsia"/>
                <w:color w:val="000000"/>
                <w:sz w:val="24"/>
                <w:highlight w:val="yellow"/>
              </w:rPr>
              <w:t>#采样口过滤器：≤10μm孔径囊式过滤器</w:t>
            </w:r>
          </w:p>
          <w:p>
            <w:pPr>
              <w:rPr>
                <w:rFonts w:ascii="仿宋" w:eastAsia="仿宋" w:hAnsi="仿宋" w:cs="仿宋"/>
                <w:color w:val="000000"/>
              </w:rPr>
            </w:pPr>
            <w:r>
              <w:rPr>
                <w:rFonts w:ascii="仿宋" w:eastAsia="仿宋" w:hAnsi="仿宋" w:cs="仿宋" w:hint="eastAsia"/>
                <w:color w:val="000000"/>
                <w:sz w:val="24"/>
                <w:highlight w:val="yellow"/>
              </w:rPr>
              <w:t>#采样管：≥φ8mm铝塑管</w:t>
            </w:r>
          </w:p>
          <w:p>
            <w:pPr>
              <w:rPr>
                <w:rFonts w:ascii="仿宋" w:eastAsia="仿宋" w:hAnsi="仿宋" w:cs="仿宋"/>
                <w:color w:val="000000"/>
              </w:rPr>
            </w:pPr>
            <w:r>
              <w:rPr>
                <w:rFonts w:ascii="仿宋" w:eastAsia="仿宋" w:hAnsi="仿宋" w:cs="仿宋" w:hint="eastAsia"/>
                <w:color w:val="000000"/>
                <w:sz w:val="24"/>
                <w:highlight w:val="yellow"/>
              </w:rPr>
              <w:t>#采样泵流量：≥10L/min</w:t>
            </w:r>
            <w:r>
              <w:rPr>
                <w:rFonts w:ascii="仿宋" w:eastAsia="仿宋" w:hAnsi="仿宋" w:cs="仿宋" w:hint="eastAsia"/>
                <w:color w:val="000000"/>
                <w:sz w:val="24"/>
              </w:rPr>
              <w:t>，泄露率低于0.6*10</w:t>
            </w:r>
            <w:r>
              <w:rPr>
                <w:rFonts w:ascii="仿宋" w:eastAsia="仿宋" w:hAnsi="仿宋" w:cs="仿宋" w:hint="eastAsia"/>
                <w:color w:val="000000"/>
                <w:sz w:val="24"/>
                <w:vertAlign w:val="superscript"/>
              </w:rPr>
              <w:t xml:space="preserve">-3 </w:t>
            </w:r>
            <w:r>
              <w:rPr>
                <w:rFonts w:ascii="仿宋" w:eastAsia="仿宋" w:hAnsi="仿宋" w:cs="仿宋" w:hint="eastAsia"/>
                <w:color w:val="000000"/>
                <w:sz w:val="24"/>
              </w:rPr>
              <w:t>mbar l/s</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#采样泵过滤器：7μm不锈钢过滤器</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3、样气处理单元</w:t>
            </w:r>
          </w:p>
          <w:p>
            <w:pPr>
              <w:rPr>
                <w:rFonts w:ascii="仿宋" w:eastAsia="仿宋" w:hAnsi="仿宋" w:cs="仿宋"/>
                <w:color w:val="000000"/>
              </w:rPr>
            </w:pPr>
            <w:r>
              <w:rPr>
                <w:rFonts w:ascii="仿宋" w:eastAsia="仿宋" w:hAnsi="仿宋" w:cs="仿宋" w:hint="eastAsia"/>
                <w:color w:val="000000"/>
                <w:sz w:val="24"/>
                <w:highlight w:val="yellow"/>
              </w:rPr>
              <w:t>#除湿后，水汽浓度应低于5</w:t>
            </w:r>
            <w:r>
              <w:rPr>
                <w:rFonts w:ascii="仿宋" w:eastAsia="仿宋" w:hAnsi="仿宋" w:cs="仿宋"/>
                <w:color w:val="000000"/>
                <w:sz w:val="24"/>
                <w:highlight w:val="yellow"/>
              </w:rPr>
              <w:t>0ppm</w:t>
            </w:r>
          </w:p>
          <w:p>
            <w:pPr>
              <w:rPr>
                <w:rFonts w:ascii="仿宋" w:eastAsia="仿宋" w:hAnsi="仿宋" w:cs="仿宋"/>
                <w:color w:val="000000"/>
              </w:rPr>
            </w:pPr>
            <w:r>
              <w:rPr>
                <w:rFonts w:ascii="仿宋" w:eastAsia="仿宋" w:hAnsi="仿宋" w:cs="仿宋" w:hint="eastAsia"/>
                <w:color w:val="000000"/>
                <w:sz w:val="24"/>
                <w:highlight w:val="yellow"/>
              </w:rPr>
              <w:t>#气体冷却器制冷温度：1～3℃</w:t>
            </w:r>
          </w:p>
          <w:p>
            <w:pPr>
              <w:rPr>
                <w:rFonts w:ascii="仿宋" w:eastAsia="仿宋" w:hAnsi="仿宋" w:cs="仿宋"/>
                <w:color w:val="000000"/>
              </w:rPr>
            </w:pPr>
            <w:r>
              <w:rPr>
                <w:rFonts w:ascii="仿宋" w:eastAsia="仿宋" w:hAnsi="仿宋" w:cs="仿宋" w:hint="eastAsia"/>
                <w:color w:val="000000"/>
                <w:sz w:val="24"/>
              </w:rPr>
              <w:t>采用气体干燥管进行除湿，气体干燥管选择性渗透膜应为Nafion聚合物材料，吹扫气体应为干燥的空气或其他气体。</w:t>
            </w:r>
          </w:p>
          <w:p>
            <w:pPr>
              <w:rPr>
                <w:rFonts w:ascii="仿宋" w:eastAsia="仿宋" w:hAnsi="仿宋" w:cs="仿宋"/>
                <w:color w:val="000000"/>
              </w:rPr>
            </w:pPr>
            <w:r>
              <w:rPr>
                <w:rFonts w:ascii="仿宋" w:eastAsia="仿宋" w:hAnsi="仿宋" w:cs="仿宋" w:hint="eastAsia"/>
                <w:color w:val="000000"/>
                <w:sz w:val="24"/>
              </w:rPr>
              <w:t>超低温冷阱：</w:t>
            </w:r>
          </w:p>
          <w:p>
            <w:pPr>
              <w:rPr>
                <w:rFonts w:ascii="仿宋" w:eastAsia="仿宋" w:hAnsi="仿宋" w:cs="仿宋"/>
                <w:color w:val="000000"/>
              </w:rPr>
            </w:pPr>
            <w:r>
              <w:rPr>
                <w:rFonts w:ascii="仿宋" w:eastAsia="仿宋" w:hAnsi="仿宋" w:cs="仿宋" w:hint="eastAsia"/>
                <w:color w:val="000000"/>
                <w:sz w:val="24"/>
              </w:rPr>
              <w:t>具有双路切换功能，冷阱管应采用不锈钢或者硬质玻璃材质。</w:t>
            </w:r>
          </w:p>
          <w:p>
            <w:pPr>
              <w:rPr>
                <w:rFonts w:ascii="仿宋" w:eastAsia="仿宋" w:hAnsi="仿宋" w:cs="仿宋"/>
                <w:color w:val="000000"/>
              </w:rPr>
            </w:pPr>
            <w:r>
              <w:rPr>
                <w:rFonts w:ascii="仿宋" w:eastAsia="仿宋" w:hAnsi="仿宋" w:cs="仿宋" w:hint="eastAsia"/>
                <w:color w:val="000000"/>
                <w:sz w:val="24"/>
                <w:highlight w:val="yellow"/>
              </w:rPr>
              <w:t>#冷阱管切换前浓度水平的时间跨度应不超过1min。</w:t>
            </w:r>
          </w:p>
          <w:p>
            <w:pPr>
              <w:rPr>
                <w:rFonts w:ascii="仿宋" w:eastAsia="仿宋" w:hAnsi="仿宋" w:cs="仿宋" w:hint="eastAsia"/>
                <w:color w:val="000000"/>
              </w:rPr>
            </w:pPr>
            <w:r>
              <w:rPr>
                <w:rFonts w:ascii="仿宋" w:eastAsia="仿宋" w:hAnsi="仿宋" w:cs="仿宋" w:hint="eastAsia"/>
                <w:color w:val="000000"/>
                <w:sz w:val="24"/>
              </w:rPr>
              <w:t>制冷温度：-50℃～-75℃</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4、样气选择单元</w:t>
            </w:r>
          </w:p>
          <w:p>
            <w:pPr>
              <w:rPr>
                <w:rFonts w:ascii="仿宋" w:eastAsia="仿宋" w:hAnsi="仿宋" w:cs="仿宋"/>
                <w:color w:val="000000"/>
              </w:rPr>
            </w:pPr>
            <w:r>
              <w:rPr>
                <w:rFonts w:ascii="仿宋" w:eastAsia="仿宋" w:hAnsi="仿宋" w:cs="仿宋" w:hint="eastAsia"/>
                <w:color w:val="000000"/>
                <w:sz w:val="24"/>
              </w:rPr>
              <w:t>进气通道：≥10路</w:t>
            </w:r>
          </w:p>
          <w:p>
            <w:pPr>
              <w:rPr>
                <w:rFonts w:ascii="仿宋" w:eastAsia="仿宋" w:hAnsi="仿宋" w:cs="仿宋" w:hint="eastAsia"/>
                <w:color w:val="000000"/>
                <w:highlight w:val="yellow"/>
              </w:rPr>
            </w:pPr>
            <w:r>
              <w:rPr>
                <w:rFonts w:ascii="仿宋" w:eastAsia="仿宋" w:hAnsi="仿宋" w:cs="仿宋" w:hint="eastAsia"/>
                <w:color w:val="000000"/>
                <w:sz w:val="24"/>
              </w:rPr>
              <w:t>进样流量：0～500mL/min可调,</w:t>
            </w:r>
            <w:r>
              <w:rPr>
                <w:rFonts w:ascii="仿宋" w:eastAsia="仿宋" w:hAnsi="仿宋" w:cs="仿宋" w:hint="eastAsia"/>
                <w:color w:val="000000"/>
                <w:sz w:val="24"/>
                <w:highlight w:val="yellow"/>
              </w:rPr>
              <w:t xml:space="preserve"> </w:t>
            </w:r>
          </w:p>
          <w:p>
            <w:pPr>
              <w:rPr>
                <w:rFonts w:ascii="仿宋" w:eastAsia="仿宋" w:hAnsi="仿宋" w:cs="仿宋"/>
                <w:color w:val="000000"/>
              </w:rPr>
            </w:pPr>
            <w:r>
              <w:rPr>
                <w:rFonts w:ascii="仿宋" w:eastAsia="仿宋" w:hAnsi="仿宋" w:cs="仿宋" w:hint="eastAsia"/>
                <w:color w:val="000000"/>
                <w:sz w:val="24"/>
                <w:highlight w:val="yellow"/>
              </w:rPr>
              <w:t>#流量计：精度±1%F.S.</w:t>
            </w:r>
          </w:p>
          <w:p>
            <w:pPr>
              <w:rPr>
                <w:rFonts w:ascii="仿宋" w:eastAsia="仿宋" w:hAnsi="仿宋" w:cs="仿宋" w:hint="eastAsia"/>
                <w:color w:val="000000"/>
              </w:rPr>
            </w:pPr>
            <w:r>
              <w:rPr>
                <w:rFonts w:ascii="仿宋" w:eastAsia="仿宋" w:hAnsi="仿宋" w:cs="仿宋" w:hint="eastAsia"/>
                <w:color w:val="000000"/>
                <w:sz w:val="24"/>
              </w:rPr>
              <w:t>旁路流量：0～200mL/min可调</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5、标气单元</w:t>
            </w:r>
          </w:p>
          <w:p>
            <w:pPr>
              <w:rPr>
                <w:rFonts w:ascii="仿宋" w:eastAsia="仿宋" w:hAnsi="仿宋" w:cs="仿宋"/>
                <w:color w:val="000000"/>
              </w:rPr>
            </w:pPr>
            <w:r>
              <w:rPr>
                <w:rFonts w:ascii="仿宋" w:eastAsia="仿宋" w:hAnsi="仿宋" w:cs="仿宋" w:hint="eastAsia"/>
                <w:color w:val="000000"/>
                <w:sz w:val="24"/>
              </w:rPr>
              <w:t>气瓶：≥29L铝合金气瓶</w:t>
            </w:r>
          </w:p>
          <w:p>
            <w:pPr>
              <w:rPr>
                <w:rFonts w:ascii="仿宋" w:eastAsia="仿宋" w:hAnsi="仿宋" w:cs="仿宋" w:hint="eastAsia"/>
                <w:color w:val="000000"/>
              </w:rPr>
            </w:pPr>
            <w:r>
              <w:rPr>
                <w:rFonts w:ascii="仿宋" w:eastAsia="仿宋" w:hAnsi="仿宋" w:cs="仿宋" w:hint="eastAsia"/>
                <w:color w:val="000000"/>
                <w:sz w:val="24"/>
                <w:highlight w:val="yellow"/>
              </w:rPr>
              <w:t>#减压阀进/出气压力范围：0～3000psi/0～100psi。</w:t>
            </w:r>
          </w:p>
          <w:p>
            <w:pPr>
              <w:rPr>
                <w:rFonts w:ascii="仿宋" w:eastAsia="仿宋" w:hAnsi="仿宋" w:cs="仿宋"/>
                <w:color w:val="000000"/>
              </w:rPr>
            </w:pPr>
            <w:r>
              <w:rPr>
                <w:rFonts w:ascii="仿宋" w:eastAsia="仿宋" w:hAnsi="仿宋" w:cs="仿宋" w:hint="eastAsia"/>
                <w:color w:val="000000"/>
                <w:sz w:val="24"/>
              </w:rPr>
              <w:t>工作标气（WH，WM、WL）：以自然大气为底气，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等浓度在观测点大气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等浓度变化范围。</w:t>
            </w:r>
          </w:p>
          <w:p>
            <w:pPr>
              <w:rPr>
                <w:rFonts w:ascii="仿宋" w:eastAsia="仿宋" w:hAnsi="仿宋" w:cs="仿宋"/>
                <w:color w:val="000000"/>
              </w:rPr>
            </w:pPr>
            <w:r>
              <w:rPr>
                <w:rFonts w:ascii="仿宋" w:eastAsia="仿宋" w:hAnsi="仿宋" w:cs="仿宋" w:hint="eastAsia"/>
                <w:color w:val="000000"/>
                <w:sz w:val="24"/>
              </w:rPr>
              <w:t>目标标气（T，1瓶）：以自然大气为底气，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等浓度应接近观测点大气</w:t>
            </w:r>
            <w:r>
              <w:rPr>
                <w:rFonts w:ascii="仿宋" w:eastAsia="仿宋" w:hAnsi="仿宋" w:cs="仿宋" w:hint="eastAsia"/>
                <w:sz w:val="24"/>
              </w:rPr>
              <w:t>N</w:t>
            </w:r>
            <w:r>
              <w:rPr>
                <w:rFonts w:ascii="仿宋" w:eastAsia="仿宋" w:hAnsi="仿宋" w:cs="仿宋" w:hint="eastAsia"/>
                <w:sz w:val="24"/>
                <w:vertAlign w:val="subscript"/>
              </w:rPr>
              <w:t>2</w:t>
            </w:r>
            <w:r>
              <w:rPr>
                <w:rFonts w:ascii="仿宋" w:eastAsia="仿宋" w:hAnsi="仿宋" w:cs="仿宋" w:hint="eastAsia"/>
                <w:sz w:val="24"/>
              </w:rPr>
              <w:t>O</w:t>
            </w:r>
            <w:r>
              <w:rPr>
                <w:rFonts w:ascii="仿宋" w:eastAsia="仿宋" w:hAnsi="仿宋" w:cs="仿宋" w:hint="eastAsia"/>
                <w:color w:val="000000"/>
                <w:sz w:val="24"/>
              </w:rPr>
              <w:t>等平均浓度。</w:t>
            </w:r>
          </w:p>
          <w:p>
            <w:pPr>
              <w:rPr>
                <w:rFonts w:ascii="仿宋" w:eastAsia="仿宋" w:hAnsi="仿宋" w:cs="仿宋"/>
                <w:color w:val="000000"/>
              </w:rPr>
            </w:pPr>
            <w:r>
              <w:rPr>
                <w:rFonts w:ascii="仿宋" w:eastAsia="仿宋" w:hAnsi="仿宋" w:cs="仿宋" w:hint="eastAsia"/>
                <w:color w:val="000000"/>
                <w:sz w:val="24"/>
              </w:rPr>
              <w:t>标气填充气以自然干洁空气为底气。钢瓶为内抛光专用铝合金气瓶。</w:t>
            </w:r>
          </w:p>
          <w:p>
            <w:pPr>
              <w:rPr>
                <w:rFonts w:ascii="仿宋" w:eastAsia="仿宋" w:hAnsi="仿宋" w:cs="仿宋" w:hint="eastAsia"/>
                <w:color w:val="000000"/>
              </w:rPr>
            </w:pPr>
            <w:r>
              <w:rPr>
                <w:rFonts w:ascii="仿宋" w:eastAsia="仿宋" w:hAnsi="仿宋" w:cs="仿宋" w:hint="eastAsia"/>
                <w:color w:val="000000"/>
                <w:sz w:val="24"/>
                <w:highlight w:val="yellow"/>
              </w:rPr>
              <w:t>#应溯源至气象部门最高计量标准，并经过国家气象计量站审核认证</w:t>
            </w:r>
            <w:r>
              <w:rPr>
                <w:rFonts w:ascii="仿宋" w:eastAsia="仿宋" w:hAnsi="仿宋" w:cs="仿宋" w:hint="eastAsia"/>
                <w:color w:val="000000"/>
                <w:sz w:val="24"/>
              </w:rPr>
              <w:t>。</w:t>
            </w:r>
          </w:p>
          <w:p>
            <w:pPr>
              <w:rPr>
                <w:rFonts w:ascii="仿宋" w:eastAsia="仿宋" w:hAnsi="仿宋" w:cs="仿宋"/>
                <w:color w:val="000000"/>
              </w:rPr>
            </w:pPr>
          </w:p>
          <w:p>
            <w:pPr>
              <w:rPr>
                <w:rFonts w:ascii="仿宋" w:eastAsia="仿宋" w:hAnsi="仿宋" w:cs="仿宋"/>
                <w:b/>
                <w:bCs/>
                <w:color w:val="000000"/>
              </w:rPr>
            </w:pPr>
            <w:r>
              <w:rPr>
                <w:rFonts w:ascii="仿宋" w:eastAsia="仿宋" w:hAnsi="仿宋" w:cs="仿宋" w:hint="eastAsia"/>
                <w:b/>
                <w:bCs/>
                <w:color w:val="000000"/>
                <w:sz w:val="24"/>
              </w:rPr>
              <w:t>6、数据采集及处理单元</w:t>
            </w:r>
          </w:p>
          <w:p>
            <w:pPr>
              <w:rPr>
                <w:rFonts w:ascii="仿宋" w:eastAsia="仿宋" w:hAnsi="仿宋" w:cs="仿宋"/>
                <w:color w:val="000000"/>
              </w:rPr>
            </w:pPr>
            <w:r>
              <w:rPr>
                <w:rFonts w:ascii="仿宋" w:eastAsia="仿宋" w:hAnsi="仿宋" w:cs="仿宋" w:hint="eastAsia"/>
                <w:color w:val="000000"/>
                <w:sz w:val="24"/>
              </w:rPr>
              <w:t>监测报警系统监测内容：6路标气压力、2路进气压力、2路干燥气压力、2路卸压流量、2路干燥气流量、2路旁路流量。</w:t>
            </w:r>
          </w:p>
          <w:p>
            <w:pPr>
              <w:rPr>
                <w:rFonts w:ascii="仿宋" w:eastAsia="仿宋" w:hAnsi="仿宋" w:cs="仿宋"/>
                <w:color w:val="000000"/>
              </w:rPr>
            </w:pPr>
            <w:r>
              <w:rPr>
                <w:rFonts w:ascii="仿宋" w:eastAsia="仿宋" w:hAnsi="仿宋" w:cs="仿宋" w:hint="eastAsia"/>
                <w:color w:val="000000"/>
                <w:sz w:val="24"/>
              </w:rPr>
              <w:t>工控机：CPU：≥3GHz，内存：≥8G，硬盘：≥500G，显示器：≥17in，配件：KVM、键盘、鼠标。</w:t>
            </w:r>
          </w:p>
          <w:p>
            <w:pPr>
              <w:rPr>
                <w:rFonts w:ascii="仿宋" w:eastAsia="仿宋" w:hAnsi="仿宋" w:cs="仿宋" w:hint="eastAsia"/>
                <w:color w:val="000000"/>
                <w:kern w:val="0"/>
              </w:rPr>
            </w:pPr>
            <w:r>
              <w:rPr>
                <w:rFonts w:ascii="仿宋" w:eastAsia="仿宋" w:hAnsi="仿宋" w:cs="仿宋" w:hint="eastAsia"/>
                <w:color w:val="000000"/>
                <w:sz w:val="24"/>
              </w:rPr>
              <w:t>机柜：≥宽600mm×深1000mm×高2000mm</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质保期：高精度温室气体（N2O/CO）浓度观测系统（光腔衰荡光谱法）8年*，从双方签署现</w:t>
      </w:r>
      <w:r>
        <w:rPr>
          <w:rFonts w:ascii="仿宋" w:eastAsia="仿宋" w:hAnsi="仿宋" w:cs="仿宋" w:hint="eastAsia"/>
          <w:sz w:val="28"/>
          <w:szCs w:val="20"/>
          <w:highlight w:val="yellow"/>
        </w:rPr>
        <w:t>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（4）采购人搭建测试平台，中标人须配合采购人完成设备的出厂测试，出厂测试阶段发生的运费、测试费（不含材料费）、设备维修维护费用由中标人承担。</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（1）中标人须在合同签定后，且出厂测试合格的情况下，按约定时间将设备运到招标人指定的地点，运费由中标人承担。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合同要求的指标后，可进行现场验收。采购人可根据合同，参考部门发布的本设备工程管理验收指导意见等要求，制定验收规范(包括项目、测试方法和测试仪器等)。经双方确认后形成验收文件作为验收依据。验收测试合格后，双方签署现场验收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（2）设备经过3个月试运行期，达到合同要求时，可进行合同验收。在试运行期间，由于设备质量等造成某些指标达不到要求，允许中标人更换或进行修复，但试运行期另加1个月。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（3）设备安装调试和试运行结束后，采购人组织最终验收。当满足以下条件时，采购人确认验收合格签署验收合格证：</w:t>
      </w:r>
    </w:p>
    <w:p>
      <w:pPr>
        <w:numPr>
          <w:ilvl w:val="0"/>
          <w:numId w:val="6"/>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spacing w:line="560" w:lineRule="exact"/>
        <w:ind w:left="552"/>
        <w:rPr>
          <w:rFonts w:ascii="仿宋" w:eastAsia="仿宋" w:hAnsi="仿宋" w:cs="仿宋" w:hint="eastAsia"/>
          <w:sz w:val="28"/>
          <w:szCs w:val="20"/>
        </w:rPr>
      </w:pP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0"/>
        <w:gridCol w:w="1942"/>
        <w:gridCol w:w="360"/>
        <w:gridCol w:w="501"/>
        <w:gridCol w:w="571"/>
        <w:gridCol w:w="1661"/>
        <w:gridCol w:w="330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高精度温室气体（N2OCO）浓度观测系统（光腔衰荡光谱法）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6,180,000.00</w:t>
            </w:r>
          </w:p>
        </w:tc>
        <w:tc>
          <w:tcPr/>
          <w:p>
            <w:pPr>
              <w:autoSpaceDE w:val="0"/>
              <w:jc w:val="center"/>
              <w:rPr>
                <w:rFonts w:asciiTheme="minorEastAsia" w:hAnsiTheme="minorEastAsia" w:cstheme="minorEastAsia" w:hint="eastAsia"/>
                <w:kern w:val="0"/>
                <w:szCs w:val="21"/>
              </w:rPr>
            </w:pPr>
            <w:r>
              <w:t>合同签订后120天内交货，安装调试并具备验收条件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采购人为：长三角环境气象预报预警中心。采购内容和预算明细见“采购需求（其他技术及商务需求）”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6,180,000.00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0"/>
        <w:gridCol w:w="1556"/>
        <w:gridCol w:w="3275"/>
        <w:gridCol w:w="370"/>
        <w:gridCol w:w="845"/>
        <w:gridCol w:w="704"/>
        <w:gridCol w:w="607"/>
        <w:gridCol w:w="79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监测信息科(001039042005)</w:t>
            </w:r>
          </w:p>
        </w:tc>
        <w:tc>
          <w:tcPr/>
          <w:p>
            <w:r>
              <w:t>高精度温室气体（N2OCO）浓度观测系统（光腔衰荡光谱法）</w:t>
            </w:r>
          </w:p>
        </w:tc>
        <w:tc>
          <w:tcPr/>
          <w:p>
            <w:r>
              <w:t>1</w:t>
            </w:r>
          </w:p>
        </w:tc>
        <w:tc>
          <w:tcPr/>
          <w:p>
            <w:r>
              <w:t>6180000.00</w:t>
            </w:r>
          </w:p>
        </w:tc>
        <w:tc>
          <w:tcPr/>
          <w:p>
            <w:r>
              <w:t xml:space="preserve">6180000.00  </w:t>
            </w:r>
          </w:p>
        </w:tc>
        <w:tc>
          <w:tcPr/>
          <w:p>
            <w:r>
              <w:t>上海</w:t>
            </w:r>
          </w:p>
        </w:tc>
        <w:tc>
          <w:tcPr/>
          <w:p>
            <w:r>
              <w:t>13062669989 高伟</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hint="eastAsia"/>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hint="eastAsia"/>
          <w:b/>
          <w:bCs/>
          <w:sz w:val="28"/>
        </w:rPr>
      </w:pPr>
      <w:r>
        <w:rPr>
          <w:rFonts w:ascii="仿宋" w:eastAsia="仿宋" w:hAnsi="仿宋" w:cs="仿宋" w:hint="eastAsia"/>
          <w:b/>
          <w:bCs/>
          <w:sz w:val="28"/>
        </w:rPr>
        <w:t>一、项目概况及总体要求</w:t>
      </w:r>
    </w:p>
    <w:p>
      <w:pPr>
        <w:ind w:firstLine="560" w:firstLineChars="200"/>
        <w:rPr>
          <w:rFonts w:ascii="仿宋" w:eastAsia="仿宋" w:hAnsi="仿宋" w:cs="仿宋" w:hint="eastAsia"/>
          <w:sz w:val="28"/>
        </w:rPr>
      </w:pPr>
      <w:r>
        <w:rPr>
          <w:rFonts w:ascii="仿宋" w:eastAsia="仿宋" w:hAnsi="仿宋" w:cs="仿宋" w:hint="eastAsia"/>
          <w:sz w:val="28"/>
        </w:rPr>
        <w:t>在上海长江口本底站建设一套高精度温室气体（N2O/CO）浓度观测系统（光腔衰荡光谱法），一套温室气体采集、处理、标气单元配套设备（50m采样管），UPS等相关配套设施设备。高精度温室气体（N2O/CO）浓度观测系统（光腔衰荡光谱法）及温室气体采集、处理、标气单元配套设备（50m采样管）等主要对N2O/CO反应性气体进行监测。提升温室气体要素观测，有效增强上海的大气本底观测能力和温室气体本底浓度联网观测能力，补充完善长三角关键区国家大气本底站网，为应对气候变化、促进减少温室气体排放、治理大气污染和保护生态环境等提供基础支撑，保障生态文明建设和“双碳”目标实现。</w:t>
      </w:r>
    </w:p>
    <w:p>
      <w:pPr>
        <w:pageBreakBefore/>
        <w:ind w:firstLine="560" w:firstLineChars="200"/>
        <w:rPr>
          <w:rFonts w:ascii="仿宋" w:eastAsia="仿宋" w:hAnsi="仿宋" w:cs="仿宋" w:hint="eastAsia"/>
          <w:sz w:val="28"/>
        </w:rPr>
      </w:pPr>
      <w:r>
        <w:rPr>
          <w:rFonts w:ascii="仿宋" w:eastAsia="仿宋" w:hAnsi="仿宋" w:cs="仿宋" w:hint="eastAsia"/>
          <w:sz w:val="28"/>
        </w:rPr>
        <w:t xml:space="preserve">具体采购配置如下： </w:t>
      </w:r>
    </w:p>
    <w:tbl>
      <w:tblPr>
        <w:tblStyle w:val="TableNormal"/>
        <w:tblW w:w="8926" w:type="dxa"/>
        <w:tblInd w:w="113" w:type="dxa"/>
        <w:tblCellMar>
          <w:top w:w="0" w:type="dxa"/>
          <w:left w:w="108" w:type="dxa"/>
          <w:bottom w:w="0" w:type="dxa"/>
          <w:right w:w="108" w:type="dxa"/>
        </w:tblCellMar>
      </w:tblPr>
      <w:tblGrid>
        <w:gridCol w:w="1271"/>
        <w:gridCol w:w="4253"/>
        <w:gridCol w:w="708"/>
        <w:gridCol w:w="709"/>
        <w:gridCol w:w="992"/>
        <w:gridCol w:w="993"/>
      </w:tblGrid>
      <w:tr>
        <w:tblPrEx>
          <w:tblW w:w="8926" w:type="dxa"/>
          <w:tblInd w:w="113" w:type="dxa"/>
          <w:tblCellMar>
            <w:top w:w="0" w:type="dxa"/>
            <w:left w:w="108" w:type="dxa"/>
            <w:bottom w:w="0" w:type="dxa"/>
            <w:right w:w="108" w:type="dxa"/>
          </w:tblCellMar>
        </w:tblPrEx>
        <w:trPr>
          <w:trHeight w:val="270"/>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pPr>
              <w:widowControl/>
              <w:jc w:val="left"/>
              <w:rPr>
                <w:rFonts w:ascii="宋体" w:hAnsi="宋体" w:cs="宋体" w:hint="eastAsia"/>
                <w:b/>
                <w:bCs/>
                <w:color w:val="000000"/>
                <w:kern w:val="0"/>
                <w:sz w:val="20"/>
                <w:szCs w:val="20"/>
              </w:rPr>
            </w:pPr>
            <w:r>
              <w:rPr>
                <w:rFonts w:ascii="宋体" w:eastAsia="宋体" w:hAnsi="宋体" w:cs="宋体" w:hint="eastAsia"/>
                <w:b/>
                <w:bCs/>
                <w:color w:val="000000"/>
                <w:kern w:val="0"/>
                <w:sz w:val="20"/>
                <w:szCs w:val="20"/>
              </w:rPr>
              <w:t>设备购置费</w:t>
            </w:r>
          </w:p>
        </w:tc>
        <w:tc>
          <w:tcPr>
            <w:tcW w:w="4253" w:type="dxa"/>
            <w:tcBorders>
              <w:top w:val="single" w:sz="4" w:space="0" w:color="auto"/>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b/>
                <w:bCs/>
                <w:color w:val="000000"/>
                <w:kern w:val="0"/>
                <w:sz w:val="20"/>
                <w:szCs w:val="20"/>
              </w:rPr>
            </w:pPr>
            <w:r>
              <w:rPr>
                <w:rFonts w:ascii="宋体" w:eastAsia="宋体" w:hAnsi="宋体" w:cs="宋体" w:hint="eastAsia"/>
                <w:b/>
                <w:bCs/>
                <w:color w:val="000000"/>
                <w:kern w:val="0"/>
                <w:sz w:val="20"/>
                <w:szCs w:val="20"/>
              </w:rPr>
              <w:t>简要规格</w:t>
            </w:r>
          </w:p>
        </w:tc>
        <w:tc>
          <w:tcPr>
            <w:tcW w:w="708" w:type="dxa"/>
            <w:tcBorders>
              <w:top w:val="single" w:sz="4" w:space="0" w:color="auto"/>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b/>
                <w:bCs/>
                <w:color w:val="000000"/>
                <w:kern w:val="0"/>
                <w:sz w:val="20"/>
                <w:szCs w:val="20"/>
              </w:rPr>
            </w:pPr>
            <w:r>
              <w:rPr>
                <w:rFonts w:ascii="宋体" w:eastAsia="宋体" w:hAnsi="宋体" w:cs="宋体" w:hint="eastAsia"/>
                <w:b/>
                <w:bCs/>
                <w:color w:val="000000"/>
                <w:kern w:val="0"/>
                <w:sz w:val="20"/>
                <w:szCs w:val="20"/>
              </w:rPr>
              <w:t>单位</w:t>
            </w:r>
          </w:p>
        </w:tc>
        <w:tc>
          <w:tcPr>
            <w:tcW w:w="709" w:type="dxa"/>
            <w:tcBorders>
              <w:top w:val="single" w:sz="4" w:space="0" w:color="auto"/>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b/>
                <w:bCs/>
                <w:color w:val="000000"/>
                <w:kern w:val="0"/>
                <w:sz w:val="20"/>
                <w:szCs w:val="20"/>
              </w:rPr>
            </w:pPr>
            <w:r>
              <w:rPr>
                <w:rFonts w:ascii="宋体" w:eastAsia="宋体" w:hAnsi="宋体" w:cs="宋体" w:hint="eastAsia"/>
                <w:b/>
                <w:bCs/>
                <w:color w:val="000000"/>
                <w:kern w:val="0"/>
                <w:sz w:val="20"/>
                <w:szCs w:val="20"/>
              </w:rPr>
              <w:t>数量</w:t>
            </w:r>
          </w:p>
        </w:tc>
        <w:tc>
          <w:tcPr>
            <w:tcW w:w="992" w:type="dxa"/>
            <w:tcBorders>
              <w:top w:val="single" w:sz="4" w:space="0" w:color="auto"/>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b/>
                <w:bCs/>
                <w:color w:val="000000"/>
                <w:kern w:val="0"/>
                <w:sz w:val="20"/>
                <w:szCs w:val="20"/>
              </w:rPr>
            </w:pPr>
            <w:r>
              <w:rPr>
                <w:rFonts w:ascii="宋体" w:eastAsia="宋体" w:hAnsi="宋体" w:cs="宋体" w:hint="eastAsia"/>
                <w:b/>
                <w:bCs/>
                <w:color w:val="000000"/>
                <w:kern w:val="0"/>
                <w:sz w:val="20"/>
                <w:szCs w:val="20"/>
              </w:rPr>
              <w:t>单价</w:t>
            </w:r>
            <w:r>
              <w:rPr>
                <w:rFonts w:ascii="宋体" w:eastAsia="宋体" w:hAnsi="宋体" w:cs="宋体"/>
                <w:b/>
                <w:bCs/>
                <w:color w:val="000000"/>
                <w:kern w:val="0"/>
                <w:sz w:val="20"/>
                <w:szCs w:val="20"/>
              </w:rPr>
              <w:br/>
            </w:r>
            <w:r>
              <w:rPr>
                <w:rFonts w:ascii="宋体" w:eastAsia="宋体" w:hAnsi="宋体" w:cs="宋体" w:hint="eastAsia"/>
                <w:b/>
                <w:bCs/>
                <w:color w:val="000000"/>
                <w:kern w:val="0"/>
                <w:sz w:val="20"/>
                <w:szCs w:val="20"/>
              </w:rPr>
              <w:t>（万元）</w:t>
            </w:r>
          </w:p>
        </w:tc>
        <w:tc>
          <w:tcPr>
            <w:tcW w:w="993" w:type="dxa"/>
            <w:tcBorders>
              <w:top w:val="single" w:sz="4" w:space="0" w:color="auto"/>
              <w:left w:val="nil"/>
              <w:bottom w:val="single" w:sz="4" w:space="0" w:color="auto"/>
              <w:right w:val="single" w:sz="8" w:space="0" w:color="auto"/>
            </w:tcBorders>
            <w:shd w:val="clear" w:color="auto" w:fill="auto"/>
            <w:noWrap/>
            <w:vAlign w:val="center"/>
          </w:tcPr>
          <w:p>
            <w:pPr>
              <w:widowControl/>
              <w:jc w:val="center"/>
              <w:rPr>
                <w:rFonts w:ascii="宋体" w:hAnsi="宋体" w:cs="宋体"/>
                <w:b/>
                <w:bCs/>
                <w:color w:val="000000"/>
                <w:kern w:val="0"/>
                <w:sz w:val="20"/>
                <w:szCs w:val="20"/>
              </w:rPr>
            </w:pPr>
            <w:r>
              <w:rPr>
                <w:rFonts w:ascii="宋体" w:eastAsia="宋体" w:hAnsi="宋体" w:cs="宋体" w:hint="eastAsia"/>
                <w:b/>
                <w:bCs/>
                <w:color w:val="000000"/>
                <w:kern w:val="0"/>
                <w:sz w:val="20"/>
                <w:szCs w:val="20"/>
              </w:rPr>
              <w:t>合价</w:t>
            </w:r>
          </w:p>
          <w:p>
            <w:pPr>
              <w:widowControl/>
              <w:jc w:val="center"/>
              <w:rPr>
                <w:rFonts w:ascii="宋体" w:hAnsi="宋体" w:cs="宋体" w:hint="eastAsia"/>
                <w:b/>
                <w:bCs/>
                <w:color w:val="000000"/>
                <w:kern w:val="0"/>
                <w:sz w:val="20"/>
                <w:szCs w:val="20"/>
              </w:rPr>
            </w:pPr>
            <w:r>
              <w:rPr>
                <w:rFonts w:ascii="宋体" w:eastAsia="宋体" w:hAnsi="宋体" w:cs="宋体" w:hint="eastAsia"/>
                <w:b/>
                <w:bCs/>
                <w:color w:val="000000"/>
                <w:kern w:val="0"/>
                <w:sz w:val="20"/>
                <w:szCs w:val="20"/>
              </w:rPr>
              <w:t>（万元）</w:t>
            </w:r>
          </w:p>
        </w:tc>
      </w:tr>
      <w:tr>
        <w:tblPrEx>
          <w:tblW w:w="8926" w:type="dxa"/>
          <w:tblInd w:w="113" w:type="dxa"/>
          <w:tblCellMar>
            <w:top w:w="0" w:type="dxa"/>
            <w:left w:w="108" w:type="dxa"/>
            <w:bottom w:w="0" w:type="dxa"/>
            <w:right w:w="108" w:type="dxa"/>
          </w:tblCellMar>
        </w:tblPrEx>
        <w:trPr>
          <w:trHeight w:val="1550"/>
        </w:trPr>
        <w:tc>
          <w:tcPr>
            <w:tcW w:w="1271"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hint="eastAsia"/>
                <w:color w:val="000000"/>
                <w:kern w:val="0"/>
                <w:sz w:val="20"/>
                <w:szCs w:val="20"/>
              </w:rPr>
            </w:pPr>
            <w:r>
              <w:rPr>
                <w:rFonts w:ascii="宋体" w:eastAsia="宋体" w:hAnsi="宋体" w:cs="宋体" w:hint="eastAsia"/>
                <w:color w:val="000000"/>
                <w:kern w:val="0"/>
                <w:sz w:val="20"/>
                <w:szCs w:val="20"/>
              </w:rPr>
              <w:t>高精度温室气体（N2O/CO）浓度观测系统（光腔衰荡光谱法）（8年质保）</w:t>
            </w:r>
          </w:p>
        </w:tc>
        <w:tc>
          <w:tcPr>
            <w:tcW w:w="4253" w:type="dxa"/>
            <w:tcBorders>
              <w:top w:val="nil"/>
              <w:left w:val="nil"/>
              <w:bottom w:val="single" w:sz="4" w:space="0" w:color="auto"/>
              <w:right w:val="single" w:sz="4" w:space="0" w:color="auto"/>
            </w:tcBorders>
            <w:shd w:val="clear" w:color="auto" w:fill="auto"/>
            <w:vAlign w:val="center"/>
          </w:tcPr>
          <w:p>
            <w:pPr>
              <w:widowControl/>
              <w:jc w:val="left"/>
              <w:rPr>
                <w:rFonts w:ascii="宋体" w:hAnsi="宋体" w:cs="宋体" w:hint="default"/>
                <w:color w:val="000000"/>
                <w:kern w:val="0"/>
                <w:sz w:val="20"/>
                <w:szCs w:val="20"/>
              </w:rPr>
            </w:pPr>
            <w:r>
              <w:rPr>
                <w:rFonts w:ascii="宋体" w:eastAsia="宋体" w:hAnsi="宋体" w:cs="宋体" w:hint="eastAsia"/>
                <w:color w:val="000000"/>
                <w:kern w:val="0"/>
                <w:sz w:val="20"/>
                <w:szCs w:val="20"/>
                <w:lang w:val="en-US" w:eastAsia="zh-CN"/>
              </w:rPr>
              <w:t>见“第七章 采购需求” 中的“三、技术性能指标”的对应技术性能指标。</w:t>
            </w:r>
          </w:p>
        </w:tc>
        <w:tc>
          <w:tcPr>
            <w:tcW w:w="708"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套</w:t>
            </w:r>
          </w:p>
        </w:tc>
        <w:tc>
          <w:tcPr>
            <w:tcW w:w="709"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1</w:t>
            </w:r>
          </w:p>
        </w:tc>
        <w:tc>
          <w:tcPr>
            <w:tcW w:w="992"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544</w:t>
            </w:r>
          </w:p>
        </w:tc>
        <w:tc>
          <w:tcPr>
            <w:tcW w:w="993" w:type="dxa"/>
            <w:tcBorders>
              <w:top w:val="nil"/>
              <w:left w:val="nil"/>
              <w:bottom w:val="single" w:sz="4" w:space="0" w:color="auto"/>
              <w:right w:val="single" w:sz="8"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544</w:t>
            </w:r>
          </w:p>
        </w:tc>
      </w:tr>
      <w:tr>
        <w:tblPrEx>
          <w:tblW w:w="8926" w:type="dxa"/>
          <w:tblInd w:w="113" w:type="dxa"/>
          <w:tblCellMar>
            <w:top w:w="0" w:type="dxa"/>
            <w:left w:w="108" w:type="dxa"/>
            <w:bottom w:w="0" w:type="dxa"/>
            <w:right w:w="108" w:type="dxa"/>
          </w:tblCellMar>
        </w:tblPrEx>
        <w:trPr>
          <w:trHeight w:val="2136"/>
        </w:trPr>
        <w:tc>
          <w:tcPr>
            <w:tcW w:w="1271"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hint="eastAsia"/>
                <w:color w:val="000000"/>
                <w:kern w:val="0"/>
                <w:sz w:val="20"/>
                <w:szCs w:val="20"/>
              </w:rPr>
            </w:pPr>
            <w:r>
              <w:rPr>
                <w:rFonts w:ascii="宋体" w:eastAsia="宋体" w:hAnsi="宋体" w:cs="宋体" w:hint="eastAsia"/>
                <w:color w:val="000000"/>
                <w:kern w:val="0"/>
                <w:sz w:val="20"/>
                <w:szCs w:val="20"/>
              </w:rPr>
              <w:t>温室气体采集、处理、标气单元配套设备（50m采样管）（1年质保）</w:t>
            </w:r>
          </w:p>
        </w:tc>
        <w:tc>
          <w:tcPr>
            <w:tcW w:w="4253" w:type="dxa"/>
            <w:tcBorders>
              <w:top w:val="nil"/>
              <w:left w:val="nil"/>
              <w:bottom w:val="single" w:sz="4" w:space="0" w:color="auto"/>
              <w:right w:val="single" w:sz="4" w:space="0" w:color="auto"/>
            </w:tcBorders>
            <w:shd w:val="clear" w:color="auto" w:fill="auto"/>
            <w:vAlign w:val="center"/>
          </w:tcPr>
          <w:p>
            <w:pPr>
              <w:widowControl/>
              <w:jc w:val="left"/>
              <w:rPr>
                <w:rFonts w:ascii="宋体" w:hAnsi="宋体" w:cs="宋体" w:hint="eastAsia"/>
                <w:color w:val="000000"/>
                <w:kern w:val="0"/>
                <w:sz w:val="20"/>
                <w:szCs w:val="20"/>
              </w:rPr>
            </w:pPr>
            <w:r>
              <w:rPr>
                <w:rFonts w:ascii="宋体" w:eastAsia="宋体" w:hAnsi="宋体" w:cs="宋体" w:hint="eastAsia"/>
                <w:color w:val="000000"/>
                <w:kern w:val="0"/>
                <w:sz w:val="20"/>
                <w:szCs w:val="20"/>
                <w:lang w:val="en-US" w:eastAsia="zh-CN"/>
              </w:rPr>
              <w:t>见“第七章 采购需求” 中的“三、技术性能指标”的对应技术性能指标。</w:t>
            </w:r>
          </w:p>
        </w:tc>
        <w:tc>
          <w:tcPr>
            <w:tcW w:w="708"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套</w:t>
            </w:r>
          </w:p>
        </w:tc>
        <w:tc>
          <w:tcPr>
            <w:tcW w:w="709"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1</w:t>
            </w:r>
          </w:p>
        </w:tc>
        <w:tc>
          <w:tcPr>
            <w:tcW w:w="992"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19</w:t>
            </w:r>
          </w:p>
        </w:tc>
        <w:tc>
          <w:tcPr>
            <w:tcW w:w="993" w:type="dxa"/>
            <w:tcBorders>
              <w:top w:val="nil"/>
              <w:left w:val="nil"/>
              <w:bottom w:val="single" w:sz="4" w:space="0" w:color="auto"/>
              <w:right w:val="single" w:sz="8"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19</w:t>
            </w:r>
          </w:p>
        </w:tc>
      </w:tr>
      <w:tr>
        <w:tblPrEx>
          <w:tblW w:w="8926" w:type="dxa"/>
          <w:tblInd w:w="113" w:type="dxa"/>
          <w:tblCellMar>
            <w:top w:w="0" w:type="dxa"/>
            <w:left w:w="108" w:type="dxa"/>
            <w:bottom w:w="0" w:type="dxa"/>
            <w:right w:w="108" w:type="dxa"/>
          </w:tblCellMar>
        </w:tblPrEx>
        <w:trPr>
          <w:trHeight w:val="270"/>
        </w:trPr>
        <w:tc>
          <w:tcPr>
            <w:tcW w:w="1271"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hint="eastAsia"/>
                <w:color w:val="000000"/>
                <w:kern w:val="0"/>
                <w:sz w:val="20"/>
                <w:szCs w:val="20"/>
              </w:rPr>
            </w:pPr>
            <w:r>
              <w:rPr>
                <w:rFonts w:ascii="宋体" w:eastAsia="宋体" w:hAnsi="宋体" w:cs="宋体" w:hint="eastAsia"/>
                <w:color w:val="000000"/>
                <w:kern w:val="0"/>
                <w:sz w:val="20"/>
                <w:szCs w:val="20"/>
              </w:rPr>
              <w:t>UPS(8年质保）</w:t>
            </w:r>
          </w:p>
        </w:tc>
        <w:tc>
          <w:tcPr>
            <w:tcW w:w="4253" w:type="dxa"/>
            <w:tcBorders>
              <w:top w:val="nil"/>
              <w:left w:val="nil"/>
              <w:bottom w:val="single" w:sz="4" w:space="0" w:color="auto"/>
              <w:right w:val="single" w:sz="4" w:space="0" w:color="auto"/>
            </w:tcBorders>
            <w:shd w:val="clear" w:color="auto" w:fill="auto"/>
            <w:vAlign w:val="center"/>
          </w:tcPr>
          <w:p>
            <w:pPr>
              <w:widowControl/>
              <w:jc w:val="left"/>
              <w:rPr>
                <w:rFonts w:ascii="宋体" w:hAnsi="宋体" w:cs="宋体" w:hint="eastAsia"/>
                <w:color w:val="000000"/>
                <w:kern w:val="0"/>
                <w:sz w:val="20"/>
                <w:szCs w:val="20"/>
              </w:rPr>
            </w:pPr>
            <w:r>
              <w:rPr>
                <w:rFonts w:ascii="宋体" w:eastAsia="宋体" w:hAnsi="宋体" w:cs="宋体" w:hint="eastAsia"/>
                <w:color w:val="000000"/>
                <w:kern w:val="0"/>
                <w:sz w:val="20"/>
                <w:szCs w:val="20"/>
              </w:rPr>
              <w:t>主机80kW，蓄电池12V100AH</w:t>
            </w:r>
          </w:p>
        </w:tc>
        <w:tc>
          <w:tcPr>
            <w:tcW w:w="708"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套</w:t>
            </w:r>
          </w:p>
        </w:tc>
        <w:tc>
          <w:tcPr>
            <w:tcW w:w="709"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1</w:t>
            </w:r>
          </w:p>
        </w:tc>
        <w:tc>
          <w:tcPr>
            <w:tcW w:w="992" w:type="dxa"/>
            <w:tcBorders>
              <w:top w:val="nil"/>
              <w:left w:val="nil"/>
              <w:bottom w:val="single" w:sz="4" w:space="0" w:color="auto"/>
              <w:right w:val="single" w:sz="4"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55</w:t>
            </w:r>
          </w:p>
        </w:tc>
        <w:tc>
          <w:tcPr>
            <w:tcW w:w="993" w:type="dxa"/>
            <w:tcBorders>
              <w:top w:val="nil"/>
              <w:left w:val="nil"/>
              <w:bottom w:val="single" w:sz="4" w:space="0" w:color="auto"/>
              <w:right w:val="single" w:sz="8" w:space="0" w:color="auto"/>
            </w:tcBorders>
            <w:shd w:val="clear" w:color="auto" w:fill="auto"/>
            <w:noWrap/>
            <w:vAlign w:val="center"/>
          </w:tcPr>
          <w:p>
            <w:pPr>
              <w:widowControl/>
              <w:jc w:val="center"/>
              <w:rPr>
                <w:rFonts w:ascii="宋体" w:hAnsi="宋体" w:cs="宋体" w:hint="eastAsia"/>
                <w:color w:val="000000"/>
                <w:kern w:val="0"/>
                <w:sz w:val="20"/>
                <w:szCs w:val="20"/>
              </w:rPr>
            </w:pPr>
            <w:r>
              <w:rPr>
                <w:rFonts w:ascii="宋体" w:eastAsia="宋体" w:hAnsi="宋体" w:cs="宋体" w:hint="eastAsia"/>
                <w:color w:val="000000"/>
                <w:kern w:val="0"/>
                <w:sz w:val="20"/>
                <w:szCs w:val="20"/>
              </w:rPr>
              <w:t>55</w:t>
            </w:r>
          </w:p>
        </w:tc>
      </w:tr>
    </w:tbl>
    <w:p>
      <w:pPr>
        <w:ind w:firstLine="560" w:firstLineChars="200"/>
        <w:rPr>
          <w:rFonts w:ascii="仿宋" w:eastAsia="仿宋" w:hAnsi="仿宋" w:cs="仿宋" w:hint="eastAsia"/>
          <w:sz w:val="28"/>
        </w:rPr>
      </w:pPr>
    </w:p>
    <w:p>
      <w:pPr>
        <w:ind w:firstLine="560" w:firstLineChars="200"/>
        <w:rPr>
          <w:rFonts w:ascii="仿宋" w:eastAsia="仿宋" w:hAnsi="仿宋" w:cs="仿宋" w:hint="eastAsia"/>
          <w:b/>
          <w:bCs/>
          <w:sz w:val="28"/>
        </w:rPr>
      </w:pPr>
      <w:r>
        <w:rPr>
          <w:rFonts w:ascii="仿宋" w:eastAsia="仿宋" w:hAnsi="仿宋" w:cs="仿宋" w:hint="eastAsia"/>
          <w:b/>
          <w:bCs/>
          <w:sz w:val="28"/>
        </w:rPr>
        <w:t>二、售后服务要求</w:t>
      </w:r>
    </w:p>
    <w:p>
      <w:pPr>
        <w:ind w:firstLine="560" w:firstLineChars="200"/>
        <w:rPr>
          <w:rFonts w:ascii="仿宋" w:eastAsia="仿宋" w:hAnsi="仿宋" w:cs="仿宋" w:hint="eastAsia"/>
          <w:sz w:val="28"/>
        </w:rPr>
      </w:pP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hint="eastAsia"/>
          <w:b/>
          <w:bCs/>
          <w:sz w:val="28"/>
        </w:rPr>
      </w:pPr>
      <w:r>
        <w:rPr>
          <w:rFonts w:ascii="仿宋" w:eastAsia="仿宋" w:hAnsi="仿宋" w:cs="仿宋" w:hint="eastAsia"/>
          <w:b/>
          <w:bCs/>
          <w:sz w:val="28"/>
        </w:rPr>
        <w:t>三、培训要求</w:t>
      </w:r>
    </w:p>
    <w:p>
      <w:pPr>
        <w:ind w:firstLine="560" w:firstLineChars="200"/>
        <w:rPr>
          <w:rFonts w:ascii="仿宋" w:eastAsia="仿宋" w:hAnsi="仿宋" w:cs="仿宋" w:hint="eastAsia"/>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rPr>
      </w:pPr>
      <w:r>
        <w:rPr>
          <w:rFonts w:ascii="仿宋" w:eastAsia="仿宋" w:hAnsi="仿宋" w:cs="仿宋" w:hint="eastAsia"/>
          <w:sz w:val="28"/>
        </w:rPr>
        <w:t>设备供应商对每套投标产品提供至少2次技术培训，培训课时</w:t>
      </w:r>
      <w:r>
        <w:rPr>
          <w:rFonts w:ascii="仿宋" w:eastAsia="仿宋" w:hAnsi="仿宋" w:cs="仿宋"/>
          <w:sz w:val="28"/>
        </w:rPr>
        <w:t>不少于</w:t>
      </w:r>
      <w:r>
        <w:rPr>
          <w:rFonts w:ascii="仿宋" w:eastAsia="仿宋" w:hAnsi="仿宋" w:cs="仿宋" w:hint="eastAsia"/>
          <w:sz w:val="28"/>
        </w:rPr>
        <w:t>8个</w:t>
      </w:r>
      <w:r>
        <w:rPr>
          <w:rFonts w:ascii="仿宋" w:eastAsia="仿宋" w:hAnsi="仿宋" w:cs="仿宋"/>
          <w:sz w:val="28"/>
        </w:rPr>
        <w:t>课时，培训人数不少于</w:t>
      </w:r>
      <w:r>
        <w:rPr>
          <w:rFonts w:ascii="仿宋" w:eastAsia="仿宋" w:hAnsi="仿宋" w:cs="仿宋" w:hint="eastAsia"/>
          <w:sz w:val="28"/>
        </w:rPr>
        <w:t>4人</w:t>
      </w:r>
      <w:r>
        <w:rPr>
          <w:rFonts w:ascii="仿宋" w:eastAsia="仿宋" w:hAnsi="仿宋" w:cs="仿宋"/>
          <w:sz w:val="28"/>
        </w:rPr>
        <w:t>。</w:t>
      </w:r>
      <w:r>
        <w:rPr>
          <w:rFonts w:ascii="仿宋" w:eastAsia="仿宋" w:hAnsi="仿宋" w:cs="仿宋" w:hint="eastAsia"/>
          <w:sz w:val="28"/>
        </w:rPr>
        <w:t>培训内容包括设备安装、使用、日常维护、观测原理及产品应用，培训时间及地点双方协商确定。</w:t>
      </w:r>
    </w:p>
    <w:p>
      <w:pPr>
        <w:ind w:firstLine="560" w:firstLineChars="200"/>
        <w:rPr>
          <w:rFonts w:ascii="仿宋" w:eastAsia="仿宋" w:hAnsi="仿宋" w:cs="仿宋" w:hint="eastAsia"/>
          <w:b/>
          <w:bCs/>
          <w:sz w:val="28"/>
        </w:rPr>
      </w:pPr>
      <w:r>
        <w:rPr>
          <w:rFonts w:ascii="仿宋" w:eastAsia="仿宋" w:hAnsi="仿宋" w:cs="仿宋" w:hint="eastAsia"/>
          <w:b/>
          <w:bCs/>
          <w:sz w:val="28"/>
        </w:rPr>
        <w:t>四、交货要求及履约地点</w:t>
      </w:r>
    </w:p>
    <w:p>
      <w:pPr>
        <w:ind w:firstLine="560" w:firstLineChars="200"/>
        <w:rPr>
          <w:rFonts w:ascii="仿宋" w:eastAsia="仿宋" w:hAnsi="仿宋" w:cs="仿宋" w:hint="eastAsia"/>
          <w:sz w:val="28"/>
        </w:rPr>
      </w:pPr>
      <w:r>
        <w:rPr>
          <w:rFonts w:ascii="仿宋" w:eastAsia="仿宋" w:hAnsi="仿宋" w:cs="仿宋" w:hint="eastAsia"/>
          <w:sz w:val="28"/>
        </w:rPr>
        <w:t>中标供应商将所有设备运送至上海市（运输相关费用由供应商负责），并负责安装调试。</w:t>
      </w:r>
    </w:p>
    <w:p>
      <w:pPr>
        <w:ind w:left="559" w:leftChars="266"/>
        <w:rPr>
          <w:rFonts w:ascii="仿宋" w:eastAsia="仿宋" w:hAnsi="仿宋" w:cs="仿宋" w:hint="eastAsia"/>
          <w:b/>
          <w:bCs/>
          <w:sz w:val="28"/>
        </w:rPr>
      </w:pPr>
      <w:r>
        <w:rPr>
          <w:rFonts w:ascii="仿宋" w:eastAsia="仿宋" w:hAnsi="仿宋" w:cs="仿宋" w:hint="eastAsia"/>
          <w:sz w:val="28"/>
        </w:rPr>
        <w:t>合同签订后120天内完成供货、安装调试并具备验收条件。</w:t>
      </w:r>
      <w:r>
        <w:rPr>
          <w:rFonts w:ascii="仿宋" w:eastAsia="仿宋" w:hAnsi="仿宋" w:cs="仿宋" w:hint="eastAsia"/>
          <w:sz w:val="28"/>
        </w:rPr>
        <w:br/>
      </w:r>
      <w:r>
        <w:rPr>
          <w:rFonts w:ascii="仿宋" w:eastAsia="仿宋" w:hAnsi="仿宋" w:cs="仿宋" w:hint="eastAsia"/>
          <w:b/>
          <w:bCs/>
          <w:sz w:val="28"/>
        </w:rPr>
        <w:t>五、服务团队要求</w:t>
      </w:r>
    </w:p>
    <w:p>
      <w:pPr>
        <w:ind w:firstLine="560" w:firstLineChars="200"/>
        <w:rPr>
          <w:rFonts w:ascii="仿宋" w:eastAsia="仿宋" w:hAnsi="仿宋" w:cs="仿宋" w:hint="eastAsia"/>
          <w:sz w:val="28"/>
        </w:rPr>
      </w:pPr>
      <w:r>
        <w:rPr>
          <w:rFonts w:ascii="仿宋" w:eastAsia="仿宋" w:hAnsi="仿宋" w:cs="仿宋" w:hint="eastAsia"/>
          <w:sz w:val="28"/>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hint="eastAsia"/>
          <w:b/>
          <w:bCs/>
          <w:sz w:val="28"/>
        </w:rPr>
      </w:pPr>
      <w:r>
        <w:rPr>
          <w:rFonts w:ascii="仿宋" w:eastAsia="仿宋" w:hAnsi="仿宋" w:cs="仿宋" w:hint="eastAsia"/>
          <w:b/>
          <w:bCs/>
          <w:sz w:val="28"/>
        </w:rPr>
        <w:t>六、投标产品软件兼容性要求</w:t>
      </w:r>
    </w:p>
    <w:p>
      <w:pPr>
        <w:ind w:firstLine="560" w:firstLineChars="200"/>
        <w:rPr>
          <w:rFonts w:ascii="仿宋" w:eastAsia="仿宋" w:hAnsi="仿宋" w:cs="仿宋" w:hint="eastAsia"/>
          <w:sz w:val="28"/>
        </w:rPr>
      </w:pPr>
      <w:r>
        <w:rPr>
          <w:rFonts w:ascii="仿宋" w:eastAsia="仿宋" w:hAnsi="仿宋" w:cs="仿宋" w:hint="eastAsia"/>
          <w:sz w:val="28"/>
        </w:rPr>
        <w:t>设备完全符合甲方相关要求和规范，保证其系统的兼容性和功能的完整性。</w:t>
      </w:r>
    </w:p>
    <w:p>
      <w:pPr>
        <w:numPr>
          <w:ilvl w:val="0"/>
          <w:numId w:val="7"/>
        </w:numPr>
        <w:ind w:firstLine="560" w:firstLineChars="200"/>
        <w:rPr>
          <w:rFonts w:ascii="仿宋" w:eastAsia="仿宋" w:hAnsi="仿宋" w:cs="仿宋" w:hint="eastAsia"/>
          <w:b/>
          <w:bCs/>
          <w:sz w:val="28"/>
        </w:rPr>
      </w:pPr>
      <w:r>
        <w:rPr>
          <w:rFonts w:ascii="仿宋" w:eastAsia="仿宋" w:hAnsi="仿宋" w:cs="仿宋" w:hint="eastAsia"/>
          <w:b/>
          <w:bCs/>
          <w:sz w:val="28"/>
        </w:rPr>
        <w:t>其他</w:t>
      </w:r>
    </w:p>
    <w:p/>
    <w:p>
      <w:pPr>
        <w:widowControl/>
        <w:spacing w:line="560" w:lineRule="exact"/>
        <w:ind w:firstLine="560" w:firstLineChars="200"/>
        <w:jc w:val="left"/>
        <w:rPr>
          <w:rFonts w:ascii="仿宋" w:eastAsia="仿宋" w:hAnsi="仿宋" w:cs="仿宋" w:hint="eastAsia"/>
          <w:sz w:val="28"/>
        </w:rPr>
      </w:pPr>
      <w:r>
        <w:rPr>
          <w:rFonts w:ascii="仿宋" w:eastAsia="仿宋" w:hAnsi="仿宋" w:cs="仿宋" w:hint="eastAsia"/>
          <w:sz w:val="28"/>
        </w:rPr>
        <w:t>1.供应商为本项目设立专业团队，负责项目中全部设备的安装、调试、故障排除和质保期内的其他相关工作。其中供应商应确保团队的稳定性和专业性，项目经理应具有必要的项目管理经验。</w:t>
      </w:r>
    </w:p>
    <w:p>
      <w:pPr>
        <w:widowControl/>
        <w:spacing w:line="560" w:lineRule="exact"/>
        <w:ind w:firstLine="560" w:firstLineChars="200"/>
        <w:jc w:val="left"/>
        <w:rPr>
          <w:rFonts w:ascii="仿宋" w:eastAsia="仿宋" w:hAnsi="仿宋" w:cs="仿宋" w:hint="eastAsia"/>
          <w:sz w:val="28"/>
        </w:rPr>
      </w:pPr>
      <w:r>
        <w:rPr>
          <w:rFonts w:ascii="仿宋" w:eastAsia="仿宋" w:hAnsi="仿宋" w:cs="仿宋" w:hint="eastAsia"/>
          <w:sz w:val="28"/>
        </w:rPr>
        <w:t>2.供应商提供完善的售后服务方案，服务方案包含不限于现场服务方案和远程技术指导方案等。</w:t>
      </w:r>
    </w:p>
    <w:p>
      <w:pPr>
        <w:ind w:firstLine="560" w:firstLineChars="200"/>
        <w:rPr>
          <w:rFonts w:ascii="仿宋" w:eastAsia="仿宋" w:hAnsi="仿宋" w:cs="仿宋" w:hint="eastAsia"/>
          <w:sz w:val="28"/>
        </w:rPr>
      </w:pPr>
      <w:r>
        <w:rPr>
          <w:rFonts w:ascii="仿宋" w:eastAsia="仿宋" w:hAnsi="仿宋" w:cs="仿宋" w:hint="eastAsia"/>
          <w:sz w:val="28"/>
        </w:rPr>
        <w:t>3.供应商向采购单位提供整套设备技术资料和用于维护使用的维护手册，含性能指标、系统构成等详细的维修内容。</w:t>
      </w:r>
    </w:p>
    <w:p>
      <w:pPr>
        <w:ind w:firstLine="560" w:firstLineChars="200"/>
        <w:rPr>
          <w:rFonts w:ascii="仿宋" w:eastAsia="仿宋" w:hAnsi="仿宋" w:cs="仿宋" w:hint="eastAsia"/>
          <w:sz w:val="28"/>
        </w:rPr>
      </w:pPr>
      <w:r>
        <w:rPr>
          <w:rFonts w:ascii="仿宋" w:eastAsia="仿宋" w:hAnsi="仿宋" w:cs="仿宋" w:hint="eastAsia"/>
          <w:sz w:val="28"/>
        </w:rPr>
        <w:t>4.质保期：高精度温室气体（N2O/CO）浓度观测系统（光腔衰荡光谱法）（8年质保），温室气体采集、处理、标气单元配套设备（50m采样管）（1年质保），UPS(8年质保）。供应商需对质保期（保内、保外）政策进行阐述或承诺，列明有偿服务和无偿服务内容。</w:t>
      </w:r>
    </w:p>
    <w:p>
      <w:pPr>
        <w:ind w:firstLine="560" w:firstLineChars="200"/>
        <w:rPr>
          <w:rFonts w:ascii="仿宋" w:eastAsia="仿宋" w:hAnsi="仿宋" w:cs="仿宋" w:hint="eastAsia"/>
          <w:sz w:val="28"/>
        </w:rPr>
      </w:pPr>
      <w:r>
        <w:rPr>
          <w:rFonts w:ascii="仿宋" w:eastAsia="仿宋" w:hAnsi="仿宋" w:cs="仿宋" w:hint="eastAsia"/>
          <w:sz w:val="28"/>
        </w:rPr>
        <w:t>5.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ind w:firstLine="560" w:firstLineChars="200"/>
        <w:rPr>
          <w:rFonts w:ascii="仿宋" w:eastAsia="仿宋" w:hAnsi="仿宋" w:cs="仿宋" w:hint="eastAsia"/>
          <w:sz w:val="28"/>
        </w:rPr>
      </w:pPr>
      <w:r>
        <w:rPr>
          <w:rFonts w:ascii="仿宋" w:eastAsia="仿宋" w:hAnsi="仿宋" w:cs="仿宋" w:hint="eastAsia"/>
          <w:sz w:val="28"/>
        </w:rPr>
        <w:t>（1）设备供应商对所有设备提供自验收合格后的质保服务，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ind w:firstLine="560" w:firstLineChars="200"/>
        <w:rPr>
          <w:rFonts w:ascii="仿宋" w:eastAsia="仿宋" w:hAnsi="仿宋" w:cs="仿宋" w:hint="eastAsia"/>
          <w:sz w:val="28"/>
        </w:rPr>
      </w:pPr>
      <w:r>
        <w:rPr>
          <w:rFonts w:ascii="仿宋" w:eastAsia="仿宋" w:hAnsi="仿宋" w:cs="仿宋" w:hint="eastAsia"/>
          <w:sz w:val="28"/>
        </w:rPr>
        <w:t>（2）在质保期内，设备供应商服务时间应为7×24小时，当投标产品或软件遭到损坏或出现</w:t>
      </w:r>
      <w:r>
        <w:rPr>
          <w:rFonts w:ascii="仿宋" w:eastAsia="仿宋" w:hAnsi="仿宋" w:cs="仿宋" w:hint="eastAsia"/>
          <w:sz w:val="28"/>
        </w:rPr>
        <w:t>故障时，要在用户报修之时起4小时内做出响应，开展维修维护工作，视情况双方协商设备恢复正常运行时限。</w:t>
      </w:r>
    </w:p>
    <w:p>
      <w:pPr>
        <w:ind w:firstLine="560" w:firstLineChars="200"/>
        <w:rPr>
          <w:rFonts w:ascii="仿宋" w:eastAsia="仿宋" w:hAnsi="仿宋" w:cs="仿宋"/>
          <w:sz w:val="28"/>
          <w:szCs w:val="20"/>
        </w:rPr>
      </w:pPr>
      <w:r>
        <w:rPr>
          <w:rFonts w:ascii="仿宋" w:eastAsia="仿宋" w:hAnsi="仿宋" w:cs="仿宋" w:hint="eastAsia"/>
          <w:sz w:val="28"/>
        </w:rPr>
        <w:t>（3）质保期过后，设备供应商仍有义务提供技术服务（包括提供设备维护、备件等）。</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sz w:val="18"/>
                <w:szCs w:val="18"/>
                <w:highlight w:val="none"/>
              </w:rPr>
              <w:t>质保期：高精度温室气体（N2O/CO）浓度观测系统（光腔衰荡光谱法）8年*，从双方签署现场安装测试报告之日起开始计算质保期。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113FE9B"/>
    <w:multiLevelType w:val="singleLevel"/>
    <w:tmpl w:val="3113FE9B"/>
    <w:lvl w:ilvl="0">
      <w:start w:val="7"/>
      <w:numFmt w:val="chineseCounting"/>
      <w:suff w:val="nothing"/>
      <w:lvlText w:val="%1、"/>
      <w:lvlJc w:val="left"/>
      <w:rPr>
        <w:rFonts w:hint="eastAsia"/>
      </w:r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078416C"/>
    <w:multiLevelType w:val="multilevel"/>
    <w:tmpl w:val="5078416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5">
    <w:nsid w:val="6A551D42"/>
    <w:multiLevelType w:val="multilevel"/>
    <w:tmpl w:val="6A551D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5"/>
  </w:num>
  <w:num w:numId="5">
    <w:abstractNumId w:val="12"/>
  </w:num>
  <w:num w:numId="6">
    <w:abstractNumId w:val="14"/>
  </w:num>
  <w:num w:numId="7">
    <w:abstractNumId w:val="10"/>
  </w:num>
  <w:num w:numId="8">
    <w:abstractNumId w:val="13"/>
  </w:num>
  <w:num w:numId="9">
    <w:abstractNumId w:val="16"/>
  </w:num>
  <w:num w:numId="10">
    <w:abstractNumId w:val="1"/>
  </w:num>
  <w:num w:numId="11">
    <w:abstractNumId w:val="5"/>
  </w:num>
  <w:num w:numId="12">
    <w:abstractNumId w:val="3"/>
  </w:num>
  <w:num w:numId="13">
    <w:abstractNumId w:val="2"/>
  </w:num>
  <w:num w:numId="14">
    <w:abstractNumId w:val="11"/>
  </w:num>
  <w:num w:numId="15">
    <w:abstractNumId w:val="0"/>
  </w:num>
  <w:num w:numId="16">
    <w:abstractNumId w:val="4"/>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