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2026年青海省飞机人工增雨（雪）作业服务（第二段）采购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ZQCD-26069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青海省人工影响天气中心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2026年青海省飞机人工增雨（雪）作业服务（第二段）采购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ZQCD-26069</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合同生效后一年内，累计完成8.6个月（8个月18天）飞机人工增雨（雪）作业服务任务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青海省以及黄河上游河曲地区、祁连山区地区</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2026年05月20日 00:00:00</w:t>
      </w:r>
      <w:bookmarkEnd w:id="26"/>
      <w:r>
        <w:rPr>
          <w:rFonts w:ascii="宋体" w:hint="eastAsia"/>
          <w:szCs w:val="21"/>
          <w:highlight w:val="none"/>
        </w:rPr>
        <w:t>至</w:t>
      </w:r>
      <w:bookmarkStart w:id="27" w:name="项目公告_signUpLastTime"/>
      <w:r>
        <w:rPr>
          <w:rFonts w:ascii="宋体" w:hint="eastAsia"/>
          <w:szCs w:val="21"/>
          <w:highlight w:val="none"/>
        </w:rPr>
        <w:t>2026年05月27日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2026年06月10日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青海省人工影响天气中心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郭三刚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青海省人工影响天气中心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（1）标的：飞机人工增雨（雪）作业服务，属于其它行业；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是，代理服务费：6.7万元。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946.000000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946.000000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9"/>
        <w:gridCol w:w="310"/>
        <w:gridCol w:w="1401"/>
        <w:gridCol w:w="310"/>
        <w:gridCol w:w="679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(8)</w:t>
            </w:r>
          </w:p>
        </w:tc>
        <w:tc>
          <w:tcPr/>
          <w:p>
            <w:r>
              <w:t>评审标准：</w:t>
            </w:r>
          </w:p>
          <w:p>
            <w:r>
              <w:t>提供1份投标人承担的青藏高原地区飞机人工增雨（雪）服务项目合同得2分，提供1份投标人承担的其他地区飞机人工增雨（雪）服务项目合同得1分，最多不超过8分。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cr/>
            </w:r>
          </w:p>
          <w:p/>
        </w:tc>
      </w:tr>
      <w:tr>
        <w:tblPrEx>
          <w:tblW w:w="5000" w:type="pct"/>
          <w:tblCellMar>
            <w:left w:w="108" w:type="dxa"/>
            <w:right w:w="108" w:type="dxa"/>
          </w:tblCellMar>
        </w:tblPrEx>
        <w:tc>
          <w:tcPr/>
          <w:p>
            <w:r>
              <w:t>3</w:t>
            </w:r>
          </w:p>
        </w:tc>
        <w:tc>
          <w:tcPr>
            <w:vMerge/>
          </w:tcPr>
          <w:p>
            <w:r>
              <w:t>商务部分</w:t>
            </w:r>
          </w:p>
        </w:tc>
        <w:tc>
          <w:tcPr/>
          <w:p>
            <w:r>
              <w:t>服务团队（客观分）</w:t>
            </w:r>
          </w:p>
        </w:tc>
        <w:tc>
          <w:tcPr/>
          <w:p>
            <w:r>
              <w:t>区间打分</w:t>
            </w:r>
            <w:r>
              <w:t>(14)</w:t>
            </w:r>
          </w:p>
        </w:tc>
        <w:tc>
          <w:tcPr/>
          <w:p>
            <w:r>
              <w:t>评审标准：</w:t>
            </w:r>
          </w:p>
          <w:p>
            <w:r>
              <w:t>1、投标人具有高性能增压仓人工增雨（雪）飞机飞行经历的飞行员（必含1名及以上机长）3名及以上得4分，2名得3分，2名以下不得分。</w:t>
              <w:cr/>
              <w:t>2、机长要求按以下评分，本项最高10分：</w:t>
              <w:cr/>
              <w:t>（1）每有1名机长具有驾驶高性能增压仓飞机在青藏高原开展人工增雨（雪）飞行经历大于等于1500小时的，或者驾驶高性能增压仓飞机在其他地区开展人工增雨（雪）飞行经历大于等于2000小时的，得5分；</w:t>
              <w:cr/>
              <w:t>（2）每有1名机长具有驾驶高性能增压仓飞机在青藏高原开展人工增雨（雪）飞行经历大于等于1000小时、小于1500小时的，或者驾驶高性能增压仓飞机在其他地区开展人工增雨（雪）飞行经历大于等于1500小时、小于2000小时的，得3分；</w:t>
              <w:cr/>
              <w:t>（3）每有1名机长具有驾驶高性能增压仓飞机在青藏高原开展人工增雨（雪）飞行经历大于等于500小时、小于1000小时的，或者驾驶高性能增压仓飞机在其他地区开展人工增雨（雪）飞行经历大于等于1000小时、小于1500小时的，得1分。</w:t>
            </w:r>
          </w:p>
          <w:p>
            <w:r>
              <w:t>评审标准说明：</w:t>
            </w:r>
          </w:p>
          <w:p>
            <w:r>
              <w:t>1.高性能增压仓飞机飞行经历须提供该飞行员的飞行经历证明材料或提供加盖投标人公章的承诺函；</w:t>
              <w:cr/>
              <w:t>2.高性能增压仓飞机开展人工增雨（雪）飞行经历须提供该机长飞行经历的相关证明材料或提供加盖投标人公章的承诺函。</w:t>
            </w:r>
          </w:p>
          <w:p/>
        </w:tc>
      </w:tr>
      <w:tr>
        <w:tblPrEx>
          <w:tblW w:w="5000" w:type="pct"/>
          <w:tblCellMar>
            <w:left w:w="108" w:type="dxa"/>
            <w:right w:w="108" w:type="dxa"/>
          </w:tblCellMar>
        </w:tblPrEx>
        <w:tc>
          <w:tcPr/>
          <w:p>
            <w:r>
              <w:t>4</w:t>
            </w:r>
          </w:p>
        </w:tc>
        <w:tc>
          <w:tcPr>
            <w:vMerge w:val="restart"/>
          </w:tcPr>
          <w:p>
            <w:r>
              <w:t>服务部分</w:t>
            </w:r>
          </w:p>
        </w:tc>
        <w:tc>
          <w:tcPr/>
          <w:p>
            <w:r>
              <w:t>事故处理解决方案（主观分）</w:t>
            </w:r>
          </w:p>
        </w:tc>
        <w:tc>
          <w:tcPr/>
          <w:p>
            <w:r>
              <w:t>勾选打分</w:t>
            </w:r>
            <w:r>
              <w:t>(4)</w:t>
            </w:r>
          </w:p>
        </w:tc>
        <w:tc>
          <w:tcPr/>
          <w:p>
            <w:r>
              <w:t>评审标准：</w:t>
            </w:r>
          </w:p>
          <w:p>
            <w:r>
              <w:t>一档0分</w:t>
              <w:cr/>
              <w:t>二档1分</w:t>
              <w:cr/>
              <w:t>三档2分</w:t>
              <w:cr/>
              <w:t>四档4分</w:t>
            </w:r>
          </w:p>
          <w:p>
            <w:r>
              <w:t>评审标准说明：</w:t>
            </w:r>
          </w:p>
          <w:p>
            <w:r>
              <w:t>提供事故处理解决方案，责任清晰、安全可靠、内容明确。必须包括机组现场紧急处理和撤离、应急保障、事故调查、善后处理等。</w:t>
              <w:cr/>
              <w:t>一档：未提供方案</w:t>
              <w:cr/>
              <w:t>二档：方案不完整（指缺少机组现场紧急处理和撤离、应急保障、事故调查、善后处理任一项）；</w:t>
              <w:cr/>
              <w:t>三档：方案完整，但合理性、可行性、针对性一般；</w:t>
              <w:cr/>
              <w:t>四档：方案完整合理、可行性强、针对性强，责任清晰、安全可靠、内容明确。</w:t>
            </w:r>
          </w:p>
          <w:p/>
        </w:tc>
      </w:tr>
      <w:tr>
        <w:tblPrEx>
          <w:tblW w:w="5000" w:type="pct"/>
          <w:tblCellMar>
            <w:left w:w="108" w:type="dxa"/>
            <w:right w:w="108" w:type="dxa"/>
          </w:tblCellMar>
        </w:tblPrEx>
        <w:tc>
          <w:tcPr/>
          <w:p>
            <w:r>
              <w:t>5</w:t>
            </w:r>
          </w:p>
        </w:tc>
        <w:tc>
          <w:tcPr>
            <w:vMerge/>
          </w:tcPr>
          <w:p>
            <w:r>
              <w:t>服务部分</w:t>
            </w:r>
          </w:p>
        </w:tc>
        <w:tc>
          <w:tcPr/>
          <w:p>
            <w:r>
              <w:t>备用机（客观分）</w:t>
            </w:r>
          </w:p>
        </w:tc>
        <w:tc>
          <w:tcPr/>
          <w:p>
            <w:r>
              <w:t>勾选打分</w:t>
            </w:r>
            <w:r>
              <w:t>(4)</w:t>
            </w:r>
          </w:p>
        </w:tc>
        <w:tc>
          <w:tcPr/>
          <w:p>
            <w:r>
              <w:t>评审标准：</w:t>
            </w:r>
          </w:p>
          <w:p>
            <w:r>
              <w:t>人工增雨（雪）飞机出现故障时，72小时内解决或提供同型号备用机得4分，否则不得分。</w:t>
            </w:r>
          </w:p>
          <w:p>
            <w:r>
              <w:t>评审标准说明：</w:t>
            </w:r>
          </w:p>
          <w:p>
            <w:r>
              <w:t>须提供加盖投标人公章的承诺书。</w:t>
            </w:r>
          </w:p>
          <w:p/>
        </w:tc>
      </w:tr>
      <w:tr>
        <w:tblPrEx>
          <w:tblW w:w="5000" w:type="pct"/>
          <w:tblCellMar>
            <w:left w:w="108" w:type="dxa"/>
            <w:right w:w="108" w:type="dxa"/>
          </w:tblCellMar>
        </w:tblPrEx>
        <w:tc>
          <w:tcPr/>
          <w:p>
            <w:r>
              <w:t>6</w:t>
            </w:r>
          </w:p>
        </w:tc>
        <w:tc>
          <w:tcPr>
            <w:vMerge/>
          </w:tcPr>
          <w:p>
            <w:r>
              <w:t>服务部分</w:t>
            </w:r>
          </w:p>
        </w:tc>
        <w:tc>
          <w:tcPr/>
          <w:p>
            <w:r>
              <w:t>安全记录（客观分）</w:t>
            </w:r>
          </w:p>
        </w:tc>
        <w:tc>
          <w:tcPr/>
          <w:p>
            <w:r>
              <w:t>勾选打分</w:t>
            </w:r>
            <w:r>
              <w:t>(4)</w:t>
            </w:r>
          </w:p>
        </w:tc>
        <w:tc>
          <w:tcPr/>
          <w:p>
            <w:r>
              <w:t>评审标准：</w:t>
            </w:r>
          </w:p>
          <w:p>
            <w:r>
              <w:t>2022年1月1日至投标截止日未出现飞行事故的，得4分；2023 年1月1日至投标截止日未出现飞行事故的，得3分；2024年1月1日至投标截止日未出现飞行事故的，得2分；2025年1月1日至投标截止日未出现飞行事故的，得1分；未提供不得分。</w:t>
            </w:r>
          </w:p>
          <w:p>
            <w:r>
              <w:t>评审标准说明：</w:t>
            </w:r>
          </w:p>
          <w:p>
            <w:r>
              <w:t>提供民航监管机构证明文件。</w:t>
            </w:r>
          </w:p>
          <w:p/>
        </w:tc>
      </w:tr>
      <w:tr>
        <w:tblPrEx>
          <w:tblW w:w="5000" w:type="pct"/>
          <w:tblCellMar>
            <w:left w:w="108" w:type="dxa"/>
            <w:right w:w="108" w:type="dxa"/>
          </w:tblCellMar>
        </w:tblPrEx>
        <w:tc>
          <w:tcPr/>
          <w:p>
            <w:r>
              <w:t>7</w:t>
            </w:r>
          </w:p>
        </w:tc>
        <w:tc>
          <w:tcPr>
            <w:vMerge/>
          </w:tcPr>
          <w:p>
            <w:r>
              <w:t>服务部分</w:t>
            </w:r>
          </w:p>
        </w:tc>
        <w:tc>
          <w:tcPr/>
          <w:p>
            <w:r>
              <w:t>飞机增雨（雪）作业方案的响应（客观分）</w:t>
            </w:r>
          </w:p>
        </w:tc>
        <w:tc>
          <w:tcPr/>
          <w:p>
            <w:r>
              <w:t>勾选打分</w:t>
            </w:r>
            <w:r>
              <w:t>(5)</w:t>
            </w:r>
          </w:p>
        </w:tc>
        <w:tc>
          <w:tcPr/>
          <w:p>
            <w:r>
              <w:t>评审标准：</w:t>
            </w:r>
          </w:p>
          <w:p>
            <w:r>
              <w:t>投标人承诺在服务期内，凡天气条件达到飞机飞行条件时，根据采购人飞机增雨（雪）作业方案，每次均能提供飞机增雨（雪）作业服务得5分，否则不得分。</w:t>
            </w:r>
          </w:p>
          <w:p>
            <w:r>
              <w:t>评审标准说明：</w:t>
            </w:r>
          </w:p>
          <w:p>
            <w:r>
              <w:t>提供加盖投标人公章的承诺书</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(4)</w:t>
            </w:r>
          </w:p>
        </w:tc>
        <w:tc>
          <w:tcPr/>
          <w:p>
            <w:r>
              <w:t>评审标准：</w:t>
            </w:r>
          </w:p>
          <w:p>
            <w:r>
              <w:t>一档0分</w:t>
              <w:cr/>
              <w:t>二档1分</w:t>
              <w:cr/>
              <w:t>三档2分</w:t>
              <w:cr/>
              <w:t>四档4分</w:t>
            </w:r>
          </w:p>
          <w:p>
            <w:r>
              <w:t>评审标准说明：</w:t>
            </w:r>
          </w:p>
          <w:p>
            <w:r>
              <w:t>投标人应提供满足第七章相应培训要求的详细培训方案，培训内容应包括飞行安全注意事项、出入机坪注意事项、在机坪工作注意事项、机场工作规章制度等，使现场增雨作业人员能够正确认识和处理安全等问题，避免出现安全等事故，保证培训效果。</w:t>
              <w:cr/>
              <w:t>一档：未提供培训方案；</w:t>
              <w:cr/>
              <w:t xml:space="preserve">二档：培训方案不完整（指缺失培训大纲、培训教程（讲义）、培训课表等任一项）； </w:t>
              <w:cr/>
              <w:t xml:space="preserve">三档：培训方案完整详细，但课程设计重点不突出或针对性不强，基本满足采购需求； </w:t>
              <w:cr/>
              <w:t>四档：培训方案完整详细，课程设计重点突出、针对性强，完全满足采购需求。</w:t>
            </w:r>
          </w:p>
          <w:p/>
        </w:tc>
      </w:tr>
      <w:tr>
        <w:tblPrEx>
          <w:tblW w:w="5000" w:type="pct"/>
          <w:tblCellMar>
            <w:left w:w="108" w:type="dxa"/>
            <w:right w:w="108" w:type="dxa"/>
          </w:tblCellMar>
        </w:tblPrEx>
        <w:tc>
          <w:tcPr/>
          <w:p>
            <w:r>
              <w:t>9</w:t>
            </w:r>
          </w:p>
        </w:tc>
        <w:tc>
          <w:tcPr>
            <w:vMerge/>
          </w:tcPr>
          <w:p>
            <w:r>
              <w:t>服务部分</w:t>
            </w:r>
          </w:p>
        </w:tc>
        <w:tc>
          <w:tcPr/>
          <w:p>
            <w:r>
              <w:t>协调服务方案（主观分）</w:t>
            </w:r>
          </w:p>
        </w:tc>
        <w:tc>
          <w:tcPr/>
          <w:p>
            <w:r>
              <w:t>勾选打分</w:t>
            </w:r>
            <w:r>
              <w:t>(4)</w:t>
            </w:r>
          </w:p>
        </w:tc>
        <w:tc>
          <w:tcPr/>
          <w:p>
            <w:r>
              <w:t>评审标准：</w:t>
            </w:r>
          </w:p>
          <w:p>
            <w:r>
              <w:t>一档0分</w:t>
              <w:cr/>
              <w:t>二档1分</w:t>
              <w:cr/>
              <w:t>三档2分</w:t>
              <w:cr/>
              <w:t>四档4分</w:t>
            </w:r>
          </w:p>
          <w:p>
            <w:r>
              <w:t>评审标准说明：</w:t>
            </w:r>
          </w:p>
          <w:p>
            <w:r>
              <w:t>投标人需提供申报及沟通协调机制的方案，包含但不限于机组飞行计划的申报、与空管部门的沟通协调工作等。</w:t>
              <w:cr/>
              <w:t>一档：未提供方案；</w:t>
              <w:cr/>
              <w:t>二档：方案简单，没有专门针对本项目的措施，或者有关措施不合理、不可行、不具体；</w:t>
              <w:cr/>
              <w:t>三档：方案详细，有专门针对本项目的措施，但措施简单，合理性、可行性一般；</w:t>
              <w:cr/>
              <w:t>四档：方案详细，有专门针对本项目的措施，且措施详细具体，合理性、可行性强。</w:t>
            </w:r>
          </w:p>
          <w:p/>
        </w:tc>
      </w:tr>
      <w:tr>
        <w:tblPrEx>
          <w:tblW w:w="5000" w:type="pct"/>
          <w:tblCellMar>
            <w:left w:w="108" w:type="dxa"/>
            <w:right w:w="108" w:type="dxa"/>
          </w:tblCellMar>
        </w:tblPrEx>
        <w:tc>
          <w:tcPr/>
          <w:p>
            <w:r>
              <w:t>10</w:t>
            </w:r>
          </w:p>
        </w:tc>
        <w:tc>
          <w:tcPr>
            <w:vMerge/>
          </w:tcPr>
          <w:p>
            <w:r>
              <w:t>服务部分</w:t>
            </w:r>
          </w:p>
        </w:tc>
        <w:tc>
          <w:tcPr/>
          <w:p>
            <w:r>
              <w:t>技术方案响应（客观分）</w:t>
            </w:r>
          </w:p>
        </w:tc>
        <w:tc>
          <w:tcPr/>
          <w:p>
            <w:r>
              <w:t>区间打分</w:t>
            </w:r>
            <w:r>
              <w:t>(21)</w:t>
            </w:r>
          </w:p>
        </w:tc>
        <w:tc>
          <w:tcPr/>
          <w:p>
            <w:r>
              <w:t>评审标准：</w:t>
            </w:r>
          </w:p>
          <w:p>
            <w:r>
              <w:t>投标人满足招标文件“采购需求”中标注“▲”的14项重要技术要求。每有1项满足得1.5分，最高21分。</w:t>
            </w:r>
          </w:p>
          <w:p>
            <w:r>
              <w:t>评审标准说明：</w:t>
            </w:r>
          </w:p>
          <w:p>
            <w:r>
              <w:t>需提供技术文档。响应且满足招标文件第七章详细技术指标要求，标注“▲”的重要指标需提供第三方出具的并加盖投标人公章的证明材料。</w:t>
            </w:r>
          </w:p>
          <w:p/>
        </w:tc>
      </w:tr>
      <w:tr>
        <w:tblPrEx>
          <w:tblW w:w="5000" w:type="pct"/>
          <w:tblCellMar>
            <w:left w:w="108" w:type="dxa"/>
            <w:right w:w="108" w:type="dxa"/>
          </w:tblCellMar>
        </w:tblPrEx>
        <w:tc>
          <w:tcPr/>
          <w:p>
            <w:r>
              <w:t>11</w:t>
            </w:r>
          </w:p>
        </w:tc>
        <w:tc>
          <w:tcPr>
            <w:vMerge/>
          </w:tcPr>
          <w:p>
            <w:r>
              <w:t>服务部分</w:t>
            </w:r>
          </w:p>
        </w:tc>
        <w:tc>
          <w:tcPr/>
          <w:p>
            <w:r>
              <w:t>飞机性能要求（客观分）</w:t>
            </w:r>
          </w:p>
        </w:tc>
        <w:tc>
          <w:tcPr/>
          <w:p>
            <w:r>
              <w:t>勾选打分</w:t>
            </w:r>
            <w:r>
              <w:t>(8)</w:t>
            </w:r>
          </w:p>
        </w:tc>
        <w:tc>
          <w:tcPr/>
          <w:p>
            <w:r>
              <w:t>评审标准：</w:t>
            </w:r>
          </w:p>
          <w:p>
            <w:r>
              <w:t>1、投标人提供的高性能增压仓人工增雨（雪）飞机中，必须有一架具备常规油箱以外满足长航程增雨（雪）任务的额外油箱，得4分，否则不得分。</w:t>
              <w:cr/>
              <w:t>2、在以上基础上，多一架高性能增压仓飞机也同时具备长航程增雨（雪）任务能力的额外油箱，得4分，否则不得分。</w:t>
            </w:r>
          </w:p>
          <w:p>
            <w:r>
              <w:t>评审标准说明：</w:t>
            </w:r>
          </w:p>
          <w:p>
            <w:r>
              <w:t>提供可证明飞机性能的证明材料。</w:t>
            </w:r>
          </w:p>
          <w:p/>
        </w:tc>
      </w:tr>
      <w:tr>
        <w:tblPrEx>
          <w:tblW w:w="5000" w:type="pct"/>
          <w:tblCellMar>
            <w:left w:w="108" w:type="dxa"/>
            <w:right w:w="108" w:type="dxa"/>
          </w:tblCellMar>
        </w:tblPrEx>
        <w:tc>
          <w:tcPr/>
          <w:p>
            <w:r>
              <w:t>12</w:t>
            </w:r>
          </w:p>
        </w:tc>
        <w:tc>
          <w:tcPr>
            <w:vMerge/>
          </w:tcPr>
          <w:p>
            <w:r>
              <w:t>服务部分</w:t>
            </w:r>
          </w:p>
        </w:tc>
        <w:tc>
          <w:tcPr/>
          <w:p>
            <w:r>
              <w:t>增雨（雪）设备和云物理探测设备评价（客观分）</w:t>
            </w:r>
          </w:p>
        </w:tc>
        <w:tc>
          <w:tcPr/>
          <w:p>
            <w:r>
              <w:t>区间打分</w:t>
            </w:r>
            <w:r>
              <w:t>(9)</w:t>
            </w:r>
          </w:p>
        </w:tc>
        <w:tc>
          <w:tcPr/>
          <w:p>
            <w:r>
              <w:t>评审标准：</w:t>
            </w:r>
          </w:p>
          <w:p>
            <w:r>
              <w:t>1、投标人提供的机载焰条播撒设备，焰条装量少于20根不得分，等于20根的得0.5分，在此基础上每增加8根加0.5分，最多得2分。</w:t>
              <w:cr/>
              <w:t>2、投标人提供的机载焰弹播撒设备，装弹量少于200发不得分，等于200发的得0.5 分，在此基础上每增加40发加0.5分，最多得3分。</w:t>
              <w:cr/>
              <w:t xml:space="preserve"> 3、投标人提供的高性能增压仓飞机，均具备云物理探测设备装载能力，得4分；只有一架具备装载云物理探测设备的能力，得2分。不具备不得分。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r>
        <w:tblPrEx>
          <w:tblW w:w="5000" w:type="pct"/>
          <w:tblCellMar>
            <w:left w:w="108" w:type="dxa"/>
            <w:right w:w="108" w:type="dxa"/>
          </w:tblCellMar>
        </w:tblPrEx>
        <w:tc>
          <w:tcPr/>
          <w:p>
            <w:r>
              <w:t>13</w:t>
            </w:r>
          </w:p>
        </w:tc>
        <w:tc>
          <w:tcPr>
            <w:vMerge/>
          </w:tcPr>
          <w:p>
            <w:r>
              <w:t>服务部分</w:t>
            </w:r>
          </w:p>
        </w:tc>
        <w:tc>
          <w:tcPr/>
          <w:p>
            <w:r>
              <w:t>增雨（雪）飞行保障方案（主观分）</w:t>
            </w:r>
          </w:p>
        </w:tc>
        <w:tc>
          <w:tcPr/>
          <w:p>
            <w:r>
              <w:t>勾选打分</w:t>
            </w:r>
            <w:r>
              <w:t>(5)</w:t>
            </w:r>
          </w:p>
        </w:tc>
        <w:tc>
          <w:tcPr/>
          <w:p>
            <w:r>
              <w:t>评审标准：</w:t>
            </w:r>
          </w:p>
          <w:p>
            <w:r>
              <w:t>一档0分</w:t>
              <w:cr/>
              <w:t>二档1分</w:t>
              <w:cr/>
              <w:t>三档3分</w:t>
              <w:cr/>
              <w:t>四档5分</w:t>
            </w:r>
          </w:p>
          <w:p>
            <w:r>
              <w:t>评审标准说明：</w:t>
            </w:r>
          </w:p>
          <w:p>
            <w:r>
              <w:t>提供完整可行的增雨（雪）飞行保障方案，包括机场保障、军民航协调、基地保障、签派保障、场内车辆保障、除防冰保障等内容。</w:t>
              <w:cr/>
              <w:t>一档：未提供方案；</w:t>
              <w:cr/>
              <w:t>二档：方案不完整（指缺失机场保障、军民航协调、基地保障、签派保障、场内车辆保障、除防冰保障任一项）；</w:t>
              <w:cr/>
              <w:t>三档：方案完整，合理性和技术解决措施有欠缺，可行性、针对性一般；</w:t>
              <w:cr/>
              <w:t>四档：方案完整合理、技术解决措施完备、详细，可行性、针对性强。</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一、项目概况及总体要求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为切实发挥气象对建设更加富裕文明和谐美丽新青海的支撑和保障作用，围绕青海省生态文明建设和经济社会发展的需求，根据青海省人工影响天气工作计划的要求，特采购飞机人工增雨（雪）作业服务，完成人工增雨（雪）作业任务。</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二、服务需求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1、服务机型：*高性能增压仓人工增雨（雪）飞机至少一架，需完全满足青藏高原腹地飞机增雨（雪）作业需求，最大升限不低于高度10000米。</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2、服务期限：自合同签订次日起一年内，至少一架高性能增压仓人工增雨（雪）飞机累计完成8.6个月</w:t>
      </w:r>
      <w:r>
        <w:rPr>
          <w:rFonts w:ascii="宋体" w:eastAsia="宋体" w:hAnsi="宋体" w:cs="Times New Roman" w:hint="eastAsia"/>
          <w:szCs w:val="21"/>
          <w:lang w:eastAsia="zh-CN"/>
        </w:rPr>
        <w:t>（</w:t>
      </w:r>
      <w:r>
        <w:rPr>
          <w:rFonts w:ascii="宋体" w:eastAsia="宋体" w:hAnsi="宋体" w:cs="Times New Roman" w:hint="eastAsia"/>
          <w:szCs w:val="21"/>
          <w:lang w:val="en-US" w:eastAsia="zh-CN"/>
        </w:rPr>
        <w:t>8个月18天</w:t>
      </w:r>
      <w:r>
        <w:rPr>
          <w:rFonts w:ascii="宋体" w:eastAsia="宋体" w:hAnsi="宋体" w:cs="Times New Roman" w:hint="eastAsia"/>
          <w:szCs w:val="21"/>
          <w:lang w:eastAsia="zh-CN"/>
        </w:rPr>
        <w:t>）</w:t>
      </w:r>
      <w:r>
        <w:rPr>
          <w:rFonts w:ascii="宋体" w:eastAsia="宋体" w:hAnsi="宋体" w:cs="Times New Roman" w:hint="eastAsia"/>
          <w:szCs w:val="21"/>
        </w:rPr>
        <w:t>服务任务。</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3、服务内容：实施抗旱减灾、生态修复以及重大活动应急保障的增雨（雪）作业服务和云物理探测服务。</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4、作业区域：青海省以及黄河上游河曲地区、祁连山地区。</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5、增雨作业响应时间：提出作业需求后，一小时内完成作业飞行准备工作；空管部门放行后，可即时进行飞行工作。</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6、报价：报价包括飞行小时费、停机费、飞行保障费、飞机与涉及增雨飞行作业所有的配套设施、油料和调运费，空域管制申请及其协调费用， 作业机组人员的食宿费等其他所有费用， 以及各种税费直至达到使用要求和采购人付款条件所发生的一切费用， 即总价包干。</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7、合同履行地点：青海省境内及前述相关作业区域。</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三、基本要求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1、▲高性能增压仓人工增雨（雪）作业和云物理探测飞机应通过中国民用航空主管部门进行的年度适航性检查，处于适航状态。</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2、▲应满足青藏高原地区复杂气象和地理地形条件下的人工增雨（雪）作业服务和云物理探测需求，每次作业过程能够按照采购方提供的人工增雨（雪）作业和云物理探测方案进行飞行。</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3、▲加装人影相关设备后应取得中国民用航空主管部门的适航审定。</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4、▲应装备机载气象雷达。</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5、▲应具备抗积冰、除冰能力。</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6、应配备供氧装置、灭火装置、救生衣、急救包等相关应急救生设备。</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7、▲应满足机载增雨（雪）和大气探测设备供电需求。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8、▲应能搭载不少于2 名作业人员。</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9、具备装载播撒作业、云物理探测、空地数据传输设备的能力。</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10、机组能够胜任较长时间在青藏高原地区人工增雨（雪）服务工作。</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11、▲能够妥善协调空域管制及地面保障，并能顺利实施作业（出具承诺函）。</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12、▲中标方提供的高性能增压仓人工增雨（雪）作业飞机，执行人工增雨（雪）作业工作期间，由中标方承担飞机运行安全责任。</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13、▲采购方作业人员在机坪控制区工作和飞行作业期间，其安全工作纳入中标方的统一管理。</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四、综合性能</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1、综合性能应满足以下要求： </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（1）商载小于5000kg，飞机升限不低于10km；商载大于5000kg，飞机升限不低于 7km。</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（2）▲每架飞机每次作业飞行时间不小于 4h，其中一架飞机必须具备长航程所需的额外油箱。</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（3）作业飞行速度为360km/h～720km/h。</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（4）具备密封增压舱和舱内温度调节功能。</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2、机载设备</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（1）监测设备</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▲具备观测空速、高度、经纬度、温度、气压、湿度等功能。</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（2）催化设备</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▲焰条、焰弹的一次装载量连续催化时间应不小于3h。</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（3）通信设备</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▲预留飞机和地面之间传输和交互人工影响天气作业信息的设备装载位置。</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五、服务时间</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中标方自合同签订次日起一年内，至少一架高性能增压仓人工增雨（雪）飞机合计完成8.6个月</w:t>
      </w:r>
      <w:r>
        <w:rPr>
          <w:rFonts w:ascii="宋体" w:eastAsia="宋体" w:hAnsi="宋体" w:cs="Times New Roman" w:hint="eastAsia"/>
          <w:szCs w:val="21"/>
          <w:lang w:eastAsia="zh-CN"/>
        </w:rPr>
        <w:t>（</w:t>
      </w:r>
      <w:r>
        <w:rPr>
          <w:rFonts w:ascii="宋体" w:eastAsia="宋体" w:hAnsi="宋体" w:cs="Times New Roman" w:hint="eastAsia"/>
          <w:szCs w:val="21"/>
          <w:lang w:val="en-US" w:eastAsia="zh-CN"/>
        </w:rPr>
        <w:t>8个月18天</w:t>
      </w:r>
      <w:r>
        <w:rPr>
          <w:rFonts w:ascii="宋体" w:eastAsia="宋体" w:hAnsi="宋体" w:cs="Times New Roman" w:hint="eastAsia"/>
          <w:szCs w:val="21"/>
          <w:lang w:eastAsia="zh-CN"/>
        </w:rPr>
        <w:t>）</w:t>
      </w:r>
      <w:r>
        <w:rPr>
          <w:rFonts w:ascii="宋体" w:eastAsia="宋体" w:hAnsi="宋体" w:cs="Times New Roman" w:hint="eastAsia"/>
          <w:szCs w:val="21"/>
        </w:rPr>
        <w:t>人工增雨（雪）服务任务。</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六、技术支持与质量保证</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1、投标人需提供完整详尽的事故处理解决方案。</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2、因作业飞机、有关器械设备出现故障不能作业时，中标方在72小时内解决或提供同型号备用机继续开展增雨作业。</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3、现场响应：现场作业遇到有关问题时，中标方现场负责人应积极与采购方现场派驻人员协商，尽全力保障增雨（雪）顺利进行。</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七、服务团队要求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1、投标人应针对本项目组成专业的服务团队，服务团队人数不少于5人，驻场服务人员不少于5人，提供符合民航规定和证照齐全的飞行人员、机务人员及其他工作人员， 按照相关规定进行飞机检查维护，确保增雨（雪）作业安全。</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2、因项目在青藏高原地区实施，机长需具有一定高性能增压仓飞机在青藏高原地区增雨（雪）飞行的经验，有效保证飞行安全；飞行员需具有高性能增压仓飞机飞行经历；提供飞行经历证明材料复印件并盖章。</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3、机组须负责飞行计划的报批以及与空管部门的沟通协调工作，提供协调机制方案。</w:t>
      </w:r>
    </w:p>
    <w:p>
      <w:pPr>
        <w:snapToGrid w:val="0"/>
        <w:spacing w:before="94" w:beforeLines="30" w:line="52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lang w:val="en-US" w:eastAsia="zh-CN"/>
        </w:rPr>
        <w:t>八、培训</w:t>
      </w:r>
    </w:p>
    <w:p>
      <w:pPr>
        <w:snapToGrid w:val="0"/>
        <w:spacing w:line="520" w:lineRule="exact"/>
        <w:ind w:firstLine="420" w:firstLineChars="200"/>
        <w:rPr>
          <w:szCs w:val="21"/>
        </w:rPr>
      </w:pPr>
      <w:r>
        <w:rPr>
          <w:szCs w:val="21"/>
        </w:rPr>
        <w:t>中标方应对增雨（雪）作业人员进行飞行安全注意事项、出入机坪和在机坪工作注意事项、机场工作规章制度等应尽培训指导义务，使现场增雨作业人员能够正确认识和处理安全等问题，避免出现安全等事故。</w:t>
      </w:r>
    </w:p>
    <w:p>
      <w:pPr>
        <w:spacing w:line="360" w:lineRule="auto"/>
        <w:ind w:firstLine="420" w:firstLineChars="200"/>
        <w:rPr>
          <w:rFonts w:ascii="宋体" w:eastAsia="宋体" w:hAnsi="宋体" w:cs="Times New Roman" w:hint="eastAsia"/>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hint="eastAsia"/>
          <w:b/>
          <w:sz w:val="30"/>
          <w:szCs w:val="30"/>
        </w:rPr>
      </w:pPr>
      <w:bookmarkStart w:id="59" w:name="投标被拒绝条款专用部分_JJTK"/>
      <w:r>
        <w:rPr>
          <w:rFonts w:ascii="宋体" w:hAnsi="宋体" w:hint="eastAsia"/>
          <w:b/>
          <w:sz w:val="30"/>
          <w:szCs w:val="30"/>
        </w:rPr>
        <w:t>第八章  投标被拒绝条款专用部分</w:t>
      </w:r>
    </w:p>
    <w:p>
      <w:pPr>
        <w:adjustRightInd w:val="0"/>
        <w:snapToGrid w:val="0"/>
        <w:spacing w:before="156" w:beforeLines="50" w:line="360" w:lineRule="auto"/>
        <w:rPr>
          <w:rFonts w:ascii="宋体" w:hAnsi="宋体" w:hint="eastAsia"/>
          <w:szCs w:val="21"/>
        </w:rPr>
      </w:pPr>
    </w:p>
    <w:p>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7"/>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tcPr>
          <w:p>
            <w:pPr>
              <w:tabs>
                <w:tab w:val="left" w:pos="709"/>
              </w:tabs>
              <w:spacing w:line="360" w:lineRule="auto"/>
              <w:jc w:val="left"/>
              <w:rPr>
                <w:rFonts w:ascii="宋体" w:hAnsi="宋体" w:hint="eastAsia"/>
                <w:sz w:val="18"/>
                <w:szCs w:val="18"/>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7"/>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vAlign w:val="center"/>
          </w:tcPr>
          <w:p>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服务机型：*高性能增压仓人工增雨（雪）飞机至少一架，需完全满足青藏高原腹地飞机增雨（雪）作业需求，最大升限不低于高度10000米。</w:t>
            </w:r>
          </w:p>
        </w:tc>
      </w:tr>
    </w:tbl>
    <w:p>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66276F">
      <w:pPr>
        <w:numPr>
          <w:ilvl w:val="0"/>
          <w:numId w:val="4"/>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66276F">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66276F">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66276F">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66276F">
      <w:pPr>
        <w:rPr>
          <w:rFonts w:ascii="宋体" w:eastAsia="宋体" w:hAnsi="宋体" w:cs="宋体" w:hint="eastAsia"/>
          <w:b/>
          <w:bCs/>
          <w:spacing w:val="-20"/>
          <w:kern w:val="44"/>
          <w:sz w:val="40"/>
          <w:szCs w:val="40"/>
        </w:rPr>
      </w:pPr>
    </w:p>
    <w:p w:rsidR="0066276F">
      <w:pPr>
        <w:rPr>
          <w:rFonts w:ascii="宋体" w:eastAsia="宋体" w:hAnsi="宋体" w:cs="宋体" w:hint="eastAsia"/>
          <w:b/>
          <w:bCs/>
          <w:spacing w:val="-20"/>
          <w:kern w:val="44"/>
          <w:sz w:val="40"/>
          <w:szCs w:val="40"/>
        </w:rPr>
      </w:pPr>
    </w:p>
    <w:p w:rsidR="0066276F">
      <w:pPr>
        <w:rPr>
          <w:rFonts w:ascii="宋体" w:eastAsia="宋体" w:hAnsi="宋体" w:cs="宋体" w:hint="eastAsia"/>
          <w:b/>
          <w:bCs/>
          <w:spacing w:val="-20"/>
          <w:kern w:val="44"/>
          <w:sz w:val="40"/>
          <w:szCs w:val="40"/>
        </w:rPr>
      </w:pPr>
    </w:p>
    <w:p w:rsidR="0066276F">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66276F">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66276F">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66276F">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66276F">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66276F">
      <w:pPr>
        <w:rPr>
          <w:rFonts w:ascii="Times New Roman" w:eastAsia="宋体" w:hAnsi="Times New Roman" w:cs="Times New Roman"/>
          <w:szCs w:val="20"/>
        </w:rPr>
      </w:pPr>
    </w:p>
    <w:p w:rsidR="0066276F">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66276F">
      <w:pPr>
        <w:rPr>
          <w:rFonts w:ascii="Times New Roman" w:eastAsia="黑体" w:hAnsi="Times New Roman" w:cs="Times New Roman"/>
          <w:sz w:val="44"/>
          <w:szCs w:val="44"/>
        </w:rPr>
      </w:pPr>
    </w:p>
    <w:p w:rsidR="0066276F">
      <w:pPr>
        <w:rPr>
          <w:rFonts w:ascii="Times New Roman" w:eastAsia="黑体" w:hAnsi="Times New Roman" w:cs="Times New Roman"/>
          <w:sz w:val="44"/>
          <w:szCs w:val="44"/>
        </w:rPr>
      </w:pPr>
    </w:p>
    <w:p w:rsidR="0066276F">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66276F">
      <w:pPr>
        <w:ind w:firstLine="640" w:firstLineChars="200"/>
        <w:rPr>
          <w:rFonts w:ascii="仿宋_GB2312" w:eastAsia="仿宋_GB2312" w:hAnsi="仿宋_GB2312" w:cs="仿宋_GB2312" w:hint="eastAsia"/>
          <w:sz w:val="32"/>
          <w:szCs w:val="32"/>
        </w:rPr>
      </w:pPr>
    </w:p>
    <w:p w:rsidR="0066276F">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本合同标准文本适用于气象部门服务类（非定制开发软件）采购项目。</w:t>
      </w:r>
    </w:p>
    <w:p w:rsidR="0066276F">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可以结合采购项目具体情况，对文本作必要的调整修订后使用。</w:t>
      </w:r>
    </w:p>
    <w:p w:rsidR="0066276F">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66276F">
      <w:pPr>
        <w:widowControl/>
        <w:jc w:val="left"/>
        <w:rPr>
          <w:rFonts w:ascii="宋体" w:eastAsia="宋体" w:hAnsi="宋体" w:cs="Times New Roman" w:hint="eastAsia"/>
          <w:szCs w:val="21"/>
        </w:rPr>
      </w:pPr>
      <w:r>
        <w:rPr>
          <w:rFonts w:ascii="宋体" w:eastAsia="宋体" w:hAnsi="宋体" w:cs="Times New Roman"/>
          <w:szCs w:val="21"/>
        </w:rPr>
        <w:br w:type="page"/>
      </w:r>
    </w:p>
    <w:p w:rsidR="0066276F">
      <w:pPr>
        <w:snapToGrid w:val="0"/>
        <w:spacing w:line="360" w:lineRule="auto"/>
        <w:ind w:firstLine="420"/>
        <w:rPr>
          <w:rFonts w:ascii="宋体" w:eastAsia="宋体" w:hAnsi="宋体" w:cs="Times New Roman" w:hint="eastAsia"/>
          <w:szCs w:val="21"/>
        </w:rPr>
      </w:pPr>
    </w:p>
    <w:p w:rsidR="0066276F">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rsidR="0066276F">
      <w:pPr>
        <w:snapToGrid w:val="0"/>
        <w:spacing w:line="360" w:lineRule="auto"/>
        <w:ind w:firstLine="420"/>
        <w:jc w:val="center"/>
        <w:rPr>
          <w:rFonts w:ascii="宋体" w:eastAsia="宋体" w:hAnsi="宋体" w:cs="Times New Roman" w:hint="eastAsia"/>
          <w:szCs w:val="21"/>
        </w:rPr>
      </w:pPr>
    </w:p>
    <w:p w:rsidR="0066276F">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66276F">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66276F">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66276F">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66276F">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66276F">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66276F">
      <w:pPr>
        <w:adjustRightInd w:val="0"/>
        <w:snapToGrid w:val="0"/>
        <w:spacing w:line="360" w:lineRule="auto"/>
        <w:ind w:firstLine="420" w:firstLineChars="200"/>
        <w:rPr>
          <w:rFonts w:ascii="宋体" w:eastAsia="宋体" w:hAnsi="宋体" w:cs="Times New Roman" w:hint="eastAsia"/>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66276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66276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66276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66276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66276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66276F">
            <w:pPr>
              <w:tabs>
                <w:tab w:val="left" w:pos="1573"/>
              </w:tabs>
              <w:autoSpaceDE w:val="0"/>
              <w:autoSpaceDN w:val="0"/>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66276F">
            <w:pPr>
              <w:tabs>
                <w:tab w:val="left" w:pos="1573"/>
              </w:tabs>
              <w:autoSpaceDE w:val="0"/>
              <w:autoSpaceDN w:val="0"/>
              <w:adjustRightInd w:val="0"/>
              <w:snapToGrid w:val="0"/>
              <w:spacing w:line="360" w:lineRule="auto"/>
              <w:rPr>
                <w:rFonts w:ascii="宋体" w:eastAsia="宋体" w:hAnsi="宋体" w:cs="Times New Roman" w:hint="eastAsia"/>
                <w:szCs w:val="21"/>
              </w:rPr>
            </w:pPr>
          </w:p>
        </w:tc>
      </w:tr>
    </w:tbl>
    <w:p w:rsidR="0066276F">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sidR="00777430">
        <w:rPr>
          <w:rFonts w:ascii="宋体" w:eastAsia="宋体" w:hAnsi="宋体" w:cs="Times New Roman" w:hint="eastAsia"/>
          <w:szCs w:val="21"/>
          <w:u w:val="single"/>
        </w:rPr>
        <w:t xml:space="preserve">玖佰肆拾陆万 </w:t>
      </w:r>
      <w:r>
        <w:rPr>
          <w:rFonts w:ascii="宋体" w:eastAsia="宋体" w:hAnsi="宋体" w:cs="Times New Roman" w:hint="eastAsia"/>
          <w:szCs w:val="21"/>
        </w:rPr>
        <w:t>元（大写）：</w:t>
      </w:r>
      <w:r w:rsidRPr="00777430" w:rsidR="00777430">
        <w:rPr>
          <w:rFonts w:ascii="宋体" w:eastAsia="宋体" w:hAnsi="宋体" w:cs="Times New Roman" w:hint="eastAsia"/>
          <w:szCs w:val="21"/>
          <w:u w:val="single"/>
        </w:rPr>
        <w:t>9460</w:t>
      </w:r>
      <w:r w:rsidR="00F0495A">
        <w:rPr>
          <w:rFonts w:ascii="宋体" w:eastAsia="宋体" w:hAnsi="宋体" w:cs="Times New Roman" w:hint="eastAsia"/>
          <w:szCs w:val="21"/>
          <w:u w:val="single"/>
        </w:rPr>
        <w:t>000</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2、合同生效后付款：双方签署合同后</w:t>
      </w:r>
      <w:r w:rsidR="00F0495A">
        <w:rPr>
          <w:rFonts w:ascii="宋体" w:eastAsia="宋体" w:hAnsi="宋体" w:cs="Times New Roman" w:hint="eastAsia"/>
          <w:szCs w:val="21"/>
        </w:rPr>
        <w:t>10</w:t>
      </w:r>
      <w:r>
        <w:rPr>
          <w:rFonts w:ascii="宋体" w:eastAsia="宋体" w:hAnsi="宋体" w:cs="Times New Roman" w:hint="eastAsia"/>
          <w:szCs w:val="21"/>
        </w:rPr>
        <w:t>个工作日内，甲方向乙方支付合同总金额的</w:t>
      </w:r>
      <w:r w:rsidR="00F0495A">
        <w:rPr>
          <w:rFonts w:ascii="宋体" w:eastAsia="宋体" w:hAnsi="宋体" w:cs="微软雅黑" w:hint="eastAsia"/>
          <w:b/>
          <w:color w:val="0000FF"/>
          <w:kern w:val="0"/>
          <w:szCs w:val="21"/>
        </w:rPr>
        <w:t>40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sidR="00F0495A">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00F0495A">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F0495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sidRPr="00F0495A">
        <w:rPr>
          <w:rFonts w:ascii="宋体" w:eastAsia="宋体" w:hAnsi="宋体" w:cs="Times New Roman" w:hint="eastAsia"/>
          <w:szCs w:val="21"/>
        </w:rPr>
        <w:t>2026年8月20日前 ,达到付款条件起1 日，支付合同总金额的40.00%。</w:t>
      </w:r>
    </w:p>
    <w:p w:rsidR="0066276F">
      <w:pPr>
        <w:tabs>
          <w:tab w:val="left" w:pos="1573"/>
        </w:tabs>
        <w:adjustRightInd w:val="0"/>
        <w:snapToGrid w:val="0"/>
        <w:spacing w:line="360" w:lineRule="auto"/>
        <w:ind w:firstLine="420" w:firstLineChars="200"/>
        <w:jc w:val="left"/>
        <w:rPr>
          <w:rFonts w:ascii="Times New Roman" w:eastAsia="宋体" w:hAnsi="宋体" w:cs="Times New Roman" w:hint="eastAsia"/>
          <w:kern w:val="0"/>
          <w:szCs w:val="20"/>
        </w:rPr>
      </w:pPr>
      <w:r>
        <w:rPr>
          <w:rFonts w:ascii="宋体" w:eastAsia="宋体" w:hAnsi="宋体" w:cs="Times New Roman" w:hint="eastAsia"/>
          <w:szCs w:val="21"/>
        </w:rPr>
        <w:t>4、</w:t>
      </w:r>
      <w:r w:rsidRPr="00CA0A93" w:rsidR="00CA0A93">
        <w:rPr>
          <w:rFonts w:ascii="宋体" w:eastAsia="宋体" w:hAnsi="宋体" w:cs="Times New Roman" w:hint="eastAsia"/>
          <w:szCs w:val="21"/>
        </w:rPr>
        <w:t>按2026年内是否完成全部工作的实际情况支付剩余费用： 如中标方在2026年内完成全部工作时，采购方于2026年12月20日前，根据本合同相关条款结算后向中标方支付本合同剩余费用； 如需中标方跨年完成全部工作时，中标方于2026年12 月20日前开具并向采购方提供等额银行履约保函，银行履约保函有效期不少于5个月</w:t>
      </w:r>
      <w:r w:rsidR="00145D9B">
        <w:rPr>
          <w:rFonts w:ascii="宋体" w:eastAsia="宋体" w:hAnsi="宋体" w:cs="Times New Roman" w:hint="eastAsia"/>
          <w:szCs w:val="21"/>
        </w:rPr>
        <w:t>，</w:t>
      </w:r>
      <w:r w:rsidRPr="00CA0A93" w:rsidR="00145D9B">
        <w:rPr>
          <w:rFonts w:ascii="宋体" w:eastAsia="宋体" w:hAnsi="宋体" w:cs="Times New Roman" w:hint="eastAsia"/>
          <w:szCs w:val="21"/>
        </w:rPr>
        <w:t>采购方于2026 年12月20日前，以银行履约保函的形式向中标方支付本合同剩余费用</w:t>
      </w:r>
      <w:r w:rsidRPr="00CA0A93" w:rsidR="00CA0A93">
        <w:rPr>
          <w:rFonts w:ascii="宋体" w:eastAsia="宋体" w:hAnsi="宋体" w:cs="Times New Roman" w:hint="eastAsia"/>
          <w:szCs w:val="21"/>
        </w:rPr>
        <w:t>。中标方完成全部工作并结算后，采购方退还中标方开具的银行履约保函。</w:t>
      </w:r>
    </w:p>
    <w:p w:rsidR="0066276F">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四、甲方应向乙方提供的资料</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甲方提供该乙方履行合同所需的资料清单如下：</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8"/>
        </w:rPr>
      </w:pPr>
    </w:p>
    <w:p w:rsidR="0066276F">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五、进度要求及交付</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66276F">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66276F">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七、履约验收</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（略）</w:t>
      </w:r>
    </w:p>
    <w:p w:rsidR="0066276F">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66276F">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八、风险管理</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（略）</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的可能性、影响程度进行研判，明确管控责任，提出有针对性的处置措施和替代方案。如本项目不属于上述项目，“八、风险管理”可省略）</w:t>
      </w:r>
    </w:p>
    <w:p w:rsidR="0066276F">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九、违约责任</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2、其它违约责任</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66276F">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十、联系方式</w:t>
      </w:r>
    </w:p>
    <w:p w:rsidR="0066276F">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66276F">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66276F">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66276F">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66276F">
      <w:pPr>
        <w:tabs>
          <w:tab w:val="left" w:pos="1573"/>
        </w:tabs>
        <w:adjustRightInd w:val="0"/>
        <w:snapToGrid w:val="0"/>
        <w:ind w:firstLine="315" w:firstLineChars="150"/>
        <w:jc w:val="left"/>
        <w:rPr>
          <w:rFonts w:ascii="宋体" w:eastAsia="宋体" w:hAnsi="宋体" w:cs="Times New Roman" w:hint="eastAsia"/>
          <w:szCs w:val="21"/>
          <w:u w:val="single"/>
        </w:rPr>
      </w:pPr>
    </w:p>
    <w:p w:rsidR="0066276F">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66276F">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66276F">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66276F">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66276F">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66276F">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66276F">
      <w:pPr>
        <w:tabs>
          <w:tab w:val="left" w:pos="1573"/>
        </w:tabs>
        <w:adjustRightInd w:val="0"/>
        <w:snapToGrid w:val="0"/>
        <w:spacing w:line="360" w:lineRule="auto"/>
        <w:ind w:firstLine="420" w:firstLineChars="200"/>
        <w:jc w:val="left"/>
        <w:rPr>
          <w:rFonts w:ascii="宋体" w:eastAsia="宋体" w:hAnsi="宋体" w:cs="Times New Roman" w:hint="eastAsia"/>
          <w:b/>
          <w:szCs w:val="28"/>
        </w:rPr>
      </w:pPr>
    </w:p>
    <w:p w:rsidR="0066276F">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十二、履约保证金</w:t>
      </w:r>
    </w:p>
    <w:p w:rsidR="0066276F">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66276F">
      <w:pPr>
        <w:tabs>
          <w:tab w:val="left" w:pos="1573"/>
        </w:tabs>
        <w:adjustRightInd w:val="0"/>
        <w:snapToGrid w:val="0"/>
        <w:spacing w:line="360" w:lineRule="auto"/>
        <w:ind w:firstLine="412" w:firstLineChars="196"/>
        <w:jc w:val="left"/>
        <w:rPr>
          <w:rFonts w:ascii="宋体" w:eastAsia="宋体" w:hAnsi="宋体" w:cs="Times New Roman" w:hint="eastAsia"/>
          <w:b/>
          <w:szCs w:val="28"/>
        </w:rPr>
      </w:pPr>
    </w:p>
    <w:p w:rsidR="0066276F">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甲方：                                   乙方：</w:t>
      </w:r>
    </w:p>
    <w:p w:rsidR="0066276F">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单位名称：（公章）                        单位名称：（公章）</w:t>
      </w:r>
    </w:p>
    <w:p w:rsidR="0066276F">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法定代表人：                             法定代表人：</w:t>
      </w:r>
    </w:p>
    <w:p w:rsidR="0066276F">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授权代表：                               授权代表：</w:t>
      </w:r>
    </w:p>
    <w:p w:rsidR="0066276F">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签约日期：                               签约日期：</w:t>
      </w:r>
    </w:p>
    <w:p w:rsidR="0066276F">
      <w:pPr>
        <w:widowControl/>
        <w:jc w:val="left"/>
        <w:rPr>
          <w:rFonts w:ascii="宋体" w:eastAsia="宋体" w:hAnsi="宋体" w:cs="Times New Roman" w:hint="eastAsia"/>
          <w:b/>
          <w:szCs w:val="21"/>
        </w:rPr>
      </w:pPr>
      <w:r>
        <w:rPr>
          <w:rFonts w:ascii="宋体" w:eastAsia="宋体" w:hAnsi="宋体" w:cs="Times New Roman"/>
          <w:b/>
          <w:szCs w:val="21"/>
        </w:rPr>
        <w:br w:type="page"/>
      </w:r>
    </w:p>
    <w:p w:rsidR="0066276F">
      <w:pPr>
        <w:spacing w:line="360" w:lineRule="auto"/>
        <w:jc w:val="left"/>
        <w:rPr>
          <w:rFonts w:ascii="Times New Roman" w:eastAsia="宋体" w:hAnsi="Times New Roman" w:cs="Times New Roman"/>
          <w:b/>
          <w:bCs/>
          <w:sz w:val="44"/>
          <w:szCs w:val="44"/>
        </w:rPr>
      </w:pPr>
    </w:p>
    <w:p w:rsidR="0066276F">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第二部分  合同通用部分</w:t>
      </w:r>
    </w:p>
    <w:p w:rsidR="0066276F">
      <w:pPr>
        <w:tabs>
          <w:tab w:val="left" w:pos="1573"/>
        </w:tabs>
        <w:snapToGrid w:val="0"/>
        <w:spacing w:line="360" w:lineRule="auto"/>
        <w:jc w:val="center"/>
        <w:rPr>
          <w:rFonts w:ascii="宋体" w:eastAsia="宋体" w:hAnsi="宋体" w:cs="Times New Roman" w:hint="eastAsia"/>
          <w:szCs w:val="21"/>
        </w:rPr>
      </w:pPr>
    </w:p>
    <w:p w:rsidR="0066276F">
      <w:pPr>
        <w:tabs>
          <w:tab w:val="left" w:pos="1573"/>
        </w:tabs>
        <w:adjustRightInd w:val="0"/>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66276F">
      <w:pPr>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中标通知书</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开标一览表及投标分项报价表</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商务和技术偏离表</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合同条款专用部分</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合同条款通用部分</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采购需求</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双方有关服务的洽商、变更等书面协议或文件</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投标文件、招标文件除以上的其他部分</w:t>
      </w:r>
    </w:p>
    <w:p w:rsidR="0066276F">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其他合同文本</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一、定义</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5、“验收证书”指验收完成后由合同双方签署的最终验收确认书。</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7、“第三人”是指本合同双方以外的任何中国境内、外的自然人、法人或其他经济组织。</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9、“招标文件”指采购中心发布的本项目招标文件。</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二、合同标的</w:t>
      </w:r>
    </w:p>
    <w:p w:rsidR="0066276F">
      <w:pPr>
        <w:numPr>
          <w:ilvl w:val="6"/>
          <w:numId w:val="0"/>
        </w:num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三、合同价格</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四、支付和结算方式</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1、双方因本合同发生的一切费用均以人民币结算及支付。</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2、双方的帐户名称、开户银行及帐号以本合同提供的为准。</w:t>
      </w:r>
    </w:p>
    <w:p w:rsidR="0066276F">
      <w:pPr>
        <w:tabs>
          <w:tab w:val="left" w:pos="1573"/>
        </w:tabs>
        <w:adjustRightInd w:val="0"/>
        <w:snapToGrid w:val="0"/>
        <w:spacing w:line="360" w:lineRule="auto"/>
        <w:ind w:firstLine="420" w:firstLineChars="200"/>
        <w:rPr>
          <w:rFonts w:ascii="Times New Roman" w:eastAsia="宋体" w:hAnsi="宋体" w:cs="Times New Roman" w:hint="eastAsia"/>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66276F">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66276F">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66276F">
      <w:pPr>
        <w:tabs>
          <w:tab w:val="left" w:pos="1573"/>
        </w:tabs>
        <w:adjustRightInd w:val="0"/>
        <w:snapToGrid w:val="0"/>
        <w:spacing w:line="360" w:lineRule="auto"/>
        <w:ind w:firstLine="420" w:firstLineChars="200"/>
        <w:rPr>
          <w:rFonts w:ascii="宋体" w:eastAsia="宋体" w:hAnsi="宋体" w:cs="Times New Roman" w:hint="eastAsia"/>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4、乙方在收到甲方每一笔付款的同时，应向甲方开具相应金额的商业发票。</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五、资料的使用</w:t>
      </w:r>
    </w:p>
    <w:p w:rsidR="0066276F">
      <w:pPr>
        <w:adjustRightInd w:val="0"/>
        <w:snapToGrid w:val="0"/>
        <w:spacing w:line="360" w:lineRule="auto"/>
        <w:ind w:left="105" w:firstLine="315" w:leftChars="50" w:firstLineChars="150"/>
        <w:rPr>
          <w:rFonts w:ascii="宋体" w:eastAsia="宋体" w:hAnsi="宋体" w:cs="Times New Roman" w:hint="eastAsia"/>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2、没有甲方事先书面同意，除了履行本合同之外，乙方不应使用甲方提供的任何文件和资料。</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3、没有甲方事先书面同意，乙方不得泄露与本项目有关的任何资料、数据及其它信息。</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六、知识产权</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1、在本协议生效日前业已存在的版权及其他知识产权应属于本协议生效前既拥有该等权利的一方。</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3、符合法律规定及当事人约定的原则：任何相关事项均应当符合法律规定，及应当符合当事人约定。</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七、进度要求</w:t>
      </w:r>
    </w:p>
    <w:p w:rsidR="0066276F">
      <w:pPr>
        <w:numPr>
          <w:ilvl w:val="6"/>
          <w:numId w:val="0"/>
        </w:numPr>
        <w:adjustRightInd w:val="0"/>
        <w:snapToGrid w:val="0"/>
        <w:spacing w:line="360" w:lineRule="auto"/>
        <w:ind w:firstLine="420" w:firstLineChars="200"/>
        <w:rPr>
          <w:rFonts w:ascii="宋体" w:eastAsia="宋体" w:hAnsi="宋体" w:cs="Times New Roman" w:hint="eastAsia"/>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八、技术服务和保修责任</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九、履约保证金</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4、中标人的履约保证金将在合同服务试经甲方终验合格，履行完必要的审批手续后30日内退还中标人。</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5、如乙方未能完全履行合同规定的义务，甲方有权从履约保证金中得到补偿。</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十、审计及检查</w:t>
      </w:r>
    </w:p>
    <w:p w:rsidR="0066276F">
      <w:pPr>
        <w:tabs>
          <w:tab w:val="left" w:pos="360"/>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十一、违约责任</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（3）上述情形下甲方为采取必要的补救措施或因防止损失扩大而支出的合理费用应由乙方承担。</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5、其它违约责任 </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1）擅自向第三方提供或者转让项目资料的；</w:t>
      </w:r>
    </w:p>
    <w:p w:rsidR="0066276F">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2）未经甲方许可使用项目资料的；</w:t>
      </w:r>
    </w:p>
    <w:p w:rsidR="0066276F">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3）项目完成后，乙方未经甲方许可保留项目资料的；</w:t>
      </w:r>
    </w:p>
    <w:p w:rsidR="0066276F">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4）对项目资料保管不当，造成数据全部或者部分丢失、被窃的。</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7、乙方在进行项目时违反有关保密规定的，依照《中华人民共和国保密法》等有关法律法规的规定处理。</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9、以上各项交付的违约金并不影响违约方履行合同的各项义务。</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66276F">
      <w:pPr>
        <w:adjustRightInd w:val="0"/>
        <w:snapToGrid w:val="0"/>
        <w:spacing w:line="360" w:lineRule="auto"/>
        <w:ind w:firstLine="315" w:firstLineChars="150"/>
        <w:rPr>
          <w:rFonts w:ascii="宋体" w:eastAsia="宋体" w:hAnsi="宋体" w:cs="Times New Roman" w:hint="eastAsia"/>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十二、不可抗力</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十三、联系方式</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3、上述发出通知、回复的费用由发出一方承担。</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十四、保密条款</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十五、合同的解释和法律适用</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2、本合同标题仅供查阅方便，并非对本合同的诠释或解释；本合同中以日表述的时间期限均指自然日。</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3、对本合同的任何解释均应以书面作出。</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十六、合同的终止</w:t>
      </w:r>
    </w:p>
    <w:p w:rsidR="0066276F">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1、本合同因下列原因而终止：</w:t>
      </w:r>
    </w:p>
    <w:p w:rsidR="0066276F">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（1）本合同正常履行完毕；</w:t>
      </w:r>
    </w:p>
    <w:p w:rsidR="0066276F">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（2）合同双方协议终止本合同的履行；</w:t>
      </w:r>
    </w:p>
    <w:p w:rsidR="0066276F">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（3）不可抗力事件导致本合同无法履行或履行不必要；</w:t>
      </w:r>
    </w:p>
    <w:p w:rsidR="0066276F">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（4）任何一方行使解除权，解除本合同。</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十七、法律适用</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十八、权利的保留</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十九、争议的解决</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（1）在甲方所在地有管辖权的人民法院提起诉讼。</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3、在争议解决期间，除了诉讼进行过程中正在解决的部分问题外，合同其余部分应继续履行。</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二十、合同的补充、修改和变更</w:t>
      </w:r>
    </w:p>
    <w:p w:rsidR="0066276F">
      <w:pPr>
        <w:adjustRightInd w:val="0"/>
        <w:snapToGrid w:val="0"/>
        <w:spacing w:line="360" w:lineRule="auto"/>
        <w:ind w:firstLine="420" w:firstLineChars="200"/>
        <w:rPr>
          <w:rFonts w:ascii="宋体" w:eastAsia="宋体" w:hAnsi="宋体" w:cs="Times New Roman" w:hint="eastAsia"/>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66276F">
      <w:pPr>
        <w:adjustRightInd w:val="0"/>
        <w:snapToGrid w:val="0"/>
        <w:spacing w:line="360" w:lineRule="auto"/>
        <w:ind w:left="420"/>
        <w:rPr>
          <w:rFonts w:ascii="宋体" w:eastAsia="宋体" w:hAnsi="宋体" w:cs="Times New Roman" w:hint="eastAsia"/>
          <w:szCs w:val="21"/>
        </w:rPr>
      </w:pPr>
      <w:r>
        <w:rPr>
          <w:rFonts w:ascii="宋体" w:eastAsia="宋体" w:hAnsi="宋体" w:cs="Times New Roman" w:hint="eastAsia"/>
          <w:szCs w:val="21"/>
        </w:rPr>
        <w:t>7、任何对合同条件的变更或修改均须双方签订书面的修改书。</w:t>
      </w:r>
    </w:p>
    <w:p w:rsidR="0066276F">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二十一、合同的生效</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本合同经双方法定代表人（负责人）或授权代表签字并加盖单位公章后生效。</w:t>
      </w:r>
    </w:p>
    <w:p w:rsidR="0066276F">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二十二、其它约定事项</w:t>
      </w:r>
    </w:p>
    <w:p w:rsidR="0066276F">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1、本合同中的附件均为本合同不可分割的部分，与本合同具有相同的法律效力。</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3、本合同正本一式两份，甲、乙双方各执一份，每份正本具有同等法律效力，副本报财政部备案。</w:t>
      </w:r>
    </w:p>
    <w:p w:rsidR="0066276F">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4、本合同涉及的招标文件和投标文件，正本由中国气象局政府采购中心保存。</w:t>
      </w:r>
    </w:p>
    <w:p w:rsidR="0066276F">
      <w:pPr>
        <w:tabs>
          <w:tab w:val="left" w:pos="1573"/>
        </w:tabs>
        <w:adjustRightInd w:val="0"/>
        <w:snapToGrid w:val="0"/>
        <w:spacing w:line="360" w:lineRule="auto"/>
        <w:ind w:firstLine="412" w:firstLineChars="196"/>
        <w:jc w:val="left"/>
        <w:rPr>
          <w:rFonts w:ascii="宋体" w:eastAsia="宋体" w:hAnsi="宋体" w:cs="Times New Roman" w:hint="eastAsia"/>
          <w:szCs w:val="21"/>
        </w:rPr>
      </w:pPr>
    </w:p>
    <w:p w:rsidR="0066276F"/>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5D9B"/>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276F"/>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77430"/>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A93"/>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0495A"/>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