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云南省加密气象观测网建设项目（2025年-2026年）-X波段相控阵天气雷达系统购置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ZQCD-26079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云南省加密气象观测网建设项目（2025年-2026年）-X波段相控阵天气雷达系统购置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ZQCD-26079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云南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2026年05月29日 00:00:00</w:t>
      </w:r>
      <w:bookmarkEnd w:id="26"/>
      <w:r>
        <w:rPr>
          <w:rFonts w:ascii="宋体" w:hint="eastAsia"/>
          <w:szCs w:val="21"/>
          <w:highlight w:val="none"/>
        </w:rPr>
        <w:t>至</w:t>
      </w:r>
      <w:bookmarkStart w:id="27" w:name="项目公告_signUpLastTime"/>
      <w:r>
        <w:rPr>
          <w:rFonts w:ascii="宋体" w:hint="eastAsia"/>
          <w:szCs w:val="21"/>
          <w:highlight w:val="none"/>
        </w:rPr>
        <w:t>2026年06月05日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2026年06月22日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解莉燕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0871-64114397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云南省昆明市西昌路77号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云南省气象局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不允许（仅针对以下产品：1、X波段相控阵天气雷达系统不允许代理商投标）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设有，核心产品为X波段双线偏振相控阵天气雷达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（1）标的：X波段相控阵天气雷达系统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是，中标服务费：10.6万元。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2,475.000000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2,475.000000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销售合同必须包括X波段相控阵天气雷达，每提供1份合同得1分，最多得5分。否则不得分。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(1)</w:t>
            </w:r>
          </w:p>
        </w:tc>
        <w:tc>
          <w:tcPr/>
          <w:p>
            <w:r>
              <w:t>评审标准：</w:t>
            </w:r>
          </w:p>
          <w:p>
            <w:r>
              <w:t>一档0分</w:t>
              <w:cr/>
              <w:t>二档0.25分</w:t>
              <w:cr/>
              <w:t>三档0.5分</w:t>
              <w:cr/>
              <w:t>四档1分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针对本项目采购的X波段相控阵天气雷达，承诺每提前10天交货的得1分，最多得1分。否则不得分。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针对X波段相控阵天气雷达设备，每提供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雷达主机及附属设备重要技术指标（客观分）</w:t>
            </w:r>
          </w:p>
        </w:tc>
        <w:tc>
          <w:tcPr/>
          <w:p>
            <w:r>
              <w:t>区间打分</w:t>
            </w:r>
            <w:r>
              <w:t>(28)</w:t>
            </w:r>
          </w:p>
        </w:tc>
        <w:tc>
          <w:tcPr/>
          <w:p>
            <w:r>
              <w:t>评审标准：</w:t>
            </w:r>
          </w:p>
          <w:p>
            <w:r>
              <w:t>标注#的重要指标共40项，每满足1项（如有多个下级指标，则每个下级指标均应满足）得0.7分，满分28分。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雷达主机及附属设备技术方案（主观分）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cr/>
            </w:r>
          </w:p>
          <w:p/>
        </w:tc>
      </w:tr>
      <w:tr>
        <w:tblPrEx>
          <w:tblW w:w="5000" w:type="pct"/>
          <w:tblCellMar>
            <w:left w:w="108" w:type="dxa"/>
            <w:right w:w="108" w:type="dxa"/>
          </w:tblCellMar>
        </w:tblPrEx>
        <w:tc>
          <w:tcPr/>
          <w:p>
            <w:r>
              <w:t>12</w:t>
            </w:r>
          </w:p>
        </w:tc>
        <w:tc>
          <w:tcPr>
            <w:vMerge/>
          </w:tcPr>
          <w:p>
            <w:r>
              <w:t>技术部分</w:t>
            </w:r>
          </w:p>
        </w:tc>
        <w:tc>
          <w:tcPr/>
          <w:p>
            <w:r>
              <w:t>雷达主机及附属设备综合性能（主观分）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根据投标人提供能证明雷达主机（含附属设备）技术性能的第三方测试报告进行评分，具体评分标准如下：</w:t>
              <w:cr/>
              <w:t>一档：综合技术性能不能满足采购文件要求。</w:t>
              <w:cr/>
              <w:t>二档：综合技术性能满足采购文件要求。</w:t>
              <w:cr/>
              <w:t xml:space="preserve">三档：综合技术性能满足且部分优于采购文件要求。 </w:t>
              <w:cr/>
              <w:t>四档：综合技术性能满足且总体上优于采购文件要求。</w:t>
              <w:cr/>
              <w:t>注：应提供能证明雷达主机（含附属设备）技术性能的第三方测试报告（包括测试内容、测试方法、测试结论等），并加盖投标人公章。其中，测试内容应包括但不限于标注#的指标。综合技术性能由评审委员会根据技术性能指标，主观综合评判。</w:t>
              <w:cr/>
            </w:r>
          </w:p>
          <w:p/>
        </w:tc>
      </w:tr>
      <w:tr>
        <w:tblPrEx>
          <w:tblW w:w="5000" w:type="pct"/>
          <w:tblCellMar>
            <w:left w:w="108" w:type="dxa"/>
            <w:right w:w="108" w:type="dxa"/>
          </w:tblCellMar>
        </w:tblPrEx>
        <w:tc>
          <w:tcPr/>
          <w:p>
            <w:r>
              <w:t>13</w:t>
            </w:r>
          </w:p>
        </w:tc>
        <w:tc>
          <w:tcPr>
            <w:vMerge/>
          </w:tcPr>
          <w:p>
            <w:r>
              <w:t>技术部分</w:t>
            </w:r>
          </w:p>
        </w:tc>
        <w:tc>
          <w:tcPr/>
          <w:p>
            <w:r>
              <w:t>软件功能开发需求分析（主观分）</w:t>
            </w:r>
          </w:p>
        </w:tc>
        <w:tc>
          <w:tcPr/>
          <w:p>
            <w:r>
              <w:t>勾选打分</w:t>
            </w:r>
            <w:r>
              <w:t>(4)</w:t>
            </w:r>
          </w:p>
        </w:tc>
        <w:tc>
          <w:tcPr/>
          <w:p>
            <w:r>
              <w:t>评审标准：</w:t>
            </w:r>
          </w:p>
          <w:p>
            <w:r>
              <w:t>一档0分</w:t>
              <w:cr/>
              <w:t xml:space="preserve"> 二档1分</w:t>
              <w:cr/>
              <w:t xml:space="preserve"> 三档2分</w:t>
              <w:cr/>
              <w:t xml:space="preserve"> 四档4分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针对雷达应用的软件场景分析、应用需求、智能支撑需求分析到位，符合采购人气象业务现状，对软件系统各模块进行功能需求拆分，并对各个功能点进行详细功能需求分析，完全覆盖招标文件功能要求，需求分析完整详细合理。</w:t>
              <w:cr/>
            </w:r>
          </w:p>
          <w:p/>
        </w:tc>
      </w:tr>
      <w:tr>
        <w:tblPrEx>
          <w:tblW w:w="5000" w:type="pct"/>
          <w:tblCellMar>
            <w:left w:w="108" w:type="dxa"/>
            <w:right w:w="108" w:type="dxa"/>
          </w:tblCellMar>
        </w:tblPrEx>
        <w:tc>
          <w:tcPr/>
          <w:p>
            <w:r>
              <w:t>14</w:t>
            </w:r>
          </w:p>
        </w:tc>
        <w:tc>
          <w:tcPr>
            <w:vMerge/>
          </w:tcPr>
          <w:p>
            <w:r>
              <w:t>技术部分</w:t>
            </w:r>
          </w:p>
        </w:tc>
        <w:tc>
          <w:tcPr/>
          <w:p>
            <w:r>
              <w:t>软件技术方案（主观分）</w:t>
            </w:r>
          </w:p>
        </w:tc>
        <w:tc>
          <w:tcPr/>
          <w:p>
            <w:r>
              <w:t>勾选打分</w:t>
            </w:r>
            <w:r>
              <w:t>(4)</w:t>
            </w:r>
          </w:p>
        </w:tc>
        <w:tc>
          <w:tcPr/>
          <w:p>
            <w:r>
              <w:t>评审标准：</w:t>
            </w:r>
          </w:p>
          <w:p>
            <w:r>
              <w:t>一档0分</w:t>
              <w:cr/>
              <w:t>二档1分</w:t>
              <w:cr/>
              <w:t>三档2分</w:t>
              <w:cr/>
              <w:t>四档4分</w:t>
            </w:r>
          </w:p>
          <w:p>
            <w:r>
              <w:t>评审标准说明：</w:t>
            </w:r>
          </w:p>
          <w:p>
            <w:r>
              <w:t>提供软件的整体架构、接口设计、模块设计和部署设计等技术方案。具体评分标准如下：</w:t>
              <w:cr/>
              <w:t>一档：无软件技术方案；</w:t>
              <w:cr/>
              <w:t>二档：软件技术方案不完整，软件各部分技术方案不具体、不充分、不详细，可行性针对性差；</w:t>
              <w:cr/>
              <w:t>三档：软件技术方案较完整，技术思路合理、关键技术分析较清晰，解决措施有一定可行性针对性，能基本满足采购需求。</w:t>
              <w:cr/>
              <w:t>四档：软件技术方案完整、详实，描述清楚，逻辑性强，图文规范；技术先进，针对关建技术的分析详细，解决措施切实可行，针对性强，完全满足采购需求。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15</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根据投标人提供的实施方案进行评分。具体如下：实施方案应结合采购需求，包括投标产品的生产、运输、安装、部署、调试及试运行等。具体评分标准如下：</w:t>
              <w:cr/>
              <w:t>一档：未提供实施方案。</w:t>
              <w:cr/>
              <w:t>二档：实施方案不完整（指缺失投标产品的生产、运输、安装、部署、调试及试运行的任意一项内容）；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cr/>
            </w:r>
          </w:p>
          <w:p/>
        </w:tc>
      </w:tr>
      <w:tr>
        <w:tblPrEx>
          <w:tblW w:w="5000" w:type="pct"/>
          <w:tblCellMar>
            <w:left w:w="108" w:type="dxa"/>
            <w:right w:w="108" w:type="dxa"/>
          </w:tblCellMar>
        </w:tblPrEx>
        <w:tc>
          <w:tcPr/>
          <w:p>
            <w:r>
              <w:t>16</w:t>
            </w:r>
          </w:p>
        </w:tc>
        <w:tc>
          <w:tcPr>
            <w:vMerge/>
          </w:tcPr>
          <w:p>
            <w:r>
              <w:t>技术部分</w:t>
            </w:r>
          </w:p>
        </w:tc>
        <w:tc>
          <w:tcPr/>
          <w:p>
            <w:r>
              <w:t>雷达主机的环境适应性（客观分）</w:t>
            </w:r>
          </w:p>
        </w:tc>
        <w:tc>
          <w:tcPr/>
          <w:p>
            <w:r>
              <w:t>勾选打分</w:t>
            </w:r>
            <w:r>
              <w:t>(3)</w:t>
            </w:r>
          </w:p>
        </w:tc>
        <w:tc>
          <w:tcPr/>
          <w:p>
            <w:r>
              <w:t>评审标准：</w:t>
            </w:r>
          </w:p>
          <w:p>
            <w:r>
              <w:t>针对X波段相控阵天气雷达设备，测试报告应涵盖高低温测试，电磁环境测试，低气压环境适应性测试内容（环境指标），每包含一项得1分，最多得3分。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17</w:t>
            </w:r>
          </w:p>
        </w:tc>
        <w:tc>
          <w:tcPr>
            <w:vMerge/>
          </w:tcPr>
          <w:p>
            <w:r>
              <w:t>技术部分</w:t>
            </w:r>
          </w:p>
        </w:tc>
        <w:tc>
          <w:tcPr/>
          <w:p>
            <w:r>
              <w:t>雷达主机软件兼容性（客观分）</w:t>
            </w:r>
          </w:p>
        </w:tc>
        <w:tc>
          <w:tcPr/>
          <w:p>
            <w:r>
              <w:t>勾选打分</w:t>
            </w:r>
            <w:r>
              <w:t>(3)</w:t>
            </w:r>
          </w:p>
        </w:tc>
        <w:tc>
          <w:tcPr/>
          <w:p>
            <w:r>
              <w:t>评审标准：</w:t>
            </w:r>
          </w:p>
          <w:p>
            <w:r>
              <w:t>投标产品软件兼容性强，观测数据能接入采购人现有气象数据平台得3分。否则不得分。</w:t>
            </w:r>
          </w:p>
          <w:p>
            <w:r>
              <w:t>评审标准说明：</w:t>
            </w:r>
          </w:p>
          <w:p>
            <w:r>
              <w:t>需提供用户证明或详细可行的接入方案。</w:t>
            </w:r>
          </w:p>
          <w:p/>
        </w:tc>
      </w:tr>
    </w:tbl>
    <w:p w:rsidR="00A77B3E">
      <w:r>
        <w:t xml:space="preserve">      </w:t>
      </w:r>
    </w:p>
    <w:p w:rsidR="00A77B3E"/>
    <w:p w:rsidR="00A77B3E">
      <w:bookmarkEnd w:id="58"/>
    </w:p>
    <w:p w:rsidR="00402E54">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402E54">
      <w:pPr>
        <w:spacing w:line="560" w:lineRule="exact"/>
        <w:ind w:firstLine="560" w:firstLineChars="200"/>
        <w:outlineLvl w:val="1"/>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一、项目概况及总体要求</w:t>
      </w:r>
    </w:p>
    <w:p w:rsidR="00402E54">
      <w:pPr>
        <w:spacing w:line="560" w:lineRule="exact"/>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按照云南省委、省政府对云南“1262”精细化预报与响应联动机制（以下简称“1262”机制）高效运行的工作要求，围绕“加密点、覆盖面、智算准”提升气象预报能力的工作思路，通过2年的集中投入，有效填补重点区域强降水天气监测盲区，建立“提早发现、准确预报、智能预警”</w:t>
      </w:r>
      <w:r>
        <w:rPr>
          <w:rFonts w:ascii="仿宋_GB2312" w:eastAsia="仿宋_GB2312" w:hAnsi="仿宋_GB2312" w:cs="仿宋_GB2312" w:hint="eastAsia"/>
          <w:sz w:val="28"/>
          <w:szCs w:val="20"/>
        </w:rPr>
        <w:t>的数智防汛</w:t>
      </w:r>
      <w:r>
        <w:rPr>
          <w:rFonts w:ascii="仿宋_GB2312" w:eastAsia="仿宋_GB2312" w:hAnsi="仿宋_GB2312" w:cs="仿宋_GB2312" w:hint="eastAsia"/>
          <w:sz w:val="28"/>
          <w:szCs w:val="20"/>
        </w:rPr>
        <w:t>“1262”预报预警系统，显著提升“1262”机制高效运行的预报支撑能力。加密建设天气雷达，全省天气雷达距地1公里高度覆盖率从88%提升到95%，提升对暴雨等灾害性天气的监测能力。</w:t>
      </w:r>
    </w:p>
    <w:p w:rsidR="00402E54">
      <w:pPr>
        <w:spacing w:line="560" w:lineRule="exact"/>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根据项目建设内容和规模，本项目2026年在云南马龙、云南沾益、云南呈贡新建</w:t>
      </w:r>
      <w:r>
        <w:rPr>
          <w:rFonts w:ascii="仿宋_GB2312" w:eastAsia="仿宋_GB2312" w:hAnsi="仿宋_GB2312" w:cs="仿宋_GB2312" w:hint="eastAsia"/>
          <w:sz w:val="28"/>
        </w:rPr>
        <w:t>3部X波段相控阵天气雷达及配套设备、软件产品等。2026年12月30日前建成投入业务运行</w:t>
      </w:r>
      <w:r>
        <w:rPr>
          <w:rFonts w:ascii="仿宋_GB2312" w:eastAsia="仿宋_GB2312" w:hAnsi="仿宋_GB2312" w:cs="仿宋_GB2312" w:hint="eastAsia"/>
          <w:sz w:val="28"/>
          <w:szCs w:val="20"/>
        </w:rPr>
        <w:t>。</w:t>
      </w:r>
    </w:p>
    <w:p w:rsidR="00402E54">
      <w:pPr>
        <w:spacing w:line="560" w:lineRule="exact"/>
        <w:ind w:firstLine="560" w:firstLineChars="200"/>
        <w:outlineLvl w:val="1"/>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二、设备需求一览表（见第七章 采购需求 附表）</w:t>
      </w:r>
    </w:p>
    <w:p w:rsidR="00402E54">
      <w:pPr>
        <w:spacing w:line="560" w:lineRule="exact"/>
        <w:ind w:firstLine="560" w:firstLineChars="200"/>
        <w:outlineLvl w:val="1"/>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三、技术性能指标</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参照《X波段双线偏振一维平面相控阵气象雷达系统功能规格需求书（修订）》（中国气象局综合观测司2024年12月发布版本）。《新一代短临预警业务体系建设工作方案（2026-2030年）》（气发2025年88号）。</w:t>
      </w:r>
    </w:p>
    <w:p w:rsidR="00402E54">
      <w:pPr>
        <w:numPr>
          <w:ilvl w:val="1"/>
          <w:numId w:val="0"/>
        </w:numPr>
        <w:ind w:firstLine="560" w:firstLineChars="200"/>
        <w:outlineLvl w:val="2"/>
        <w:rPr>
          <w:rFonts w:ascii="仿宋_GB2312" w:eastAsia="仿宋_GB2312" w:hAnsi="仿宋_GB2312" w:cs="仿宋_GB2312" w:hint="eastAsia"/>
          <w:b/>
          <w:bCs/>
        </w:rPr>
      </w:pPr>
      <w:r>
        <w:rPr>
          <w:rFonts w:ascii="仿宋_GB2312" w:eastAsia="仿宋_GB2312" w:hAnsi="仿宋_GB2312" w:cs="仿宋_GB2312" w:hint="eastAsia"/>
          <w:b/>
          <w:bCs/>
          <w:sz w:val="28"/>
        </w:rPr>
        <w:t>3.1</w:t>
      </w:r>
      <w:r>
        <w:rPr>
          <w:rFonts w:ascii="仿宋_GB2312" w:eastAsia="仿宋_GB2312" w:hAnsi="仿宋_GB2312" w:cs="仿宋_GB2312" w:hint="eastAsia"/>
          <w:b/>
          <w:bCs/>
          <w:sz w:val="28"/>
          <w:szCs w:val="28"/>
        </w:rPr>
        <w:t xml:space="preserve"> X</w:t>
      </w:r>
      <w:r>
        <w:rPr>
          <w:rFonts w:ascii="仿宋_GB2312" w:eastAsia="仿宋_GB2312" w:hAnsi="仿宋_GB2312" w:cs="仿宋_GB2312" w:hint="eastAsia"/>
          <w:b/>
          <w:bCs/>
          <w:sz w:val="28"/>
          <w:szCs w:val="28"/>
        </w:rPr>
        <w:t>波段双</w:t>
      </w:r>
      <w:r>
        <w:rPr>
          <w:rFonts w:ascii="仿宋_GB2312" w:eastAsia="仿宋_GB2312" w:hAnsi="仿宋_GB2312" w:cs="仿宋_GB2312" w:hint="eastAsia"/>
          <w:b/>
          <w:bCs/>
          <w:sz w:val="28"/>
          <w:szCs w:val="28"/>
        </w:rPr>
        <w:t>线偏振一维平面相控阵天气雷达总体性能指标</w:t>
      </w:r>
    </w:p>
    <w:tbl>
      <w:tblPr>
        <w:tblStyle w:val="TableNormal0"/>
        <w:tblW w:w="831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745"/>
        <w:gridCol w:w="998"/>
        <w:gridCol w:w="6572"/>
      </w:tblGrid>
      <w:tr>
        <w:tblPrEx>
          <w:tblW w:w="831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Ex>
        <w:trPr>
          <w:tblHeade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b/>
                <w:bCs/>
                <w:szCs w:val="18"/>
                <w:lang w:eastAsia="en-US"/>
              </w:rPr>
            </w:pPr>
            <w:r>
              <w:rPr>
                <w:rFonts w:hint="eastAsia"/>
                <w:b/>
                <w:bCs/>
                <w:szCs w:val="18"/>
                <w:lang w:eastAsia="en-US"/>
              </w:rPr>
              <w:t>项目</w:t>
            </w:r>
          </w:p>
        </w:tc>
        <w:tc>
          <w:tcPr>
            <w:tcW w:w="6572" w:type="dxa"/>
            <w:tcBorders>
              <w:tl2br w:val="nil"/>
              <w:tr2bl w:val="nil"/>
            </w:tcBorders>
            <w:vAlign w:val="center"/>
          </w:tcPr>
          <w:p w:rsidR="00402E54">
            <w:pPr>
              <w:pStyle w:val="NoSpacing"/>
              <w:snapToGrid w:val="0"/>
              <w:spacing w:line="240" w:lineRule="auto"/>
              <w:jc w:val="center"/>
              <w:rPr>
                <w:rFonts w:hint="eastAsia"/>
                <w:b/>
                <w:bCs/>
                <w:szCs w:val="18"/>
                <w:lang w:eastAsia="en-US"/>
              </w:rPr>
            </w:pPr>
            <w:r>
              <w:rPr>
                <w:rFonts w:hint="eastAsia"/>
                <w:b/>
                <w:bCs/>
                <w:szCs w:val="18"/>
                <w:lang w:eastAsia="en-US"/>
              </w:rPr>
              <w:t>性能指标</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highlight w:val="yellow"/>
              </w:rPr>
            </w:pPr>
            <w:r>
              <w:rPr>
                <w:rFonts w:hint="eastAsia"/>
                <w:szCs w:val="18"/>
                <w:highlight w:val="yellow"/>
              </w:rPr>
              <w:t>#雷达体制</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双线偏振一维全固态数字平面相控阵体制</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highlight w:val="yellow"/>
              </w:rPr>
            </w:pPr>
            <w:r>
              <w:rPr>
                <w:rFonts w:hint="eastAsia"/>
                <w:szCs w:val="18"/>
                <w:highlight w:val="yellow"/>
              </w:rPr>
              <w:t>#收发模式</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双发双收、单发双收、</w:t>
            </w:r>
            <w:r>
              <w:rPr>
                <w:rFonts w:hint="eastAsia"/>
                <w:szCs w:val="18"/>
              </w:rPr>
              <w:t>宽发窄收、窄发窄收</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工作频率</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9.3～9.5GHz，</w:t>
            </w:r>
            <w:r>
              <w:rPr>
                <w:rFonts w:hint="eastAsia"/>
                <w:szCs w:val="18"/>
              </w:rPr>
              <w:t>点频工作</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整机寿命</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≥15年</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探测距离范围</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强度：警戒≥120km</w:t>
            </w:r>
          </w:p>
          <w:p w:rsidR="00402E54">
            <w:pPr>
              <w:pStyle w:val="NoSpacing"/>
              <w:snapToGrid w:val="0"/>
              <w:spacing w:line="240" w:lineRule="auto"/>
              <w:rPr>
                <w:rFonts w:hint="eastAsia"/>
                <w:szCs w:val="18"/>
              </w:rPr>
            </w:pPr>
            <w:r>
              <w:rPr>
                <w:rFonts w:hint="eastAsia"/>
                <w:szCs w:val="18"/>
              </w:rPr>
              <w:t>定量≥60km</w:t>
            </w:r>
          </w:p>
          <w:p w:rsidR="00402E54">
            <w:pPr>
              <w:pStyle w:val="NoSpacing"/>
              <w:snapToGrid w:val="0"/>
              <w:spacing w:line="240" w:lineRule="auto"/>
              <w:rPr>
                <w:rFonts w:hint="eastAsia"/>
                <w:szCs w:val="18"/>
              </w:rPr>
            </w:pPr>
            <w:r>
              <w:rPr>
                <w:rFonts w:hint="eastAsia"/>
                <w:szCs w:val="18"/>
              </w:rPr>
              <w:t>速度：≥60km</w:t>
            </w:r>
          </w:p>
          <w:p w:rsidR="00402E54">
            <w:pPr>
              <w:pStyle w:val="NoSpacing"/>
              <w:snapToGrid w:val="0"/>
              <w:spacing w:line="240" w:lineRule="auto"/>
              <w:rPr>
                <w:rFonts w:hint="eastAsia"/>
                <w:szCs w:val="18"/>
              </w:rPr>
            </w:pPr>
            <w:r>
              <w:rPr>
                <w:rFonts w:hint="eastAsia"/>
                <w:szCs w:val="18"/>
              </w:rPr>
              <w:t>谱宽：≥60km</w:t>
            </w:r>
          </w:p>
          <w:p w:rsidR="00402E54">
            <w:pPr>
              <w:pStyle w:val="NoSpacing"/>
              <w:snapToGrid w:val="0"/>
              <w:spacing w:line="240" w:lineRule="auto"/>
              <w:rPr>
                <w:rFonts w:hint="eastAsia"/>
                <w:szCs w:val="18"/>
              </w:rPr>
            </w:pPr>
            <w:r>
              <w:rPr>
                <w:rFonts w:hint="eastAsia"/>
                <w:szCs w:val="18"/>
              </w:rPr>
              <w:t>偏振参数：≥60km</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highlight w:val="yellow"/>
              </w:rPr>
              <w:t>#近距离盲区范围</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≤300米</w:t>
            </w:r>
          </w:p>
        </w:tc>
      </w:tr>
      <w:tr>
        <w:tblPrEx>
          <w:tblW w:w="8315" w:type="dxa"/>
          <w:jc w:val="center"/>
          <w:tblInd w:w="0" w:type="dxa"/>
          <w:tblLook w:val="04A0"/>
        </w:tblPrEx>
        <w:trPr>
          <w:jc w:val="center"/>
        </w:trPr>
        <w:tc>
          <w:tcPr>
            <w:tcW w:w="1743" w:type="dxa"/>
            <w:gridSpan w:val="2"/>
            <w:vMerge w:val="restart"/>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highlight w:val="yellow"/>
              </w:rPr>
              <w:t>#可探测的最小反射率因子</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≤8dBZ（3 千米处、脉宽0.5 μs、分辨率75m、法向、单极化）</w:t>
            </w:r>
          </w:p>
        </w:tc>
      </w:tr>
      <w:tr>
        <w:tblPrEx>
          <w:tblW w:w="8315" w:type="dxa"/>
          <w:jc w:val="center"/>
          <w:tblInd w:w="0" w:type="dxa"/>
          <w:tblLook w:val="04A0"/>
        </w:tblPrEx>
        <w:trPr>
          <w:jc w:val="center"/>
        </w:trPr>
        <w:tc>
          <w:tcPr>
            <w:tcW w:w="1743" w:type="dxa"/>
            <w:gridSpan w:val="2"/>
            <w:vMerge/>
            <w:tcBorders>
              <w:tl2br w:val="nil"/>
              <w:tr2bl w:val="nil"/>
            </w:tcBorders>
            <w:vAlign w:val="center"/>
          </w:tcPr>
          <w:p w:rsidR="00402E54">
            <w:pPr>
              <w:pStyle w:val="NoSpacing"/>
              <w:snapToGrid w:val="0"/>
              <w:spacing w:line="240" w:lineRule="auto"/>
              <w:jc w:val="center"/>
              <w:rPr>
                <w:rFonts w:hint="eastAsia"/>
                <w:szCs w:val="18"/>
              </w:rPr>
            </w:pP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≤5dBZ（12 千米处、脉宽20 μs、分辨率75m、法向、单极化）</w:t>
            </w:r>
          </w:p>
        </w:tc>
      </w:tr>
      <w:tr>
        <w:tblPrEx>
          <w:tblW w:w="8315" w:type="dxa"/>
          <w:jc w:val="center"/>
          <w:tblInd w:w="0" w:type="dxa"/>
          <w:tblLook w:val="04A0"/>
        </w:tblPrEx>
        <w:trPr>
          <w:jc w:val="center"/>
        </w:trPr>
        <w:tc>
          <w:tcPr>
            <w:tcW w:w="1743" w:type="dxa"/>
            <w:gridSpan w:val="2"/>
            <w:vMerge/>
            <w:tcBorders>
              <w:tl2br w:val="nil"/>
              <w:tr2bl w:val="nil"/>
            </w:tcBorders>
            <w:vAlign w:val="center"/>
          </w:tcPr>
          <w:p w:rsidR="00402E54">
            <w:pPr>
              <w:pStyle w:val="NoSpacing"/>
              <w:snapToGrid w:val="0"/>
              <w:spacing w:line="240" w:lineRule="auto"/>
              <w:jc w:val="center"/>
              <w:rPr>
                <w:rFonts w:hint="eastAsia"/>
                <w:szCs w:val="18"/>
              </w:rPr>
            </w:pP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≤11dBZ（50 千米处、脉宽100 μs、分辨率75m、法向、单极化）</w:t>
            </w:r>
          </w:p>
        </w:tc>
      </w:tr>
      <w:tr>
        <w:tblPrEx>
          <w:tblW w:w="8315" w:type="dxa"/>
          <w:jc w:val="center"/>
          <w:tblInd w:w="0" w:type="dxa"/>
          <w:tblLook w:val="04A0"/>
        </w:tblPrEx>
        <w:trPr>
          <w:jc w:val="center"/>
        </w:trPr>
        <w:tc>
          <w:tcPr>
            <w:tcW w:w="1743" w:type="dxa"/>
            <w:gridSpan w:val="2"/>
            <w:vMerge/>
            <w:tcBorders>
              <w:tl2br w:val="nil"/>
              <w:tr2bl w:val="nil"/>
            </w:tcBorders>
            <w:vAlign w:val="center"/>
          </w:tcPr>
          <w:p w:rsidR="00402E54">
            <w:pPr>
              <w:pStyle w:val="NoSpacing"/>
              <w:snapToGrid w:val="0"/>
              <w:spacing w:line="240" w:lineRule="auto"/>
              <w:jc w:val="center"/>
              <w:rPr>
                <w:rFonts w:hint="eastAsia"/>
                <w:szCs w:val="18"/>
              </w:rPr>
            </w:pP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 xml:space="preserve">≤16dBZ（3 千米处、脉宽0.5 μs、分辨率75m、发射4 </w:t>
            </w:r>
            <w:r>
              <w:rPr>
                <w:rFonts w:hint="eastAsia"/>
                <w:szCs w:val="18"/>
              </w:rPr>
              <w:t>倍</w:t>
            </w:r>
            <w:r>
              <w:rPr>
                <w:rFonts w:hint="eastAsia"/>
                <w:szCs w:val="18"/>
              </w:rPr>
              <w:t>波束展宽、单极化）</w:t>
            </w:r>
          </w:p>
        </w:tc>
      </w:tr>
      <w:tr>
        <w:tblPrEx>
          <w:tblW w:w="8315" w:type="dxa"/>
          <w:jc w:val="center"/>
          <w:tblInd w:w="0" w:type="dxa"/>
          <w:tblLook w:val="04A0"/>
        </w:tblPrEx>
        <w:trPr>
          <w:jc w:val="center"/>
        </w:trPr>
        <w:tc>
          <w:tcPr>
            <w:tcW w:w="1743" w:type="dxa"/>
            <w:gridSpan w:val="2"/>
            <w:vMerge/>
            <w:tcBorders>
              <w:tl2br w:val="nil"/>
              <w:tr2bl w:val="nil"/>
            </w:tcBorders>
            <w:vAlign w:val="center"/>
          </w:tcPr>
          <w:p w:rsidR="00402E54">
            <w:pPr>
              <w:pStyle w:val="NoSpacing"/>
              <w:snapToGrid w:val="0"/>
              <w:spacing w:line="240" w:lineRule="auto"/>
              <w:jc w:val="center"/>
              <w:rPr>
                <w:rFonts w:hint="eastAsia"/>
                <w:szCs w:val="18"/>
              </w:rPr>
            </w:pP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 xml:space="preserve">≤13dBZ（12 千米处、脉宽20 μs、分辨率75m、发射4 </w:t>
            </w:r>
            <w:r>
              <w:rPr>
                <w:rFonts w:hint="eastAsia"/>
                <w:szCs w:val="18"/>
              </w:rPr>
              <w:t>倍</w:t>
            </w:r>
            <w:r>
              <w:rPr>
                <w:rFonts w:hint="eastAsia"/>
                <w:szCs w:val="18"/>
              </w:rPr>
              <w:t>波束展宽、单极化）</w:t>
            </w:r>
          </w:p>
        </w:tc>
      </w:tr>
      <w:tr>
        <w:tblPrEx>
          <w:tblW w:w="8315" w:type="dxa"/>
          <w:jc w:val="center"/>
          <w:tblInd w:w="0" w:type="dxa"/>
          <w:tblLook w:val="04A0"/>
        </w:tblPrEx>
        <w:trPr>
          <w:jc w:val="center"/>
        </w:trPr>
        <w:tc>
          <w:tcPr>
            <w:tcW w:w="1743" w:type="dxa"/>
            <w:gridSpan w:val="2"/>
            <w:vMerge/>
            <w:tcBorders>
              <w:tl2br w:val="nil"/>
              <w:tr2bl w:val="nil"/>
            </w:tcBorders>
            <w:vAlign w:val="center"/>
          </w:tcPr>
          <w:p w:rsidR="00402E54">
            <w:pPr>
              <w:pStyle w:val="NoSpacing"/>
              <w:snapToGrid w:val="0"/>
              <w:spacing w:line="240" w:lineRule="auto"/>
              <w:jc w:val="center"/>
              <w:rPr>
                <w:rFonts w:hint="eastAsia"/>
                <w:szCs w:val="18"/>
              </w:rPr>
            </w:pP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 xml:space="preserve">≤19dBZ（50 千米处、脉宽100 μs、分辨率75m、发射4 </w:t>
            </w:r>
            <w:r>
              <w:rPr>
                <w:rFonts w:hint="eastAsia"/>
                <w:szCs w:val="18"/>
              </w:rPr>
              <w:t>倍</w:t>
            </w:r>
            <w:r>
              <w:rPr>
                <w:rFonts w:hint="eastAsia"/>
                <w:szCs w:val="18"/>
              </w:rPr>
              <w:t>波束展宽、单极化）</w:t>
            </w:r>
          </w:p>
        </w:tc>
      </w:tr>
      <w:tr>
        <w:tblPrEx>
          <w:tblW w:w="8315" w:type="dxa"/>
          <w:jc w:val="center"/>
          <w:tblInd w:w="0" w:type="dxa"/>
          <w:tblLook w:val="04A0"/>
        </w:tblPrEx>
        <w:trPr>
          <w:jc w:val="center"/>
        </w:trPr>
        <w:tc>
          <w:tcPr>
            <w:tcW w:w="1743" w:type="dxa"/>
            <w:gridSpan w:val="2"/>
            <w:vMerge/>
            <w:tcBorders>
              <w:tl2br w:val="nil"/>
              <w:tr2bl w:val="nil"/>
            </w:tcBorders>
            <w:vAlign w:val="center"/>
          </w:tcPr>
          <w:p w:rsidR="00402E54">
            <w:pPr>
              <w:pStyle w:val="NoSpacing"/>
              <w:snapToGrid w:val="0"/>
              <w:spacing w:line="240" w:lineRule="auto"/>
              <w:jc w:val="center"/>
              <w:rPr>
                <w:rFonts w:hint="eastAsia"/>
                <w:szCs w:val="18"/>
              </w:rPr>
            </w:pP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 xml:space="preserve">≤19dBZ（3 千米处、脉宽0.5 μs、分辨率75m、发射8 </w:t>
            </w:r>
            <w:r>
              <w:rPr>
                <w:rFonts w:hint="eastAsia"/>
                <w:szCs w:val="18"/>
              </w:rPr>
              <w:t>倍</w:t>
            </w:r>
            <w:r>
              <w:rPr>
                <w:rFonts w:hint="eastAsia"/>
                <w:szCs w:val="18"/>
              </w:rPr>
              <w:t>波束展宽、单极化）</w:t>
            </w:r>
          </w:p>
        </w:tc>
      </w:tr>
      <w:tr>
        <w:tblPrEx>
          <w:tblW w:w="8315" w:type="dxa"/>
          <w:jc w:val="center"/>
          <w:tblInd w:w="0" w:type="dxa"/>
          <w:tblLook w:val="04A0"/>
        </w:tblPrEx>
        <w:trPr>
          <w:jc w:val="center"/>
        </w:trPr>
        <w:tc>
          <w:tcPr>
            <w:tcW w:w="1743" w:type="dxa"/>
            <w:gridSpan w:val="2"/>
            <w:vMerge/>
            <w:tcBorders>
              <w:tl2br w:val="nil"/>
              <w:tr2bl w:val="nil"/>
            </w:tcBorders>
            <w:vAlign w:val="center"/>
          </w:tcPr>
          <w:p w:rsidR="00402E54">
            <w:pPr>
              <w:pStyle w:val="NoSpacing"/>
              <w:snapToGrid w:val="0"/>
              <w:spacing w:line="240" w:lineRule="auto"/>
              <w:jc w:val="center"/>
              <w:rPr>
                <w:rFonts w:hint="eastAsia"/>
                <w:szCs w:val="18"/>
              </w:rPr>
            </w:pP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 xml:space="preserve">≤16dBZ（12 千米处、脉宽20 μs、分辨率75m、发射8 </w:t>
            </w:r>
            <w:r>
              <w:rPr>
                <w:rFonts w:hint="eastAsia"/>
                <w:szCs w:val="18"/>
              </w:rPr>
              <w:t>倍</w:t>
            </w:r>
            <w:r>
              <w:rPr>
                <w:rFonts w:hint="eastAsia"/>
                <w:szCs w:val="18"/>
              </w:rPr>
              <w:t>波束展宽、单极化）</w:t>
            </w:r>
          </w:p>
        </w:tc>
      </w:tr>
      <w:tr>
        <w:tblPrEx>
          <w:tblW w:w="8315" w:type="dxa"/>
          <w:jc w:val="center"/>
          <w:tblInd w:w="0" w:type="dxa"/>
          <w:tblLook w:val="04A0"/>
        </w:tblPrEx>
        <w:trPr>
          <w:jc w:val="center"/>
        </w:trPr>
        <w:tc>
          <w:tcPr>
            <w:tcW w:w="1743" w:type="dxa"/>
            <w:gridSpan w:val="2"/>
            <w:vMerge/>
            <w:tcBorders>
              <w:tl2br w:val="nil"/>
              <w:tr2bl w:val="nil"/>
            </w:tcBorders>
            <w:vAlign w:val="center"/>
          </w:tcPr>
          <w:p w:rsidR="00402E54">
            <w:pPr>
              <w:pStyle w:val="NoSpacing"/>
              <w:snapToGrid w:val="0"/>
              <w:spacing w:line="240" w:lineRule="auto"/>
              <w:jc w:val="center"/>
              <w:rPr>
                <w:rFonts w:hint="eastAsia"/>
                <w:szCs w:val="18"/>
              </w:rPr>
            </w:pP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 xml:space="preserve">≤22dBZ（50 千米处、脉宽100 μs、分辨率75m、发射8 </w:t>
            </w:r>
            <w:r>
              <w:rPr>
                <w:rFonts w:hint="eastAsia"/>
                <w:szCs w:val="18"/>
              </w:rPr>
              <w:t>倍</w:t>
            </w:r>
            <w:r>
              <w:rPr>
                <w:rFonts w:hint="eastAsia"/>
                <w:szCs w:val="18"/>
              </w:rPr>
              <w:t>波束展宽、单极化）</w:t>
            </w:r>
          </w:p>
        </w:tc>
      </w:tr>
      <w:tr>
        <w:tblPrEx>
          <w:tblW w:w="8315" w:type="dxa"/>
          <w:jc w:val="center"/>
          <w:tblInd w:w="0" w:type="dxa"/>
          <w:tblLook w:val="04A0"/>
        </w:tblPrEx>
        <w:trPr>
          <w:jc w:val="center"/>
        </w:trPr>
        <w:tc>
          <w:tcPr>
            <w:tcW w:w="745" w:type="dxa"/>
            <w:vMerge w:val="restart"/>
            <w:tcBorders>
              <w:tl2br w:val="nil"/>
              <w:tr2bl w:val="nil"/>
            </w:tcBorders>
            <w:vAlign w:val="center"/>
          </w:tcPr>
          <w:p w:rsidR="00402E54">
            <w:pPr>
              <w:pStyle w:val="NoSpacing"/>
              <w:snapToGrid w:val="0"/>
              <w:spacing w:line="240" w:lineRule="auto"/>
              <w:jc w:val="center"/>
              <w:rPr>
                <w:rFonts w:hint="eastAsia"/>
                <w:szCs w:val="18"/>
                <w:highlight w:val="yellow"/>
              </w:rPr>
            </w:pPr>
            <w:r>
              <w:rPr>
                <w:rFonts w:hint="eastAsia"/>
                <w:szCs w:val="18"/>
                <w:highlight w:val="yellow"/>
              </w:rPr>
              <w:t>#测量</w:t>
            </w:r>
          </w:p>
          <w:p w:rsidR="00402E54">
            <w:pPr>
              <w:pStyle w:val="NoSpacing"/>
              <w:snapToGrid w:val="0"/>
              <w:spacing w:line="240" w:lineRule="auto"/>
              <w:jc w:val="center"/>
              <w:rPr>
                <w:rFonts w:hint="eastAsia"/>
                <w:szCs w:val="18"/>
              </w:rPr>
            </w:pPr>
            <w:r>
              <w:rPr>
                <w:rFonts w:hint="eastAsia"/>
                <w:szCs w:val="18"/>
                <w:highlight w:val="yellow"/>
              </w:rPr>
              <w:t>范围</w:t>
            </w: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强度</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-15dBZ～+80dBZ</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速度</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±48m/s</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谱宽</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0m/s～16m/s</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差分反射率因子</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-7.9dB～+7.9dB</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差分传播相移</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-180°～+180°</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差分传播相移率</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-2°/km～+20°/km</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相关系数</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0～1</w:t>
            </w:r>
          </w:p>
        </w:tc>
      </w:tr>
      <w:tr>
        <w:tblPrEx>
          <w:tblW w:w="8315" w:type="dxa"/>
          <w:jc w:val="center"/>
          <w:tblInd w:w="0" w:type="dxa"/>
          <w:tblLook w:val="04A0"/>
        </w:tblPrEx>
        <w:trPr>
          <w:jc w:val="center"/>
        </w:trPr>
        <w:tc>
          <w:tcPr>
            <w:tcW w:w="745" w:type="dxa"/>
            <w:vMerge w:val="restart"/>
            <w:tcBorders>
              <w:tl2br w:val="nil"/>
              <w:tr2bl w:val="nil"/>
            </w:tcBorders>
            <w:vAlign w:val="center"/>
          </w:tcPr>
          <w:p w:rsidR="00402E54">
            <w:pPr>
              <w:pStyle w:val="NoSpacing"/>
              <w:snapToGrid w:val="0"/>
              <w:spacing w:line="240" w:lineRule="auto"/>
              <w:jc w:val="center"/>
              <w:rPr>
                <w:rFonts w:hint="eastAsia"/>
                <w:szCs w:val="18"/>
                <w:highlight w:val="yellow"/>
              </w:rPr>
            </w:pPr>
            <w:r>
              <w:rPr>
                <w:rFonts w:hint="eastAsia"/>
                <w:szCs w:val="18"/>
                <w:highlight w:val="yellow"/>
              </w:rPr>
              <w:t>#参数</w:t>
            </w:r>
          </w:p>
          <w:p w:rsidR="00402E54">
            <w:pPr>
              <w:pStyle w:val="NoSpacing"/>
              <w:snapToGrid w:val="0"/>
              <w:spacing w:line="240" w:lineRule="auto"/>
              <w:jc w:val="center"/>
              <w:rPr>
                <w:rFonts w:hint="eastAsia"/>
                <w:szCs w:val="18"/>
                <w:highlight w:val="yellow"/>
              </w:rPr>
            </w:pPr>
            <w:r>
              <w:rPr>
                <w:rFonts w:hint="eastAsia"/>
                <w:szCs w:val="18"/>
                <w:highlight w:val="yellow"/>
              </w:rPr>
              <w:t>测量</w:t>
            </w:r>
          </w:p>
          <w:p w:rsidR="00402E54">
            <w:pPr>
              <w:pStyle w:val="NoSpacing"/>
              <w:snapToGrid w:val="0"/>
              <w:spacing w:line="240" w:lineRule="auto"/>
              <w:jc w:val="center"/>
              <w:rPr>
                <w:rFonts w:hint="eastAsia"/>
                <w:szCs w:val="18"/>
                <w:highlight w:val="yellow"/>
              </w:rPr>
            </w:pPr>
            <w:r>
              <w:rPr>
                <w:rFonts w:hint="eastAsia"/>
                <w:szCs w:val="18"/>
                <w:highlight w:val="yellow"/>
              </w:rPr>
              <w:t>精度</w:t>
            </w:r>
          </w:p>
          <w:p w:rsidR="00402E54">
            <w:pPr>
              <w:pStyle w:val="NoSpacing"/>
              <w:snapToGrid w:val="0"/>
              <w:spacing w:line="240" w:lineRule="auto"/>
              <w:jc w:val="center"/>
              <w:rPr>
                <w:rFonts w:hint="eastAsia"/>
                <w:szCs w:val="18"/>
              </w:rPr>
            </w:pPr>
            <w:r>
              <w:rPr>
                <w:rFonts w:hint="eastAsia"/>
                <w:szCs w:val="18"/>
                <w:highlight w:val="yellow"/>
              </w:rPr>
              <w:t>（标准差）</w:t>
            </w: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强度</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≤1dB</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速度</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≤1m/s</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谱宽</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≤1m/s</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差分反射率因子</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≤0.2dB</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差分传播相移</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≤3°</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差分传播相移率</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≤0.2°/km</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相关系数</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≤0.01</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highlight w:val="yellow"/>
              </w:rPr>
              <w:t>#距离分辨率</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≤75m</w:t>
            </w:r>
          </w:p>
        </w:tc>
      </w:tr>
      <w:tr>
        <w:tblPrEx>
          <w:tblW w:w="8315" w:type="dxa"/>
          <w:jc w:val="center"/>
          <w:tblInd w:w="0" w:type="dxa"/>
          <w:tblLook w:val="04A0"/>
        </w:tblPrEx>
        <w:trPr>
          <w:jc w:val="center"/>
        </w:trPr>
        <w:tc>
          <w:tcPr>
            <w:tcW w:w="745" w:type="dxa"/>
            <w:vMerge w:val="restart"/>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highlight w:val="yellow"/>
              </w:rPr>
              <w:t>#数据分辨力</w:t>
            </w: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方位角和俯仰角</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≤0.01°</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lang w:eastAsia="en-US"/>
              </w:rPr>
            </w:pPr>
            <w:r>
              <w:rPr>
                <w:rFonts w:hint="eastAsia"/>
                <w:szCs w:val="18"/>
              </w:rPr>
              <w:t>强度</w:t>
            </w:r>
          </w:p>
        </w:tc>
        <w:tc>
          <w:tcPr>
            <w:tcW w:w="6572" w:type="dxa"/>
            <w:tcBorders>
              <w:tl2br w:val="nil"/>
              <w:tr2bl w:val="nil"/>
            </w:tcBorders>
            <w:vAlign w:val="center"/>
          </w:tcPr>
          <w:p w:rsidR="00402E54">
            <w:pPr>
              <w:pStyle w:val="NoSpacing"/>
              <w:snapToGrid w:val="0"/>
              <w:spacing w:line="240" w:lineRule="auto"/>
              <w:rPr>
                <w:rFonts w:hint="eastAsia"/>
                <w:szCs w:val="18"/>
                <w:lang w:eastAsia="en-US"/>
              </w:rPr>
            </w:pPr>
            <w:r>
              <w:rPr>
                <w:rFonts w:hint="eastAsia"/>
                <w:szCs w:val="18"/>
              </w:rPr>
              <w:t>≤0.1dB</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lang w:eastAsia="en-US"/>
              </w:rPr>
            </w:pPr>
            <w:r>
              <w:rPr>
                <w:rFonts w:hint="eastAsia"/>
                <w:szCs w:val="18"/>
              </w:rPr>
              <w:t>速度</w:t>
            </w:r>
          </w:p>
        </w:tc>
        <w:tc>
          <w:tcPr>
            <w:tcW w:w="6572" w:type="dxa"/>
            <w:tcBorders>
              <w:tl2br w:val="nil"/>
              <w:tr2bl w:val="nil"/>
            </w:tcBorders>
            <w:vAlign w:val="center"/>
          </w:tcPr>
          <w:p w:rsidR="00402E54">
            <w:pPr>
              <w:pStyle w:val="NoSpacing"/>
              <w:snapToGrid w:val="0"/>
              <w:spacing w:line="240" w:lineRule="auto"/>
              <w:rPr>
                <w:rFonts w:hint="eastAsia"/>
                <w:szCs w:val="18"/>
                <w:lang w:eastAsia="en-US"/>
              </w:rPr>
            </w:pPr>
            <w:r>
              <w:rPr>
                <w:rFonts w:hint="eastAsia"/>
                <w:szCs w:val="18"/>
              </w:rPr>
              <w:t>≤0.1m/s</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lang w:eastAsia="en-US"/>
              </w:rPr>
            </w:pPr>
            <w:r>
              <w:rPr>
                <w:rFonts w:hint="eastAsia"/>
                <w:szCs w:val="18"/>
              </w:rPr>
              <w:t>谱宽</w:t>
            </w:r>
          </w:p>
        </w:tc>
        <w:tc>
          <w:tcPr>
            <w:tcW w:w="6572" w:type="dxa"/>
            <w:tcBorders>
              <w:tl2br w:val="nil"/>
              <w:tr2bl w:val="nil"/>
            </w:tcBorders>
            <w:vAlign w:val="center"/>
          </w:tcPr>
          <w:p w:rsidR="00402E54">
            <w:pPr>
              <w:pStyle w:val="NoSpacing"/>
              <w:snapToGrid w:val="0"/>
              <w:spacing w:line="240" w:lineRule="auto"/>
              <w:rPr>
                <w:rFonts w:hint="eastAsia"/>
                <w:szCs w:val="18"/>
                <w:lang w:eastAsia="en-US"/>
              </w:rPr>
            </w:pPr>
            <w:r>
              <w:rPr>
                <w:rFonts w:hint="eastAsia"/>
                <w:szCs w:val="18"/>
              </w:rPr>
              <w:t>≤0.1m/s</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lang w:eastAsia="en-US"/>
              </w:rPr>
            </w:pPr>
            <w:r>
              <w:rPr>
                <w:rFonts w:hint="eastAsia"/>
                <w:szCs w:val="18"/>
              </w:rPr>
              <w:t>差分反射率因子</w:t>
            </w:r>
          </w:p>
        </w:tc>
        <w:tc>
          <w:tcPr>
            <w:tcW w:w="6572" w:type="dxa"/>
            <w:tcBorders>
              <w:tl2br w:val="nil"/>
              <w:tr2bl w:val="nil"/>
            </w:tcBorders>
            <w:vAlign w:val="center"/>
          </w:tcPr>
          <w:p w:rsidR="00402E54">
            <w:pPr>
              <w:pStyle w:val="NoSpacing"/>
              <w:snapToGrid w:val="0"/>
              <w:spacing w:line="240" w:lineRule="auto"/>
              <w:rPr>
                <w:rFonts w:hint="eastAsia"/>
                <w:szCs w:val="18"/>
                <w:lang w:eastAsia="en-US"/>
              </w:rPr>
            </w:pPr>
            <w:r>
              <w:rPr>
                <w:rFonts w:hint="eastAsia"/>
                <w:szCs w:val="18"/>
              </w:rPr>
              <w:t>≤0.01dB</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lang w:eastAsia="en-US"/>
              </w:rPr>
            </w:pPr>
            <w:r>
              <w:rPr>
                <w:rFonts w:hint="eastAsia"/>
                <w:szCs w:val="18"/>
              </w:rPr>
              <w:t>差分传播相移</w:t>
            </w:r>
          </w:p>
        </w:tc>
        <w:tc>
          <w:tcPr>
            <w:tcW w:w="6572" w:type="dxa"/>
            <w:tcBorders>
              <w:tl2br w:val="nil"/>
              <w:tr2bl w:val="nil"/>
            </w:tcBorders>
            <w:vAlign w:val="center"/>
          </w:tcPr>
          <w:p w:rsidR="00402E54">
            <w:pPr>
              <w:pStyle w:val="NoSpacing"/>
              <w:snapToGrid w:val="0"/>
              <w:spacing w:line="240" w:lineRule="auto"/>
              <w:rPr>
                <w:rFonts w:hint="eastAsia"/>
                <w:szCs w:val="18"/>
                <w:lang w:eastAsia="en-US"/>
              </w:rPr>
            </w:pPr>
            <w:r>
              <w:rPr>
                <w:rFonts w:hint="eastAsia"/>
                <w:szCs w:val="18"/>
              </w:rPr>
              <w:t>≤0.1°</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lang w:eastAsia="en-US"/>
              </w:rPr>
            </w:pPr>
            <w:r>
              <w:rPr>
                <w:rFonts w:hint="eastAsia"/>
                <w:szCs w:val="18"/>
              </w:rPr>
              <w:t>差分传播相移率</w:t>
            </w:r>
          </w:p>
        </w:tc>
        <w:tc>
          <w:tcPr>
            <w:tcW w:w="6572" w:type="dxa"/>
            <w:tcBorders>
              <w:tl2br w:val="nil"/>
              <w:tr2bl w:val="nil"/>
            </w:tcBorders>
            <w:vAlign w:val="center"/>
          </w:tcPr>
          <w:p w:rsidR="00402E54">
            <w:pPr>
              <w:pStyle w:val="NoSpacing"/>
              <w:snapToGrid w:val="0"/>
              <w:spacing w:line="240" w:lineRule="auto"/>
              <w:rPr>
                <w:rFonts w:hint="eastAsia"/>
                <w:szCs w:val="18"/>
                <w:lang w:eastAsia="en-US"/>
              </w:rPr>
            </w:pPr>
            <w:r>
              <w:rPr>
                <w:rFonts w:hint="eastAsia"/>
                <w:szCs w:val="18"/>
              </w:rPr>
              <w:t>≤0.01°/km</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相关系数</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≤0.001</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highlight w:val="yellow"/>
              </w:rPr>
            </w:pPr>
            <w:r>
              <w:rPr>
                <w:rFonts w:hint="eastAsia"/>
                <w:szCs w:val="18"/>
                <w:highlight w:val="yellow"/>
              </w:rPr>
              <w:t>#系统噪声系数</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≤3.5dB（脉宽1μs，带宽1MHz）</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highlight w:val="yellow"/>
              </w:rPr>
            </w:pPr>
            <w:r>
              <w:rPr>
                <w:rFonts w:hint="eastAsia"/>
                <w:szCs w:val="18"/>
                <w:highlight w:val="yellow"/>
              </w:rPr>
              <w:t>#系统线性动态范围</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≥95dB（脉宽1μs，带宽1MHz）</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highlight w:val="yellow"/>
              </w:rPr>
            </w:pPr>
            <w:r>
              <w:rPr>
                <w:rFonts w:hint="eastAsia"/>
                <w:szCs w:val="18"/>
                <w:highlight w:val="yellow"/>
              </w:rPr>
              <w:t>#系统相位噪声</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≤0.1°（脉宽1μs，带宽1MHz）</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highlight w:val="yellow"/>
              </w:rPr>
            </w:pPr>
            <w:r>
              <w:rPr>
                <w:rFonts w:hint="eastAsia"/>
                <w:szCs w:val="18"/>
                <w:highlight w:val="yellow"/>
              </w:rPr>
              <w:t>#实际地物对消能力</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≥50dB</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输出参数</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强度、速度、谱宽、差分反射率因子、差分传播相移、差分传播相移率、相关系数、信噪比</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电源要求</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三相AC380V±10%，50Hz±5%</w:t>
            </w:r>
          </w:p>
          <w:p w:rsidR="00402E54">
            <w:pPr>
              <w:pStyle w:val="NoSpacing"/>
              <w:snapToGrid w:val="0"/>
              <w:spacing w:line="240" w:lineRule="auto"/>
              <w:rPr>
                <w:rFonts w:hint="eastAsia"/>
                <w:szCs w:val="18"/>
              </w:rPr>
            </w:pPr>
            <w:r>
              <w:rPr>
                <w:rFonts w:hint="eastAsia"/>
                <w:szCs w:val="18"/>
              </w:rPr>
              <w:t>或单相AC220V±10%，50Hz±5%</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重量</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≤3吨</w:t>
            </w:r>
          </w:p>
        </w:tc>
      </w:tr>
      <w:tr>
        <w:tblPrEx>
          <w:tblW w:w="8315" w:type="dxa"/>
          <w:jc w:val="center"/>
          <w:tblInd w:w="0" w:type="dxa"/>
          <w:tblLook w:val="04A0"/>
        </w:tblPrEx>
        <w:trPr>
          <w:jc w:val="center"/>
        </w:trPr>
        <w:tc>
          <w:tcPr>
            <w:tcW w:w="745" w:type="dxa"/>
            <w:vMerge w:val="restart"/>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环境</w:t>
            </w:r>
          </w:p>
          <w:p w:rsidR="00402E54">
            <w:pPr>
              <w:pStyle w:val="NoSpacing"/>
              <w:snapToGrid w:val="0"/>
              <w:spacing w:line="240" w:lineRule="auto"/>
              <w:jc w:val="center"/>
              <w:rPr>
                <w:rFonts w:hint="eastAsia"/>
                <w:szCs w:val="18"/>
              </w:rPr>
            </w:pPr>
            <w:r>
              <w:rPr>
                <w:rFonts w:hint="eastAsia"/>
                <w:szCs w:val="18"/>
              </w:rPr>
              <w:t>要求</w:t>
            </w: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环境温度</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室内：0～+40℃</w:t>
            </w:r>
          </w:p>
          <w:p w:rsidR="00402E54">
            <w:pPr>
              <w:pStyle w:val="NoSpacing"/>
              <w:snapToGrid w:val="0"/>
              <w:spacing w:line="240" w:lineRule="auto"/>
              <w:rPr>
                <w:rFonts w:hint="eastAsia"/>
                <w:szCs w:val="18"/>
              </w:rPr>
            </w:pPr>
            <w:r>
              <w:rPr>
                <w:rFonts w:hint="eastAsia"/>
                <w:szCs w:val="18"/>
              </w:rPr>
              <w:t>室外：-40～+50℃</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贮存温度</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-40～+60℃</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环境最大湿度</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室内：≤90%（+30℃）</w:t>
            </w:r>
          </w:p>
          <w:p w:rsidR="00402E54">
            <w:pPr>
              <w:pStyle w:val="NoSpacing"/>
              <w:snapToGrid w:val="0"/>
              <w:spacing w:line="240" w:lineRule="auto"/>
              <w:rPr>
                <w:rFonts w:hint="eastAsia"/>
                <w:szCs w:val="18"/>
              </w:rPr>
            </w:pPr>
            <w:r>
              <w:rPr>
                <w:rFonts w:hint="eastAsia"/>
                <w:szCs w:val="18"/>
              </w:rPr>
              <w:t>室外：≤95%（+35℃）</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工作高度</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海拔高度：≤5000m</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冲击、振动、淋雨</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符合国家有关部门规定，且满足野外运输要求。</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抗干扰</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电源干扰、电磁干扰、无线电频率干扰</w:t>
            </w:r>
          </w:p>
        </w:tc>
      </w:tr>
      <w:tr>
        <w:tblPrEx>
          <w:tblW w:w="8315" w:type="dxa"/>
          <w:jc w:val="center"/>
          <w:tblInd w:w="0" w:type="dxa"/>
          <w:tblLook w:val="04A0"/>
        </w:tblPrEx>
        <w:trPr>
          <w:jc w:val="center"/>
        </w:trPr>
        <w:tc>
          <w:tcPr>
            <w:tcW w:w="745" w:type="dxa"/>
            <w:vMerge/>
            <w:tcBorders>
              <w:tl2br w:val="nil"/>
              <w:tr2bl w:val="nil"/>
            </w:tcBorders>
            <w:vAlign w:val="center"/>
          </w:tcPr>
          <w:p w:rsidR="00402E54">
            <w:pPr>
              <w:pStyle w:val="NoSpacing"/>
              <w:snapToGrid w:val="0"/>
              <w:spacing w:line="240" w:lineRule="auto"/>
              <w:jc w:val="center"/>
              <w:rPr>
                <w:rFonts w:hint="eastAsia"/>
                <w:szCs w:val="18"/>
              </w:rPr>
            </w:pPr>
          </w:p>
        </w:tc>
        <w:tc>
          <w:tcPr>
            <w:tcW w:w="998" w:type="dxa"/>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其它</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防水、防霉、防盐雾</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平均严重故障间隔时间</w:t>
            </w:r>
          </w:p>
          <w:p w:rsidR="00402E54">
            <w:pPr>
              <w:pStyle w:val="NoSpacing"/>
              <w:snapToGrid w:val="0"/>
              <w:spacing w:line="240" w:lineRule="auto"/>
              <w:jc w:val="center"/>
              <w:rPr>
                <w:rFonts w:hint="eastAsia"/>
                <w:szCs w:val="18"/>
              </w:rPr>
            </w:pPr>
            <w:r>
              <w:rPr>
                <w:rFonts w:hint="eastAsia"/>
                <w:szCs w:val="18"/>
              </w:rPr>
              <w:t>（MTBCF）</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≥5000h</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平均故障修复时间</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≤0.5h</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架设方式</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固定架设</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雷达整机功耗</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≤15kW</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连续工作时间</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无人值守7×24h工作</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微波辐射安全性</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电磁辐射暴露限制应符合GJB5313A-2017的要求。</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安全标记</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雷达高压部位、微波泄漏部位、机械转动部位应有清晰、醒目的安全警示标记。</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互换性</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雷达备份零件、部件、组件和功能单元均能在现场更换，无需调整而正常工作。</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电磁兼容性</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雷达具有市电滤波和防电磁干扰的能力，设置静电屏蔽、磁屏蔽、电磁屏蔽，模拟地线、数字地线和安全地线严格分开。</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安全性</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雷达应有安全性设计,确保雷达按规定条件进行制造、安装、运输、贮存、使用和维护时的人身安全和设备安全。</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防雷要求</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雷达电源线</w:t>
            </w:r>
            <w:r>
              <w:rPr>
                <w:rFonts w:hint="eastAsia"/>
                <w:szCs w:val="18"/>
              </w:rPr>
              <w:t>输入端应加装</w:t>
            </w:r>
            <w:r>
              <w:rPr>
                <w:rFonts w:hint="eastAsia"/>
                <w:szCs w:val="18"/>
              </w:rPr>
              <w:t>防雷滤波器，室外电缆一律采用屏蔽电缆。</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绝缘性</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雷达各初级电源与大地间绝缘电阻应大于1MΩ。</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外观质量</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外观应协调一致。外表面应无凹痕、碰伤、裂痕和变形等缺陷；</w:t>
            </w:r>
            <w:r>
              <w:rPr>
                <w:rFonts w:hint="eastAsia"/>
                <w:szCs w:val="18"/>
              </w:rPr>
              <w:t>镀</w:t>
            </w:r>
            <w:r>
              <w:rPr>
                <w:rFonts w:hint="eastAsia"/>
                <w:szCs w:val="18"/>
              </w:rPr>
              <w:t>涂层不起泡、龟裂和脱落；金属零件无锈蚀、毛刺及其它机械损伤。</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标记与代号</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机柜、机箱、插件和线缆等应有统一的编号和标记，符合国家标准。</w:t>
            </w:r>
          </w:p>
          <w:p w:rsidR="00402E54">
            <w:pPr>
              <w:pStyle w:val="NoSpacing"/>
              <w:snapToGrid w:val="0"/>
              <w:spacing w:line="240" w:lineRule="auto"/>
              <w:rPr>
                <w:rFonts w:hint="eastAsia"/>
                <w:szCs w:val="18"/>
              </w:rPr>
            </w:pPr>
            <w:r>
              <w:rPr>
                <w:rFonts w:hint="eastAsia"/>
                <w:szCs w:val="18"/>
              </w:rPr>
              <w:t>印制板、主要元器件等应在相应位置印有与电路图中项目代号相符的标记。</w:t>
            </w:r>
          </w:p>
          <w:p w:rsidR="00402E54">
            <w:pPr>
              <w:pStyle w:val="NoSpacing"/>
              <w:snapToGrid w:val="0"/>
              <w:spacing w:line="240" w:lineRule="auto"/>
              <w:rPr>
                <w:rFonts w:hint="eastAsia"/>
                <w:szCs w:val="18"/>
              </w:rPr>
            </w:pPr>
            <w:r>
              <w:rPr>
                <w:rFonts w:hint="eastAsia"/>
                <w:szCs w:val="18"/>
              </w:rPr>
              <w:t>标记的文字、字母和符号应完整、规范、清晰和牢固，且便于识读。</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环境噪声要求</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终端操作室噪声不大于65dB。</w:t>
            </w:r>
          </w:p>
        </w:tc>
      </w:tr>
      <w:tr>
        <w:tblPrEx>
          <w:tblW w:w="8315" w:type="dxa"/>
          <w:jc w:val="center"/>
          <w:tblInd w:w="0" w:type="dxa"/>
          <w:tblLook w:val="04A0"/>
        </w:tblPrEx>
        <w:trPr>
          <w:jc w:val="center"/>
        </w:trPr>
        <w:tc>
          <w:tcPr>
            <w:tcW w:w="1743" w:type="dxa"/>
            <w:gridSpan w:val="2"/>
            <w:tcBorders>
              <w:tl2br w:val="nil"/>
              <w:tr2bl w:val="nil"/>
            </w:tcBorders>
            <w:vAlign w:val="center"/>
          </w:tcPr>
          <w:p w:rsidR="00402E54">
            <w:pPr>
              <w:pStyle w:val="NoSpacing"/>
              <w:snapToGrid w:val="0"/>
              <w:spacing w:line="240" w:lineRule="auto"/>
              <w:jc w:val="center"/>
              <w:rPr>
                <w:rFonts w:hint="eastAsia"/>
                <w:szCs w:val="18"/>
              </w:rPr>
            </w:pPr>
            <w:r>
              <w:rPr>
                <w:rFonts w:hint="eastAsia"/>
                <w:szCs w:val="18"/>
              </w:rPr>
              <w:t>雷达应有的铭牌包括的内容</w:t>
            </w:r>
          </w:p>
        </w:tc>
        <w:tc>
          <w:tcPr>
            <w:tcW w:w="6572" w:type="dxa"/>
            <w:tcBorders>
              <w:tl2br w:val="nil"/>
              <w:tr2bl w:val="nil"/>
            </w:tcBorders>
            <w:vAlign w:val="center"/>
          </w:tcPr>
          <w:p w:rsidR="00402E54">
            <w:pPr>
              <w:pStyle w:val="NoSpacing"/>
              <w:snapToGrid w:val="0"/>
              <w:spacing w:line="240" w:lineRule="auto"/>
              <w:rPr>
                <w:rFonts w:hint="eastAsia"/>
                <w:szCs w:val="18"/>
              </w:rPr>
            </w:pPr>
            <w:r>
              <w:rPr>
                <w:rFonts w:hint="eastAsia"/>
                <w:szCs w:val="18"/>
              </w:rPr>
              <w:t>雷达的名称、型号（代号）；出厂编号；出厂年月；制造厂商标。</w:t>
            </w:r>
          </w:p>
        </w:tc>
      </w:tr>
    </w:tbl>
    <w:p w:rsidR="00402E54">
      <w:pPr>
        <w:pStyle w:val="Heading3"/>
        <w:spacing w:line="240" w:lineRule="auto"/>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3.2天线罩技术指标</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天线罩的技术指标包括：引入波束偏差、引入波束展宽、射频损失、引入交叉极化隔离度影响、引入副瓣影响等。雷达应具备天线罩。须配套</w:t>
      </w:r>
      <w:r>
        <w:rPr>
          <w:rFonts w:ascii="仿宋_GB2312" w:eastAsia="仿宋_GB2312" w:hAnsi="仿宋_GB2312" w:cs="仿宋_GB2312" w:hint="eastAsia"/>
          <w:sz w:val="28"/>
          <w:szCs w:val="28"/>
        </w:rPr>
        <w:t>截</w:t>
      </w:r>
      <w:r>
        <w:rPr>
          <w:rFonts w:ascii="仿宋_GB2312" w:eastAsia="仿宋_GB2312" w:hAnsi="仿宋_GB2312" w:cs="仿宋_GB2312" w:hint="eastAsia"/>
          <w:sz w:val="28"/>
          <w:szCs w:val="28"/>
        </w:rPr>
        <w:t>球形天线罩。天线罩外表面须涂覆疏水层。</w:t>
      </w:r>
    </w:p>
    <w:tbl>
      <w:tblPr>
        <w:tblStyle w:val="TableNormal"/>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8"/>
        <w:gridCol w:w="1367"/>
        <w:gridCol w:w="4799"/>
      </w:tblGrid>
      <w:tr>
        <w:tblPrEx>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173"/>
          <w:jc w:val="center"/>
        </w:trPr>
        <w:tc>
          <w:tcPr>
            <w:tcW w:w="2107" w:type="pct"/>
            <w:gridSpan w:val="2"/>
            <w:vAlign w:val="center"/>
          </w:tcPr>
          <w:p w:rsidR="00402E54">
            <w:pPr>
              <w:pStyle w:val="NoSpacing"/>
              <w:spacing w:line="240" w:lineRule="auto"/>
              <w:jc w:val="center"/>
              <w:rPr>
                <w:rFonts w:hint="eastAsia"/>
                <w:b/>
                <w:bCs/>
                <w:sz w:val="21"/>
                <w:szCs w:val="21"/>
                <w:lang w:eastAsia="en-US"/>
              </w:rPr>
            </w:pPr>
            <w:r>
              <w:rPr>
                <w:rFonts w:hint="eastAsia"/>
                <w:b/>
                <w:bCs/>
                <w:sz w:val="21"/>
                <w:szCs w:val="21"/>
                <w:lang w:eastAsia="en-US"/>
              </w:rPr>
              <w:t>项目</w:t>
            </w:r>
          </w:p>
        </w:tc>
        <w:tc>
          <w:tcPr>
            <w:tcW w:w="2892" w:type="pct"/>
            <w:vAlign w:val="center"/>
          </w:tcPr>
          <w:p w:rsidR="00402E54">
            <w:pPr>
              <w:pStyle w:val="NoSpacing"/>
              <w:spacing w:line="240" w:lineRule="auto"/>
              <w:jc w:val="center"/>
              <w:rPr>
                <w:rFonts w:hint="eastAsia"/>
                <w:b/>
                <w:bCs/>
                <w:sz w:val="21"/>
                <w:szCs w:val="21"/>
                <w:lang w:eastAsia="en-US"/>
              </w:rPr>
            </w:pPr>
            <w:r>
              <w:rPr>
                <w:rFonts w:hint="eastAsia"/>
                <w:b/>
                <w:bCs/>
                <w:sz w:val="21"/>
                <w:szCs w:val="21"/>
                <w:lang w:eastAsia="en-US"/>
              </w:rPr>
              <w:t>性能指标</w:t>
            </w:r>
          </w:p>
        </w:tc>
      </w:tr>
      <w:tr>
        <w:tblPrEx>
          <w:tblW w:w="4999" w:type="pct"/>
          <w:jc w:val="center"/>
          <w:tblLook w:val="04A0"/>
        </w:tblPrEx>
        <w:trPr>
          <w:trHeight w:val="290"/>
          <w:jc w:val="center"/>
        </w:trPr>
        <w:tc>
          <w:tcPr>
            <w:tcW w:w="1283" w:type="pct"/>
            <w:vMerge w:val="restart"/>
            <w:tcBorders>
              <w:top w:val="single" w:sz="4" w:space="0" w:color="auto"/>
              <w:left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引入波束偏差</w:t>
            </w:r>
          </w:p>
        </w:tc>
        <w:tc>
          <w:tcPr>
            <w:tcW w:w="823"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球面罩</w:t>
            </w:r>
          </w:p>
        </w:tc>
        <w:tc>
          <w:tcPr>
            <w:tcW w:w="2892" w:type="pct"/>
            <w:tcBorders>
              <w:top w:val="single" w:sz="4" w:space="0" w:color="auto"/>
              <w:left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≤0.05°</w:t>
            </w:r>
          </w:p>
        </w:tc>
      </w:tr>
      <w:tr>
        <w:tblPrEx>
          <w:tblW w:w="4999" w:type="pct"/>
          <w:jc w:val="center"/>
          <w:tblLook w:val="04A0"/>
        </w:tblPrEx>
        <w:trPr>
          <w:trHeight w:val="290"/>
          <w:jc w:val="center"/>
        </w:trPr>
        <w:tc>
          <w:tcPr>
            <w:tcW w:w="1283" w:type="pct"/>
            <w:vMerge/>
            <w:tcBorders>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p>
        </w:tc>
        <w:tc>
          <w:tcPr>
            <w:tcW w:w="823"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平面罩</w:t>
            </w:r>
          </w:p>
        </w:tc>
        <w:tc>
          <w:tcPr>
            <w:tcW w:w="2892" w:type="pct"/>
            <w:tcBorders>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≤0.03°</w:t>
            </w:r>
          </w:p>
        </w:tc>
      </w:tr>
      <w:tr>
        <w:tblPrEx>
          <w:tblW w:w="4999" w:type="pct"/>
          <w:jc w:val="center"/>
          <w:tblLook w:val="04A0"/>
        </w:tblPrEx>
        <w:trPr>
          <w:trHeight w:val="395"/>
          <w:jc w:val="center"/>
        </w:trPr>
        <w:tc>
          <w:tcPr>
            <w:tcW w:w="1283" w:type="pct"/>
            <w:vMerge w:val="restart"/>
            <w:tcBorders>
              <w:top w:val="single" w:sz="4" w:space="0" w:color="auto"/>
              <w:left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引入波束展宽</w:t>
            </w:r>
          </w:p>
        </w:tc>
        <w:tc>
          <w:tcPr>
            <w:tcW w:w="823"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球面罩</w:t>
            </w:r>
          </w:p>
        </w:tc>
        <w:tc>
          <w:tcPr>
            <w:tcW w:w="2892" w:type="pct"/>
            <w:tcBorders>
              <w:top w:val="single" w:sz="4" w:space="0" w:color="auto"/>
              <w:left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≤0.05°</w:t>
            </w:r>
          </w:p>
        </w:tc>
      </w:tr>
      <w:tr>
        <w:tblPrEx>
          <w:tblW w:w="4999" w:type="pct"/>
          <w:jc w:val="center"/>
          <w:tblLook w:val="04A0"/>
        </w:tblPrEx>
        <w:trPr>
          <w:trHeight w:val="395"/>
          <w:jc w:val="center"/>
        </w:trPr>
        <w:tc>
          <w:tcPr>
            <w:tcW w:w="1283" w:type="pct"/>
            <w:vMerge/>
            <w:tcBorders>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p>
        </w:tc>
        <w:tc>
          <w:tcPr>
            <w:tcW w:w="823"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平面罩</w:t>
            </w:r>
          </w:p>
        </w:tc>
        <w:tc>
          <w:tcPr>
            <w:tcW w:w="2892" w:type="pct"/>
            <w:tcBorders>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≤0.03°</w:t>
            </w:r>
          </w:p>
        </w:tc>
      </w:tr>
      <w:tr>
        <w:tblPrEx>
          <w:tblW w:w="4999" w:type="pct"/>
          <w:jc w:val="center"/>
          <w:tblLook w:val="04A0"/>
        </w:tblPrEx>
        <w:trPr>
          <w:trHeight w:val="395"/>
          <w:jc w:val="center"/>
        </w:trPr>
        <w:tc>
          <w:tcPr>
            <w:tcW w:w="1283" w:type="pct"/>
            <w:vMerge w:val="restart"/>
            <w:tcBorders>
              <w:top w:val="single" w:sz="4" w:space="0" w:color="auto"/>
              <w:left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highlight w:val="yellow"/>
              </w:rPr>
              <w:t>#射频损失（双程）</w:t>
            </w:r>
          </w:p>
        </w:tc>
        <w:tc>
          <w:tcPr>
            <w:tcW w:w="823"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球面罩</w:t>
            </w:r>
          </w:p>
        </w:tc>
        <w:tc>
          <w:tcPr>
            <w:tcW w:w="2892" w:type="pct"/>
            <w:tcBorders>
              <w:top w:val="single" w:sz="4" w:space="0" w:color="auto"/>
              <w:left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≤1.2dB</w:t>
            </w:r>
          </w:p>
        </w:tc>
      </w:tr>
      <w:tr>
        <w:tblPrEx>
          <w:tblW w:w="4999" w:type="pct"/>
          <w:jc w:val="center"/>
          <w:tblLook w:val="04A0"/>
        </w:tblPrEx>
        <w:trPr>
          <w:trHeight w:val="395"/>
          <w:jc w:val="center"/>
        </w:trPr>
        <w:tc>
          <w:tcPr>
            <w:tcW w:w="1283" w:type="pct"/>
            <w:vMerge/>
            <w:tcBorders>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p>
        </w:tc>
        <w:tc>
          <w:tcPr>
            <w:tcW w:w="823"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平面罩</w:t>
            </w:r>
          </w:p>
        </w:tc>
        <w:tc>
          <w:tcPr>
            <w:tcW w:w="2892" w:type="pct"/>
            <w:tcBorders>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≤0.6dB</w:t>
            </w:r>
          </w:p>
        </w:tc>
      </w:tr>
      <w:tr>
        <w:tblPrEx>
          <w:tblW w:w="4999" w:type="pct"/>
          <w:jc w:val="center"/>
          <w:tblLook w:val="04A0"/>
        </w:tblPrEx>
        <w:trPr>
          <w:trHeight w:val="89"/>
          <w:jc w:val="center"/>
        </w:trPr>
        <w:tc>
          <w:tcPr>
            <w:tcW w:w="2107" w:type="pct"/>
            <w:gridSpan w:val="2"/>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引入交叉极化隔离度影响</w:t>
            </w:r>
          </w:p>
        </w:tc>
        <w:tc>
          <w:tcPr>
            <w:tcW w:w="2892"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≤1.0dB</w:t>
            </w:r>
          </w:p>
        </w:tc>
      </w:tr>
      <w:tr>
        <w:tblPrEx>
          <w:tblW w:w="4999" w:type="pct"/>
          <w:jc w:val="center"/>
          <w:tblLook w:val="04A0"/>
        </w:tblPrEx>
        <w:trPr>
          <w:trHeight w:val="96"/>
          <w:jc w:val="center"/>
        </w:trPr>
        <w:tc>
          <w:tcPr>
            <w:tcW w:w="2107" w:type="pct"/>
            <w:gridSpan w:val="2"/>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引入副瓣影响</w:t>
            </w:r>
          </w:p>
        </w:tc>
        <w:tc>
          <w:tcPr>
            <w:tcW w:w="2892"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≤3.0dB</w:t>
            </w:r>
          </w:p>
        </w:tc>
      </w:tr>
      <w:tr>
        <w:tblPrEx>
          <w:tblW w:w="4999" w:type="pct"/>
          <w:jc w:val="center"/>
          <w:tblLook w:val="04A0"/>
        </w:tblPrEx>
        <w:trPr>
          <w:trHeight w:val="54"/>
          <w:jc w:val="center"/>
        </w:trPr>
        <w:tc>
          <w:tcPr>
            <w:tcW w:w="2107" w:type="pct"/>
            <w:gridSpan w:val="2"/>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抗风能力（阵风）</w:t>
            </w:r>
          </w:p>
        </w:tc>
        <w:tc>
          <w:tcPr>
            <w:tcW w:w="2892"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17级风不损坏</w:t>
            </w:r>
          </w:p>
        </w:tc>
      </w:tr>
      <w:tr>
        <w:tblPrEx>
          <w:tblW w:w="4999" w:type="pct"/>
          <w:jc w:val="center"/>
          <w:tblLook w:val="04A0"/>
        </w:tblPrEx>
        <w:trPr>
          <w:trHeight w:val="54"/>
          <w:jc w:val="center"/>
        </w:trPr>
        <w:tc>
          <w:tcPr>
            <w:tcW w:w="2107" w:type="pct"/>
            <w:gridSpan w:val="2"/>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疏水层</w:t>
            </w:r>
          </w:p>
        </w:tc>
        <w:tc>
          <w:tcPr>
            <w:tcW w:w="2892" w:type="pct"/>
            <w:tcBorders>
              <w:top w:val="single" w:sz="4" w:space="0" w:color="auto"/>
              <w:left w:val="single" w:sz="4" w:space="0" w:color="auto"/>
              <w:bottom w:val="single" w:sz="4" w:space="0" w:color="auto"/>
              <w:right w:val="single" w:sz="4" w:space="0" w:color="auto"/>
            </w:tcBorders>
            <w:vAlign w:val="center"/>
          </w:tcPr>
          <w:p w:rsidR="00402E54">
            <w:pPr>
              <w:pStyle w:val="NoSpacing"/>
              <w:spacing w:line="240" w:lineRule="auto"/>
              <w:jc w:val="center"/>
              <w:rPr>
                <w:rFonts w:hint="eastAsia"/>
                <w:szCs w:val="18"/>
              </w:rPr>
            </w:pPr>
            <w:r>
              <w:rPr>
                <w:rFonts w:hint="eastAsia"/>
                <w:szCs w:val="18"/>
              </w:rPr>
              <w:t>接触角＞150°</w:t>
            </w:r>
          </w:p>
        </w:tc>
      </w:tr>
    </w:tbl>
    <w:p w:rsidR="00402E54">
      <w:pPr>
        <w:pStyle w:val="Heading3"/>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3.3天线技术指标</w:t>
      </w:r>
    </w:p>
    <w:tbl>
      <w:tblPr>
        <w:tblStyle w:val="TableNormal0"/>
        <w:tblW w:w="831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2"/>
        <w:gridCol w:w="2547"/>
        <w:gridCol w:w="4496"/>
      </w:tblGrid>
      <w:tr>
        <w:tblPrEx>
          <w:tblW w:w="831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blHeade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b/>
                <w:lang w:eastAsia="en-US"/>
              </w:rPr>
            </w:pPr>
            <w:r>
              <w:rPr>
                <w:rFonts w:hint="eastAsia"/>
                <w:b/>
                <w:lang w:eastAsia="en-US"/>
              </w:rPr>
              <w:t>项目</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b/>
                <w:lang w:eastAsia="en-US"/>
              </w:rPr>
            </w:pPr>
            <w:r>
              <w:rPr>
                <w:rFonts w:hint="eastAsia"/>
                <w:b/>
                <w:lang w:eastAsia="en-US"/>
              </w:rPr>
              <w:t>性能指标</w:t>
            </w:r>
          </w:p>
        </w:tc>
      </w:tr>
      <w:tr>
        <w:tblPrEx>
          <w:tblW w:w="8315" w:type="dxa"/>
          <w:jc w:val="center"/>
          <w:tblInd w:w="0" w:type="dxa"/>
          <w:tblLook w:val="04A0"/>
        </w:tblPrEx>
        <w:trP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天线形式</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平面双</w:t>
            </w:r>
            <w:r>
              <w:rPr>
                <w:rFonts w:hint="eastAsia"/>
              </w:rPr>
              <w:t>线偏振相控阵天线</w:t>
            </w:r>
          </w:p>
        </w:tc>
      </w:tr>
      <w:tr>
        <w:tblPrEx>
          <w:tblW w:w="8315" w:type="dxa"/>
          <w:jc w:val="center"/>
          <w:tblInd w:w="0" w:type="dxa"/>
          <w:tblLook w:val="04A0"/>
        </w:tblPrEx>
        <w:trP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极化方式</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线性水平、垂直极化</w:t>
            </w:r>
          </w:p>
        </w:tc>
      </w:tr>
      <w:tr>
        <w:tblPrEx>
          <w:tblW w:w="8315" w:type="dxa"/>
          <w:jc w:val="center"/>
          <w:tblInd w:w="0" w:type="dxa"/>
          <w:tblLook w:val="04A0"/>
        </w:tblPrEx>
        <w:trP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highlight w:val="yellow"/>
              </w:rPr>
            </w:pPr>
            <w:r>
              <w:rPr>
                <w:rFonts w:hint="eastAsia"/>
                <w:highlight w:val="yellow"/>
              </w:rPr>
              <w:t>#方位波束宽度（水平极化和垂直极化）</w:t>
            </w:r>
          </w:p>
        </w:tc>
        <w:tc>
          <w:tcPr>
            <w:tcW w:w="4496" w:type="dxa"/>
            <w:tcBorders>
              <w:tl2br w:val="nil"/>
              <w:tr2bl w:val="nil"/>
            </w:tcBorders>
            <w:tcMar>
              <w:top w:w="-1" w:type="dxa"/>
              <w:left w:w="-1" w:type="dxa"/>
              <w:bottom w:w="-1" w:type="dxa"/>
              <w:right w:w="-1" w:type="dxa"/>
            </w:tcMar>
            <w:vAlign w:val="center"/>
          </w:tcPr>
          <w:p w:rsidR="00402E54">
            <w:pPr>
              <w:pStyle w:val="NormalWeb"/>
              <w:widowControl/>
              <w:jc w:val="center"/>
              <w:textAlignment w:val="center"/>
              <w:rPr>
                <w:rFonts w:ascii="宋体" w:hAnsi="宋体" w:cs="宋体" w:hint="eastAsia"/>
                <w:sz w:val="18"/>
              </w:rPr>
            </w:pPr>
            <w:r>
              <w:rPr>
                <w:rFonts w:ascii="仿宋_GB2312" w:eastAsia="仿宋_GB2312" w:hAnsi="Calibri" w:cs="仿宋_GB2312"/>
                <w:color w:val="000000"/>
                <w:szCs w:val="24"/>
              </w:rPr>
              <w:t>发射、接收均</w:t>
            </w:r>
            <w:r>
              <w:rPr>
                <w:rFonts w:ascii="仿宋_GB2312" w:eastAsia="仿宋_GB2312" w:hAnsi="Calibri" w:cs="仿宋_GB2312"/>
                <w:color w:val="000000"/>
                <w:szCs w:val="24"/>
              </w:rPr>
              <w:t>≤</w:t>
            </w:r>
            <w:r>
              <w:rPr>
                <w:rFonts w:ascii="仿宋_GB2312" w:eastAsia="仿宋_GB2312" w:hAnsi="Calibri" w:cs="仿宋_GB2312"/>
                <w:color w:val="000000"/>
                <w:szCs w:val="24"/>
              </w:rPr>
              <w:t xml:space="preserve">1.8 </w:t>
            </w:r>
            <w:r>
              <w:rPr>
                <w:rFonts w:ascii="仿宋_GB2312" w:eastAsia="仿宋_GB2312" w:hAnsi="Calibri" w:cs="仿宋_GB2312"/>
                <w:color w:val="000000"/>
                <w:szCs w:val="24"/>
              </w:rPr>
              <w:t>°</w:t>
            </w:r>
          </w:p>
        </w:tc>
      </w:tr>
      <w:tr>
        <w:tblPrEx>
          <w:tblW w:w="8315" w:type="dxa"/>
          <w:jc w:val="center"/>
          <w:tblInd w:w="0" w:type="dxa"/>
          <w:tblLook w:val="04A0"/>
        </w:tblPrEx>
        <w:trP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highlight w:val="yellow"/>
              </w:rPr>
            </w:pPr>
            <w:r>
              <w:rPr>
                <w:rFonts w:hint="eastAsia"/>
                <w:highlight w:val="yellow"/>
              </w:rPr>
              <w:t>#</w:t>
            </w:r>
            <w:r>
              <w:rPr>
                <w:rFonts w:hint="eastAsia"/>
                <w:highlight w:val="yellow"/>
              </w:rPr>
              <w:t>电扫波束宽度</w:t>
            </w:r>
            <w:r>
              <w:rPr>
                <w:rFonts w:hint="eastAsia"/>
                <w:highlight w:val="yellow"/>
              </w:rPr>
              <w:t>（水平极化和垂直极化）</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发射、</w:t>
            </w:r>
            <w:r>
              <w:rPr>
                <w:rFonts w:hint="eastAsia"/>
              </w:rPr>
              <w:t>接收均法向</w:t>
            </w:r>
            <w:r>
              <w:rPr>
                <w:rFonts w:hint="eastAsia"/>
              </w:rPr>
              <w:t>≤1.8°</w:t>
            </w:r>
          </w:p>
          <w:p w:rsidR="00402E54">
            <w:pPr>
              <w:pStyle w:val="NoSpacing"/>
              <w:snapToGrid w:val="0"/>
              <w:spacing w:line="240" w:lineRule="auto"/>
              <w:jc w:val="center"/>
              <w:rPr>
                <w:rFonts w:hint="eastAsia"/>
              </w:rPr>
            </w:pPr>
            <w:r>
              <w:rPr>
                <w:rFonts w:hint="eastAsia"/>
              </w:rPr>
              <w:t>偏离法向±20°H 面和E面发射、接收均≤1.91°</w:t>
            </w:r>
          </w:p>
        </w:tc>
      </w:tr>
      <w:tr>
        <w:tblPrEx>
          <w:tblW w:w="8315" w:type="dxa"/>
          <w:jc w:val="center"/>
          <w:tblInd w:w="0" w:type="dxa"/>
          <w:tblLook w:val="04A0"/>
        </w:tblPrEx>
        <w:trPr>
          <w:jc w:val="center"/>
        </w:trPr>
        <w:tc>
          <w:tcPr>
            <w:tcW w:w="1272" w:type="dxa"/>
            <w:vMerge w:val="restart"/>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highlight w:val="yellow"/>
              </w:rPr>
              <w:t>#发射增益</w:t>
            </w:r>
          </w:p>
        </w:tc>
        <w:tc>
          <w:tcPr>
            <w:tcW w:w="2547"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法向、不含馈线</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≥38.5dB</w:t>
            </w:r>
          </w:p>
        </w:tc>
      </w:tr>
      <w:tr>
        <w:tblPrEx>
          <w:tblW w:w="8315" w:type="dxa"/>
          <w:jc w:val="center"/>
          <w:tblInd w:w="0" w:type="dxa"/>
          <w:tblLook w:val="04A0"/>
        </w:tblPrEx>
        <w:trPr>
          <w:jc w:val="center"/>
        </w:trPr>
        <w:tc>
          <w:tcPr>
            <w:tcW w:w="1272" w:type="dxa"/>
            <w:vMerge/>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p>
        </w:tc>
        <w:tc>
          <w:tcPr>
            <w:tcW w:w="2547"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偏离法向±20°、不含馈线</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≥37.5dB</w:t>
            </w:r>
          </w:p>
        </w:tc>
      </w:tr>
      <w:tr>
        <w:tblPrEx>
          <w:tblW w:w="8315" w:type="dxa"/>
          <w:jc w:val="center"/>
          <w:tblInd w:w="0" w:type="dxa"/>
          <w:tblLook w:val="04A0"/>
        </w:tblPrEx>
        <w:trPr>
          <w:jc w:val="center"/>
        </w:trPr>
        <w:tc>
          <w:tcPr>
            <w:tcW w:w="1272" w:type="dxa"/>
            <w:vMerge/>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p>
        </w:tc>
        <w:tc>
          <w:tcPr>
            <w:tcW w:w="2547"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发射4倍波束展宽、不含馈线</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≥30.5dB</w:t>
            </w:r>
          </w:p>
        </w:tc>
      </w:tr>
      <w:tr>
        <w:tblPrEx>
          <w:tblW w:w="8315" w:type="dxa"/>
          <w:jc w:val="center"/>
          <w:tblInd w:w="0" w:type="dxa"/>
          <w:tblLook w:val="04A0"/>
        </w:tblPrEx>
        <w:trPr>
          <w:jc w:val="center"/>
        </w:trPr>
        <w:tc>
          <w:tcPr>
            <w:tcW w:w="1272" w:type="dxa"/>
            <w:vMerge/>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p>
        </w:tc>
        <w:tc>
          <w:tcPr>
            <w:tcW w:w="2547"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发射8倍波束展宽、不含馈线</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≥27.5dB</w:t>
            </w:r>
          </w:p>
        </w:tc>
      </w:tr>
      <w:tr>
        <w:tblPrEx>
          <w:tblW w:w="8315" w:type="dxa"/>
          <w:jc w:val="center"/>
          <w:tblInd w:w="0" w:type="dxa"/>
          <w:tblLook w:val="04A0"/>
        </w:tblPrEx>
        <w:trPr>
          <w:jc w:val="center"/>
        </w:trPr>
        <w:tc>
          <w:tcPr>
            <w:tcW w:w="1272" w:type="dxa"/>
            <w:vMerge w:val="restart"/>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highlight w:val="yellow"/>
              </w:rPr>
            </w:pPr>
            <w:r>
              <w:rPr>
                <w:rFonts w:hint="eastAsia"/>
                <w:highlight w:val="yellow"/>
              </w:rPr>
              <w:t>#发射增益波动</w:t>
            </w:r>
          </w:p>
        </w:tc>
        <w:tc>
          <w:tcPr>
            <w:tcW w:w="2547"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发射4倍波束展宽</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≤1dB</w:t>
            </w:r>
          </w:p>
        </w:tc>
      </w:tr>
      <w:tr>
        <w:tblPrEx>
          <w:tblW w:w="8315" w:type="dxa"/>
          <w:jc w:val="center"/>
          <w:tblInd w:w="0" w:type="dxa"/>
          <w:tblLook w:val="04A0"/>
        </w:tblPrEx>
        <w:trPr>
          <w:jc w:val="center"/>
        </w:trPr>
        <w:tc>
          <w:tcPr>
            <w:tcW w:w="1272" w:type="dxa"/>
            <w:vMerge/>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highlight w:val="yellow"/>
              </w:rPr>
            </w:pPr>
          </w:p>
        </w:tc>
        <w:tc>
          <w:tcPr>
            <w:tcW w:w="2547"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发射8倍波束展宽</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≤2dB</w:t>
            </w:r>
          </w:p>
        </w:tc>
      </w:tr>
      <w:tr>
        <w:tblPrEx>
          <w:tblW w:w="8315" w:type="dxa"/>
          <w:jc w:val="center"/>
          <w:tblInd w:w="0" w:type="dxa"/>
          <w:tblLook w:val="04A0"/>
        </w:tblPrEx>
        <w:trPr>
          <w:jc w:val="center"/>
        </w:trPr>
        <w:tc>
          <w:tcPr>
            <w:tcW w:w="1272" w:type="dxa"/>
            <w:vMerge w:val="restart"/>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highlight w:val="yellow"/>
              </w:rPr>
            </w:pPr>
            <w:r>
              <w:rPr>
                <w:rFonts w:hint="eastAsia"/>
                <w:highlight w:val="yellow"/>
              </w:rPr>
              <w:t>#接收增益</w:t>
            </w:r>
          </w:p>
        </w:tc>
        <w:tc>
          <w:tcPr>
            <w:tcW w:w="2547"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法向、不含馈线</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≥37.5dB</w:t>
            </w:r>
          </w:p>
        </w:tc>
      </w:tr>
      <w:tr>
        <w:tblPrEx>
          <w:tblW w:w="8315" w:type="dxa"/>
          <w:jc w:val="center"/>
          <w:tblInd w:w="0" w:type="dxa"/>
          <w:tblLook w:val="04A0"/>
        </w:tblPrEx>
        <w:trPr>
          <w:jc w:val="center"/>
        </w:trPr>
        <w:tc>
          <w:tcPr>
            <w:tcW w:w="1272" w:type="dxa"/>
            <w:vMerge/>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p>
        </w:tc>
        <w:tc>
          <w:tcPr>
            <w:tcW w:w="2547"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偏离法向±20°、不含馈线</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≥36.5dB</w:t>
            </w:r>
          </w:p>
        </w:tc>
      </w:tr>
      <w:tr>
        <w:tblPrEx>
          <w:tblW w:w="8315" w:type="dxa"/>
          <w:jc w:val="center"/>
          <w:tblInd w:w="0" w:type="dxa"/>
          <w:tblLook w:val="04A0"/>
        </w:tblPrEx>
        <w:trP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highlight w:val="yellow"/>
              </w:rPr>
            </w:pPr>
            <w:r>
              <w:rPr>
                <w:rFonts w:hint="eastAsia"/>
                <w:highlight w:val="yellow"/>
              </w:rPr>
              <w:t>#方位方向最大副瓣电平</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发射、接收均≤-30dB</w:t>
            </w:r>
          </w:p>
        </w:tc>
      </w:tr>
      <w:tr>
        <w:tblPrEx>
          <w:tblW w:w="8315" w:type="dxa"/>
          <w:jc w:val="center"/>
          <w:tblInd w:w="0" w:type="dxa"/>
          <w:tblLook w:val="04A0"/>
        </w:tblPrEx>
        <w:trP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highlight w:val="yellow"/>
              </w:rPr>
            </w:pPr>
            <w:r>
              <w:rPr>
                <w:rFonts w:hint="eastAsia"/>
                <w:highlight w:val="yellow"/>
              </w:rPr>
              <w:t>#交叉极化隔离度</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发射、接收均满足且偏离法向±10°≥35dB</w:t>
            </w:r>
          </w:p>
          <w:p w:rsidR="00402E54">
            <w:pPr>
              <w:pStyle w:val="NoSpacing"/>
              <w:snapToGrid w:val="0"/>
              <w:spacing w:line="240" w:lineRule="auto"/>
              <w:jc w:val="center"/>
              <w:rPr>
                <w:rFonts w:hint="eastAsia"/>
              </w:rPr>
            </w:pPr>
            <w:r>
              <w:rPr>
                <w:rFonts w:hint="eastAsia"/>
              </w:rPr>
              <w:t>发射、接收均满足且偏离法向±10°～±20°≥33dB</w:t>
            </w:r>
          </w:p>
        </w:tc>
      </w:tr>
      <w:tr>
        <w:tblPrEx>
          <w:tblW w:w="8315" w:type="dxa"/>
          <w:jc w:val="center"/>
          <w:tblInd w:w="0" w:type="dxa"/>
          <w:tblLook w:val="04A0"/>
        </w:tblPrEx>
        <w:trP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双极化波束宽度差异</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H面和E面发射、接收均≤波束宽度*5%</w:t>
            </w:r>
          </w:p>
        </w:tc>
      </w:tr>
      <w:tr>
        <w:tblPrEx>
          <w:tblW w:w="8315" w:type="dxa"/>
          <w:jc w:val="center"/>
          <w:tblInd w:w="0" w:type="dxa"/>
          <w:tblLook w:val="04A0"/>
        </w:tblPrEx>
        <w:trP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双极化波束指向一致性</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发射、接收均≤波束宽度*5%</w:t>
            </w:r>
          </w:p>
        </w:tc>
      </w:tr>
      <w:tr>
        <w:tblPrEx>
          <w:tblW w:w="8315" w:type="dxa"/>
          <w:jc w:val="center"/>
          <w:tblInd w:w="0" w:type="dxa"/>
          <w:tblLook w:val="04A0"/>
        </w:tblPrEx>
        <w:trPr>
          <w:jc w:val="center"/>
        </w:trPr>
        <w:tc>
          <w:tcPr>
            <w:tcW w:w="3819" w:type="dxa"/>
            <w:gridSpan w:val="2"/>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highlight w:val="yellow"/>
              </w:rPr>
              <w:t>#驻波比</w:t>
            </w:r>
          </w:p>
        </w:tc>
        <w:tc>
          <w:tcPr>
            <w:tcW w:w="4496" w:type="dxa"/>
            <w:tcBorders>
              <w:tl2br w:val="nil"/>
              <w:tr2bl w:val="nil"/>
            </w:tcBorders>
            <w:tcMar>
              <w:top w:w="-1" w:type="dxa"/>
              <w:left w:w="-1" w:type="dxa"/>
              <w:bottom w:w="-1" w:type="dxa"/>
              <w:right w:w="-1" w:type="dxa"/>
            </w:tcMar>
            <w:vAlign w:val="center"/>
          </w:tcPr>
          <w:p w:rsidR="00402E54">
            <w:pPr>
              <w:pStyle w:val="NoSpacing"/>
              <w:snapToGrid w:val="0"/>
              <w:spacing w:line="240" w:lineRule="auto"/>
              <w:jc w:val="center"/>
              <w:rPr>
                <w:rFonts w:hint="eastAsia"/>
              </w:rPr>
            </w:pPr>
            <w:r>
              <w:rPr>
                <w:rFonts w:hint="eastAsia"/>
              </w:rPr>
              <w:t>≤1.5</w:t>
            </w:r>
          </w:p>
        </w:tc>
      </w:tr>
    </w:tbl>
    <w:p w:rsidR="00402E54">
      <w:pPr>
        <w:pStyle w:val="Heading3"/>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3.4天线阵面和伺服系统指标</w:t>
      </w:r>
    </w:p>
    <w:tbl>
      <w:tblPr>
        <w:tblStyle w:val="TableNormal0"/>
        <w:tblW w:w="831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1286"/>
        <w:gridCol w:w="1274"/>
        <w:gridCol w:w="5752"/>
      </w:tblGrid>
      <w:tr>
        <w:tblPrEx>
          <w:tblW w:w="831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Ex>
        <w:trPr>
          <w:jc w:val="center"/>
        </w:trPr>
        <w:tc>
          <w:tcPr>
            <w:tcW w:w="2560" w:type="dxa"/>
            <w:gridSpan w:val="2"/>
            <w:vAlign w:val="center"/>
          </w:tcPr>
          <w:p w:rsidR="00402E54">
            <w:pPr>
              <w:pStyle w:val="NoSpacing"/>
              <w:spacing w:line="240" w:lineRule="auto"/>
              <w:jc w:val="center"/>
              <w:rPr>
                <w:rFonts w:hint="eastAsia"/>
                <w:b/>
                <w:bCs/>
                <w:lang w:eastAsia="en-US"/>
              </w:rPr>
            </w:pPr>
            <w:r>
              <w:rPr>
                <w:rFonts w:hint="eastAsia"/>
                <w:b/>
                <w:bCs/>
                <w:lang w:eastAsia="en-US"/>
              </w:rPr>
              <w:t>项目</w:t>
            </w:r>
          </w:p>
        </w:tc>
        <w:tc>
          <w:tcPr>
            <w:tcW w:w="5752" w:type="dxa"/>
            <w:vAlign w:val="center"/>
          </w:tcPr>
          <w:p w:rsidR="00402E54">
            <w:pPr>
              <w:pStyle w:val="NoSpacing"/>
              <w:spacing w:line="240" w:lineRule="auto"/>
              <w:jc w:val="center"/>
              <w:rPr>
                <w:rFonts w:hint="eastAsia"/>
                <w:b/>
                <w:bCs/>
                <w:lang w:eastAsia="en-US"/>
              </w:rPr>
            </w:pPr>
            <w:r>
              <w:rPr>
                <w:rFonts w:hint="eastAsia"/>
                <w:b/>
                <w:bCs/>
                <w:lang w:eastAsia="en-US"/>
              </w:rPr>
              <w:t>性能指标</w:t>
            </w:r>
          </w:p>
        </w:tc>
      </w:tr>
      <w:tr>
        <w:tblPrEx>
          <w:tblW w:w="8312" w:type="dxa"/>
          <w:jc w:val="center"/>
          <w:tblInd w:w="0" w:type="dxa"/>
          <w:tblLook w:val="04A0"/>
        </w:tblPrEx>
        <w:trPr>
          <w:jc w:val="center"/>
        </w:trPr>
        <w:tc>
          <w:tcPr>
            <w:tcW w:w="2560" w:type="dxa"/>
            <w:gridSpan w:val="2"/>
            <w:vAlign w:val="center"/>
          </w:tcPr>
          <w:p w:rsidR="00402E54">
            <w:pPr>
              <w:pStyle w:val="NoSpacing"/>
              <w:spacing w:line="240" w:lineRule="auto"/>
              <w:jc w:val="center"/>
              <w:rPr>
                <w:rFonts w:hint="eastAsia"/>
              </w:rPr>
            </w:pPr>
            <w:r>
              <w:rPr>
                <w:rFonts w:hint="eastAsia"/>
              </w:rPr>
              <w:t>波束扫描方式</w:t>
            </w:r>
          </w:p>
        </w:tc>
        <w:tc>
          <w:tcPr>
            <w:tcW w:w="5752" w:type="dxa"/>
            <w:vAlign w:val="center"/>
          </w:tcPr>
          <w:p w:rsidR="00402E54">
            <w:pPr>
              <w:pStyle w:val="NoSpacing"/>
              <w:spacing w:line="240" w:lineRule="auto"/>
              <w:jc w:val="center"/>
              <w:rPr>
                <w:rFonts w:hint="eastAsia"/>
              </w:rPr>
            </w:pPr>
            <w:r>
              <w:rPr>
                <w:rFonts w:hint="eastAsia"/>
              </w:rPr>
              <w:t>平面位置扫描、体积扫描、扇形扫描、定点扫描、用户自定义</w:t>
            </w:r>
          </w:p>
        </w:tc>
      </w:tr>
      <w:tr>
        <w:tblPrEx>
          <w:tblW w:w="8312" w:type="dxa"/>
          <w:jc w:val="center"/>
          <w:tblInd w:w="0" w:type="dxa"/>
          <w:tblLook w:val="04A0"/>
        </w:tblPrEx>
        <w:trPr>
          <w:jc w:val="center"/>
        </w:trPr>
        <w:tc>
          <w:tcPr>
            <w:tcW w:w="1286" w:type="dxa"/>
            <w:vMerge w:val="restart"/>
            <w:tcBorders>
              <w:bottom w:val="nil"/>
            </w:tcBorders>
            <w:vAlign w:val="center"/>
          </w:tcPr>
          <w:p w:rsidR="00402E54">
            <w:pPr>
              <w:pStyle w:val="NoSpacing"/>
              <w:spacing w:line="240" w:lineRule="auto"/>
              <w:jc w:val="center"/>
              <w:rPr>
                <w:rFonts w:hint="eastAsia"/>
              </w:rPr>
            </w:pPr>
            <w:r>
              <w:rPr>
                <w:rFonts w:hint="eastAsia"/>
              </w:rPr>
              <w:t>波束扫描范围</w:t>
            </w:r>
          </w:p>
        </w:tc>
        <w:tc>
          <w:tcPr>
            <w:tcW w:w="1274" w:type="dxa"/>
            <w:vAlign w:val="center"/>
          </w:tcPr>
          <w:p w:rsidR="00402E54">
            <w:pPr>
              <w:pStyle w:val="NoSpacing"/>
              <w:spacing w:line="240" w:lineRule="auto"/>
              <w:jc w:val="center"/>
              <w:rPr>
                <w:rFonts w:hint="eastAsia"/>
              </w:rPr>
            </w:pPr>
            <w:r>
              <w:rPr>
                <w:rFonts w:hint="eastAsia"/>
              </w:rPr>
              <w:t>方位机械扫描</w:t>
            </w:r>
          </w:p>
        </w:tc>
        <w:tc>
          <w:tcPr>
            <w:tcW w:w="5752" w:type="dxa"/>
            <w:vAlign w:val="center"/>
          </w:tcPr>
          <w:p w:rsidR="00402E54">
            <w:pPr>
              <w:pStyle w:val="NoSpacing"/>
              <w:spacing w:line="240" w:lineRule="auto"/>
              <w:jc w:val="center"/>
              <w:rPr>
                <w:rFonts w:hint="eastAsia"/>
              </w:rPr>
            </w:pPr>
            <w:r>
              <w:rPr>
                <w:rFonts w:hint="eastAsia"/>
              </w:rPr>
              <w:t>0～360°连续扫描</w:t>
            </w:r>
          </w:p>
        </w:tc>
      </w:tr>
      <w:tr>
        <w:tblPrEx>
          <w:tblW w:w="8312" w:type="dxa"/>
          <w:jc w:val="center"/>
          <w:tblInd w:w="0" w:type="dxa"/>
          <w:tblLook w:val="04A0"/>
        </w:tblPrEx>
        <w:trPr>
          <w:jc w:val="center"/>
        </w:trPr>
        <w:tc>
          <w:tcPr>
            <w:tcW w:w="1286" w:type="dxa"/>
            <w:vMerge/>
            <w:tcBorders>
              <w:top w:val="nil"/>
              <w:bottom w:val="nil"/>
            </w:tcBorders>
            <w:vAlign w:val="center"/>
          </w:tcPr>
          <w:p w:rsidR="00402E54">
            <w:pPr>
              <w:pStyle w:val="NoSpacing"/>
              <w:spacing w:line="240" w:lineRule="auto"/>
              <w:jc w:val="center"/>
              <w:rPr>
                <w:rFonts w:hint="eastAsia"/>
              </w:rPr>
            </w:pPr>
          </w:p>
        </w:tc>
        <w:tc>
          <w:tcPr>
            <w:tcW w:w="1274" w:type="dxa"/>
            <w:vAlign w:val="center"/>
          </w:tcPr>
          <w:p w:rsidR="00402E54">
            <w:pPr>
              <w:pStyle w:val="NoSpacing"/>
              <w:spacing w:line="240" w:lineRule="auto"/>
              <w:jc w:val="center"/>
              <w:rPr>
                <w:rFonts w:hint="eastAsia"/>
              </w:rPr>
            </w:pPr>
            <w:r>
              <w:rPr>
                <w:rFonts w:hint="eastAsia"/>
              </w:rPr>
              <w:t>俯仰电子扫描</w:t>
            </w:r>
          </w:p>
        </w:tc>
        <w:tc>
          <w:tcPr>
            <w:tcW w:w="5752" w:type="dxa"/>
            <w:vAlign w:val="center"/>
          </w:tcPr>
          <w:p w:rsidR="00402E54">
            <w:pPr>
              <w:pStyle w:val="NoSpacing"/>
              <w:spacing w:line="240" w:lineRule="auto"/>
              <w:jc w:val="center"/>
              <w:rPr>
                <w:rFonts w:hint="eastAsia"/>
              </w:rPr>
            </w:pPr>
            <w:r>
              <w:rPr>
                <w:rFonts w:hint="eastAsia"/>
              </w:rPr>
              <w:t>-2～+60°</w:t>
            </w:r>
          </w:p>
        </w:tc>
      </w:tr>
      <w:tr>
        <w:tblPrEx>
          <w:tblW w:w="8312" w:type="dxa"/>
          <w:jc w:val="center"/>
          <w:tblInd w:w="0" w:type="dxa"/>
          <w:tblLook w:val="04A0"/>
        </w:tblPrEx>
        <w:trPr>
          <w:jc w:val="center"/>
        </w:trPr>
        <w:tc>
          <w:tcPr>
            <w:tcW w:w="1286" w:type="dxa"/>
            <w:vMerge/>
            <w:tcBorders>
              <w:top w:val="nil"/>
            </w:tcBorders>
            <w:vAlign w:val="center"/>
          </w:tcPr>
          <w:p w:rsidR="00402E54">
            <w:pPr>
              <w:pStyle w:val="NoSpacing"/>
              <w:spacing w:line="240" w:lineRule="auto"/>
              <w:jc w:val="center"/>
              <w:rPr>
                <w:rFonts w:hint="eastAsia"/>
              </w:rPr>
            </w:pPr>
          </w:p>
        </w:tc>
        <w:tc>
          <w:tcPr>
            <w:tcW w:w="1274" w:type="dxa"/>
            <w:vAlign w:val="center"/>
          </w:tcPr>
          <w:p w:rsidR="00402E54">
            <w:pPr>
              <w:pStyle w:val="NoSpacing"/>
              <w:spacing w:line="240" w:lineRule="auto"/>
              <w:jc w:val="center"/>
              <w:rPr>
                <w:rFonts w:hint="eastAsia"/>
              </w:rPr>
            </w:pPr>
            <w:r>
              <w:rPr>
                <w:rFonts w:hint="eastAsia"/>
              </w:rPr>
              <w:t>俯仰机械调整</w:t>
            </w:r>
          </w:p>
        </w:tc>
        <w:tc>
          <w:tcPr>
            <w:tcW w:w="5752" w:type="dxa"/>
            <w:vAlign w:val="center"/>
          </w:tcPr>
          <w:p w:rsidR="00402E54">
            <w:pPr>
              <w:pStyle w:val="NoSpacing"/>
              <w:spacing w:line="240" w:lineRule="auto"/>
              <w:jc w:val="center"/>
              <w:rPr>
                <w:rFonts w:hint="eastAsia"/>
              </w:rPr>
            </w:pPr>
            <w:r>
              <w:rPr>
                <w:rFonts w:hint="eastAsia"/>
              </w:rPr>
              <w:t>天线阵面法向0～+90°</w:t>
            </w:r>
          </w:p>
        </w:tc>
      </w:tr>
      <w:tr>
        <w:tblPrEx>
          <w:tblW w:w="8312" w:type="dxa"/>
          <w:jc w:val="center"/>
          <w:tblInd w:w="0" w:type="dxa"/>
          <w:tblLook w:val="04A0"/>
        </w:tblPrEx>
        <w:trPr>
          <w:jc w:val="center"/>
        </w:trPr>
        <w:tc>
          <w:tcPr>
            <w:tcW w:w="1286" w:type="dxa"/>
            <w:vAlign w:val="center"/>
          </w:tcPr>
          <w:p w:rsidR="00402E54">
            <w:pPr>
              <w:pStyle w:val="NoSpacing"/>
              <w:spacing w:line="240" w:lineRule="auto"/>
              <w:jc w:val="center"/>
              <w:rPr>
                <w:rFonts w:hint="eastAsia"/>
              </w:rPr>
            </w:pPr>
            <w:r>
              <w:rPr>
                <w:rFonts w:hint="eastAsia"/>
              </w:rPr>
              <w:t>天线阵面扫描速度</w:t>
            </w:r>
          </w:p>
        </w:tc>
        <w:tc>
          <w:tcPr>
            <w:tcW w:w="1274" w:type="dxa"/>
            <w:vAlign w:val="center"/>
          </w:tcPr>
          <w:p w:rsidR="00402E54">
            <w:pPr>
              <w:pStyle w:val="NoSpacing"/>
              <w:spacing w:line="240" w:lineRule="auto"/>
              <w:jc w:val="center"/>
              <w:rPr>
                <w:rFonts w:hint="eastAsia"/>
              </w:rPr>
            </w:pPr>
            <w:r>
              <w:rPr>
                <w:rFonts w:hint="eastAsia"/>
              </w:rPr>
              <w:t>方位</w:t>
            </w:r>
          </w:p>
        </w:tc>
        <w:tc>
          <w:tcPr>
            <w:tcW w:w="5752" w:type="dxa"/>
            <w:vAlign w:val="center"/>
          </w:tcPr>
          <w:p w:rsidR="00402E54">
            <w:pPr>
              <w:pStyle w:val="NoSpacing"/>
              <w:spacing w:line="240" w:lineRule="auto"/>
              <w:jc w:val="center"/>
              <w:rPr>
                <w:rFonts w:hint="eastAsia"/>
              </w:rPr>
            </w:pPr>
            <w:r>
              <w:rPr>
                <w:rFonts w:hint="eastAsia"/>
              </w:rPr>
              <w:t>0～36°/s，≥6°/s时误差不大于5%</w:t>
            </w:r>
          </w:p>
        </w:tc>
      </w:tr>
      <w:tr>
        <w:tblPrEx>
          <w:tblW w:w="8312" w:type="dxa"/>
          <w:jc w:val="center"/>
          <w:tblInd w:w="0" w:type="dxa"/>
          <w:tblLook w:val="04A0"/>
        </w:tblPrEx>
        <w:trPr>
          <w:jc w:val="center"/>
        </w:trPr>
        <w:tc>
          <w:tcPr>
            <w:tcW w:w="1286" w:type="dxa"/>
            <w:vMerge w:val="restart"/>
            <w:tcBorders>
              <w:bottom w:val="nil"/>
            </w:tcBorders>
            <w:vAlign w:val="center"/>
          </w:tcPr>
          <w:p w:rsidR="00402E54">
            <w:pPr>
              <w:pStyle w:val="NoSpacing"/>
              <w:spacing w:line="240" w:lineRule="auto"/>
              <w:jc w:val="center"/>
              <w:rPr>
                <w:rFonts w:hint="eastAsia"/>
              </w:rPr>
            </w:pPr>
            <w:r>
              <w:rPr>
                <w:rFonts w:hint="eastAsia"/>
                <w:highlight w:val="yellow"/>
              </w:rPr>
              <w:t>#波束指向误差</w:t>
            </w:r>
          </w:p>
        </w:tc>
        <w:tc>
          <w:tcPr>
            <w:tcW w:w="1274" w:type="dxa"/>
            <w:vAlign w:val="center"/>
          </w:tcPr>
          <w:p w:rsidR="00402E54">
            <w:pPr>
              <w:pStyle w:val="NoSpacing"/>
              <w:spacing w:line="240" w:lineRule="auto"/>
              <w:jc w:val="center"/>
              <w:rPr>
                <w:rFonts w:hint="eastAsia"/>
              </w:rPr>
            </w:pPr>
            <w:r>
              <w:rPr>
                <w:rFonts w:hint="eastAsia"/>
              </w:rPr>
              <w:t>方位</w:t>
            </w:r>
          </w:p>
        </w:tc>
        <w:tc>
          <w:tcPr>
            <w:tcW w:w="5752" w:type="dxa"/>
            <w:vAlign w:val="center"/>
          </w:tcPr>
          <w:p w:rsidR="00402E54">
            <w:pPr>
              <w:pStyle w:val="NoSpacing"/>
              <w:spacing w:line="240" w:lineRule="auto"/>
              <w:jc w:val="center"/>
              <w:rPr>
                <w:rFonts w:hint="eastAsia"/>
              </w:rPr>
            </w:pPr>
            <w:r>
              <w:rPr>
                <w:rFonts w:hint="eastAsia"/>
              </w:rPr>
              <w:t>≤0.05°</w:t>
            </w:r>
          </w:p>
        </w:tc>
      </w:tr>
      <w:tr>
        <w:tblPrEx>
          <w:tblW w:w="8312" w:type="dxa"/>
          <w:jc w:val="center"/>
          <w:tblInd w:w="0" w:type="dxa"/>
          <w:tblLook w:val="04A0"/>
        </w:tblPrEx>
        <w:trPr>
          <w:jc w:val="center"/>
        </w:trPr>
        <w:tc>
          <w:tcPr>
            <w:tcW w:w="1286" w:type="dxa"/>
            <w:vMerge/>
            <w:tcBorders>
              <w:top w:val="nil"/>
            </w:tcBorders>
            <w:vAlign w:val="center"/>
          </w:tcPr>
          <w:p w:rsidR="00402E54">
            <w:pPr>
              <w:pStyle w:val="NoSpacing"/>
              <w:spacing w:line="240" w:lineRule="auto"/>
              <w:jc w:val="center"/>
              <w:rPr>
                <w:rFonts w:hint="eastAsia"/>
              </w:rPr>
            </w:pPr>
          </w:p>
        </w:tc>
        <w:tc>
          <w:tcPr>
            <w:tcW w:w="1274" w:type="dxa"/>
            <w:vAlign w:val="center"/>
          </w:tcPr>
          <w:p w:rsidR="00402E54">
            <w:pPr>
              <w:pStyle w:val="NoSpacing"/>
              <w:spacing w:line="240" w:lineRule="auto"/>
              <w:jc w:val="center"/>
              <w:rPr>
                <w:rFonts w:hint="eastAsia"/>
              </w:rPr>
            </w:pPr>
            <w:r>
              <w:rPr>
                <w:rFonts w:hint="eastAsia"/>
              </w:rPr>
              <w:t>俯仰</w:t>
            </w:r>
          </w:p>
        </w:tc>
        <w:tc>
          <w:tcPr>
            <w:tcW w:w="5752" w:type="dxa"/>
            <w:vAlign w:val="center"/>
          </w:tcPr>
          <w:p w:rsidR="00402E54">
            <w:pPr>
              <w:pStyle w:val="NoSpacing"/>
              <w:spacing w:line="240" w:lineRule="auto"/>
              <w:jc w:val="center"/>
              <w:rPr>
                <w:rFonts w:hint="eastAsia"/>
              </w:rPr>
            </w:pPr>
            <w:r>
              <w:rPr>
                <w:rFonts w:hint="eastAsia"/>
              </w:rPr>
              <w:t>≤0.05°</w:t>
            </w:r>
          </w:p>
        </w:tc>
      </w:tr>
      <w:tr>
        <w:tblPrEx>
          <w:tblW w:w="8312" w:type="dxa"/>
          <w:jc w:val="center"/>
          <w:tblInd w:w="0" w:type="dxa"/>
          <w:tblLook w:val="04A0"/>
        </w:tblPrEx>
        <w:trPr>
          <w:jc w:val="center"/>
        </w:trPr>
        <w:tc>
          <w:tcPr>
            <w:tcW w:w="1286" w:type="dxa"/>
            <w:vAlign w:val="center"/>
          </w:tcPr>
          <w:p w:rsidR="00402E54">
            <w:pPr>
              <w:pStyle w:val="NoSpacing"/>
              <w:spacing w:line="240" w:lineRule="auto"/>
              <w:jc w:val="center"/>
              <w:rPr>
                <w:rFonts w:hint="eastAsia"/>
              </w:rPr>
            </w:pPr>
            <w:r>
              <w:rPr>
                <w:rFonts w:hint="eastAsia"/>
              </w:rPr>
              <w:t>伺服控制误差</w:t>
            </w:r>
          </w:p>
        </w:tc>
        <w:tc>
          <w:tcPr>
            <w:tcW w:w="1274" w:type="dxa"/>
            <w:vAlign w:val="center"/>
          </w:tcPr>
          <w:p w:rsidR="00402E54">
            <w:pPr>
              <w:pStyle w:val="NoSpacing"/>
              <w:spacing w:line="240" w:lineRule="auto"/>
              <w:jc w:val="center"/>
              <w:rPr>
                <w:rFonts w:hint="eastAsia"/>
              </w:rPr>
            </w:pPr>
            <w:r>
              <w:rPr>
                <w:rFonts w:hint="eastAsia"/>
              </w:rPr>
              <w:t>方位</w:t>
            </w:r>
          </w:p>
        </w:tc>
        <w:tc>
          <w:tcPr>
            <w:tcW w:w="5752" w:type="dxa"/>
            <w:vAlign w:val="center"/>
          </w:tcPr>
          <w:p w:rsidR="00402E54">
            <w:pPr>
              <w:pStyle w:val="NoSpacing"/>
              <w:spacing w:line="240" w:lineRule="auto"/>
              <w:jc w:val="center"/>
              <w:rPr>
                <w:rFonts w:hint="eastAsia"/>
              </w:rPr>
            </w:pPr>
            <w:r>
              <w:rPr>
                <w:rFonts w:hint="eastAsia"/>
              </w:rPr>
              <w:t>≤0.05°</w:t>
            </w:r>
          </w:p>
        </w:tc>
      </w:tr>
      <w:tr>
        <w:tblPrEx>
          <w:tblW w:w="8312" w:type="dxa"/>
          <w:jc w:val="center"/>
          <w:tblInd w:w="0" w:type="dxa"/>
          <w:tblLook w:val="04A0"/>
        </w:tblPrEx>
        <w:trPr>
          <w:jc w:val="center"/>
        </w:trPr>
        <w:tc>
          <w:tcPr>
            <w:tcW w:w="2560" w:type="dxa"/>
            <w:gridSpan w:val="2"/>
            <w:vAlign w:val="center"/>
          </w:tcPr>
          <w:p w:rsidR="00402E54">
            <w:pPr>
              <w:pStyle w:val="NoSpacing"/>
              <w:spacing w:line="240" w:lineRule="auto"/>
              <w:jc w:val="center"/>
              <w:rPr>
                <w:rFonts w:hint="eastAsia"/>
              </w:rPr>
            </w:pPr>
            <w:r>
              <w:rPr>
                <w:rFonts w:hint="eastAsia"/>
              </w:rPr>
              <w:t>天线座水平度</w:t>
            </w:r>
          </w:p>
        </w:tc>
        <w:tc>
          <w:tcPr>
            <w:tcW w:w="5752" w:type="dxa"/>
            <w:vAlign w:val="center"/>
          </w:tcPr>
          <w:p w:rsidR="00402E54">
            <w:pPr>
              <w:pStyle w:val="NoSpacing"/>
              <w:spacing w:line="240" w:lineRule="auto"/>
              <w:jc w:val="center"/>
              <w:rPr>
                <w:rFonts w:hint="eastAsia"/>
              </w:rPr>
            </w:pPr>
            <w:r>
              <w:rPr>
                <w:rFonts w:hint="eastAsia"/>
              </w:rPr>
              <w:t>≤30″</w:t>
            </w:r>
          </w:p>
        </w:tc>
      </w:tr>
      <w:tr>
        <w:tblPrEx>
          <w:tblW w:w="8312" w:type="dxa"/>
          <w:jc w:val="center"/>
          <w:tblInd w:w="0" w:type="dxa"/>
          <w:tblLook w:val="04A0"/>
        </w:tblPrEx>
        <w:trPr>
          <w:jc w:val="center"/>
        </w:trPr>
        <w:tc>
          <w:tcPr>
            <w:tcW w:w="2560" w:type="dxa"/>
            <w:gridSpan w:val="2"/>
            <w:vAlign w:val="center"/>
          </w:tcPr>
          <w:p w:rsidR="00402E54">
            <w:pPr>
              <w:pStyle w:val="NoSpacing"/>
              <w:spacing w:line="240" w:lineRule="auto"/>
              <w:jc w:val="center"/>
              <w:rPr>
                <w:rFonts w:hint="eastAsia"/>
              </w:rPr>
            </w:pPr>
            <w:r>
              <w:rPr>
                <w:rFonts w:hint="eastAsia"/>
              </w:rPr>
              <w:t>天线阵</w:t>
            </w:r>
            <w:r>
              <w:rPr>
                <w:rFonts w:hint="eastAsia"/>
              </w:rPr>
              <w:t>面控制</w:t>
            </w:r>
            <w:r>
              <w:rPr>
                <w:rFonts w:hint="eastAsia"/>
              </w:rPr>
              <w:t>字长</w:t>
            </w:r>
          </w:p>
        </w:tc>
        <w:tc>
          <w:tcPr>
            <w:tcW w:w="5752" w:type="dxa"/>
            <w:vAlign w:val="center"/>
          </w:tcPr>
          <w:p w:rsidR="00402E54">
            <w:pPr>
              <w:pStyle w:val="NoSpacing"/>
              <w:spacing w:line="240" w:lineRule="auto"/>
              <w:jc w:val="center"/>
              <w:rPr>
                <w:rFonts w:hint="eastAsia"/>
              </w:rPr>
            </w:pPr>
            <w:r>
              <w:rPr>
                <w:rFonts w:hint="eastAsia"/>
              </w:rPr>
              <w:t>≥16位</w:t>
            </w:r>
          </w:p>
        </w:tc>
      </w:tr>
      <w:tr>
        <w:tblPrEx>
          <w:tblW w:w="8312" w:type="dxa"/>
          <w:jc w:val="center"/>
          <w:tblInd w:w="0" w:type="dxa"/>
          <w:tblLook w:val="04A0"/>
        </w:tblPrEx>
        <w:trPr>
          <w:jc w:val="center"/>
        </w:trPr>
        <w:tc>
          <w:tcPr>
            <w:tcW w:w="2560" w:type="dxa"/>
            <w:gridSpan w:val="2"/>
            <w:vAlign w:val="center"/>
          </w:tcPr>
          <w:p w:rsidR="00402E54">
            <w:pPr>
              <w:pStyle w:val="NoSpacing"/>
              <w:spacing w:line="240" w:lineRule="auto"/>
              <w:jc w:val="center"/>
              <w:rPr>
                <w:rFonts w:hint="eastAsia"/>
              </w:rPr>
            </w:pPr>
            <w:r>
              <w:rPr>
                <w:rFonts w:hint="eastAsia"/>
              </w:rPr>
              <w:t>角度编码器字长</w:t>
            </w:r>
          </w:p>
        </w:tc>
        <w:tc>
          <w:tcPr>
            <w:tcW w:w="5752" w:type="dxa"/>
            <w:vAlign w:val="center"/>
          </w:tcPr>
          <w:p w:rsidR="00402E54">
            <w:pPr>
              <w:pStyle w:val="NoSpacing"/>
              <w:spacing w:line="240" w:lineRule="auto"/>
              <w:jc w:val="center"/>
              <w:rPr>
                <w:rFonts w:hint="eastAsia"/>
              </w:rPr>
            </w:pPr>
            <w:r>
              <w:rPr>
                <w:rFonts w:hint="eastAsia"/>
              </w:rPr>
              <w:t>≥16位</w:t>
            </w:r>
          </w:p>
        </w:tc>
      </w:tr>
      <w:tr>
        <w:tblPrEx>
          <w:tblW w:w="8312" w:type="dxa"/>
          <w:jc w:val="center"/>
          <w:tblInd w:w="0" w:type="dxa"/>
          <w:tblLook w:val="04A0"/>
        </w:tblPrEx>
        <w:trPr>
          <w:jc w:val="center"/>
        </w:trPr>
        <w:tc>
          <w:tcPr>
            <w:tcW w:w="2560" w:type="dxa"/>
            <w:gridSpan w:val="2"/>
            <w:vAlign w:val="center"/>
          </w:tcPr>
          <w:p w:rsidR="00402E54">
            <w:pPr>
              <w:pStyle w:val="NoSpacing"/>
              <w:spacing w:line="240" w:lineRule="auto"/>
              <w:jc w:val="center"/>
              <w:rPr>
                <w:rFonts w:hint="eastAsia"/>
              </w:rPr>
            </w:pPr>
            <w:r>
              <w:rPr>
                <w:rFonts w:hint="eastAsia"/>
              </w:rPr>
              <w:t>安全与保护</w:t>
            </w:r>
          </w:p>
        </w:tc>
        <w:tc>
          <w:tcPr>
            <w:tcW w:w="5752" w:type="dxa"/>
            <w:vAlign w:val="center"/>
          </w:tcPr>
          <w:p w:rsidR="00402E54">
            <w:pPr>
              <w:pStyle w:val="NoSpacing"/>
              <w:spacing w:line="240" w:lineRule="auto"/>
              <w:jc w:val="center"/>
              <w:rPr>
                <w:rFonts w:hint="eastAsia"/>
              </w:rPr>
            </w:pPr>
            <w:r>
              <w:rPr>
                <w:rFonts w:hint="eastAsia"/>
              </w:rPr>
              <w:t>天线阵面应设有辅助支撑锁定机构，以保证其在运输架设时的安全性和稳定性。天线阵面的方位和俯仰运转系统中应具有安全保护措施并具备锁定功能。</w:t>
            </w:r>
          </w:p>
        </w:tc>
      </w:tr>
    </w:tbl>
    <w:p w:rsidR="00402E54">
      <w:pPr>
        <w:pStyle w:val="Heading3"/>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3.5发射单元技术指标</w:t>
      </w:r>
    </w:p>
    <w:tbl>
      <w:tblPr>
        <w:tblStyle w:val="TableNormal"/>
        <w:tblpPr w:leftFromText="180" w:rightFromText="180" w:vertAnchor="text" w:tblpXSpec="center" w:tblpY="1"/>
        <w:tblOverlap w:val="never"/>
        <w:tblW w:w="5026"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tblPr>
      <w:tblGrid>
        <w:gridCol w:w="628"/>
        <w:gridCol w:w="1840"/>
        <w:gridCol w:w="1657"/>
        <w:gridCol w:w="4218"/>
      </w:tblGrid>
      <w:tr>
        <w:tblPrEx>
          <w:tblW w:w="5026"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tblPrEx>
        <w:trPr>
          <w:tblHeader/>
          <w:jc w:val="center"/>
        </w:trPr>
        <w:tc>
          <w:tcPr>
            <w:tcW w:w="1479" w:type="pct"/>
            <w:gridSpan w:val="2"/>
            <w:tcBorders>
              <w:tl2br w:val="nil"/>
              <w:tr2bl w:val="nil"/>
            </w:tcBorders>
            <w:vAlign w:val="center"/>
          </w:tcPr>
          <w:p w:rsidR="00402E54">
            <w:pPr>
              <w:pStyle w:val="NoSpacing"/>
              <w:keepNext/>
              <w:snapToGrid w:val="0"/>
              <w:spacing w:line="240" w:lineRule="auto"/>
              <w:jc w:val="center"/>
              <w:rPr>
                <w:rFonts w:hint="eastAsia"/>
                <w:b/>
                <w:bCs/>
                <w:lang w:eastAsia="en-US"/>
              </w:rPr>
            </w:pPr>
            <w:r>
              <w:rPr>
                <w:rFonts w:hint="eastAsia"/>
                <w:b/>
                <w:bCs/>
                <w:lang w:eastAsia="en-US"/>
              </w:rPr>
              <w:t>项目</w:t>
            </w:r>
          </w:p>
        </w:tc>
        <w:tc>
          <w:tcPr>
            <w:tcW w:w="3520" w:type="pct"/>
            <w:gridSpan w:val="2"/>
            <w:tcBorders>
              <w:tl2br w:val="nil"/>
              <w:tr2bl w:val="nil"/>
            </w:tcBorders>
            <w:vAlign w:val="center"/>
          </w:tcPr>
          <w:p w:rsidR="00402E54">
            <w:pPr>
              <w:pStyle w:val="NoSpacing"/>
              <w:keepNext/>
              <w:snapToGrid w:val="0"/>
              <w:spacing w:line="240" w:lineRule="auto"/>
              <w:jc w:val="center"/>
              <w:rPr>
                <w:rFonts w:hint="eastAsia"/>
                <w:b/>
                <w:bCs/>
                <w:lang w:eastAsia="en-US"/>
              </w:rPr>
            </w:pPr>
            <w:r>
              <w:rPr>
                <w:rFonts w:hint="eastAsia"/>
                <w:b/>
                <w:bCs/>
                <w:lang w:eastAsia="en-US"/>
              </w:rPr>
              <w:t>性能指标</w:t>
            </w:r>
          </w:p>
        </w:tc>
      </w:tr>
      <w:tr>
        <w:tblPrEx>
          <w:tblW w:w="5026" w:type="pct"/>
          <w:jc w:val="center"/>
          <w:tblCellMar>
            <w:left w:w="0" w:type="dxa"/>
            <w:right w:w="0" w:type="dxa"/>
          </w:tblCellMar>
          <w:tblLook w:val="04A0"/>
        </w:tblPrEx>
        <w:trPr>
          <w:jc w:val="center"/>
        </w:trPr>
        <w:tc>
          <w:tcPr>
            <w:tcW w:w="1479"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发射通道形式</w:t>
            </w:r>
          </w:p>
        </w:tc>
        <w:tc>
          <w:tcPr>
            <w:tcW w:w="3520"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全固态分布式</w:t>
            </w:r>
          </w:p>
        </w:tc>
      </w:tr>
      <w:tr>
        <w:tblPrEx>
          <w:tblW w:w="5026" w:type="pct"/>
          <w:jc w:val="center"/>
          <w:tblCellMar>
            <w:left w:w="0" w:type="dxa"/>
            <w:right w:w="0" w:type="dxa"/>
          </w:tblCellMar>
          <w:tblLook w:val="04A0"/>
        </w:tblPrEx>
        <w:trPr>
          <w:jc w:val="center"/>
        </w:trPr>
        <w:tc>
          <w:tcPr>
            <w:tcW w:w="1479"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highlight w:val="yellow"/>
              </w:rPr>
            </w:pPr>
            <w:r>
              <w:rPr>
                <w:rFonts w:hint="eastAsia"/>
                <w:highlight w:val="yellow"/>
              </w:rPr>
              <w:t>#脉冲峰值功率（单极化）</w:t>
            </w:r>
          </w:p>
        </w:tc>
        <w:tc>
          <w:tcPr>
            <w:tcW w:w="3520"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≥1000W</w:t>
            </w:r>
          </w:p>
        </w:tc>
      </w:tr>
      <w:tr>
        <w:tblPrEx>
          <w:tblW w:w="5026" w:type="pct"/>
          <w:jc w:val="center"/>
          <w:tblCellMar>
            <w:left w:w="0" w:type="dxa"/>
            <w:right w:w="0" w:type="dxa"/>
          </w:tblCellMar>
          <w:tblLook w:val="04A0"/>
        </w:tblPrEx>
        <w:trPr>
          <w:jc w:val="center"/>
        </w:trPr>
        <w:tc>
          <w:tcPr>
            <w:tcW w:w="376" w:type="pct"/>
            <w:vMerge w:val="restart"/>
            <w:tcBorders>
              <w:tl2br w:val="nil"/>
              <w:tr2bl w:val="nil"/>
            </w:tcBorders>
            <w:vAlign w:val="center"/>
          </w:tcPr>
          <w:p w:rsidR="00402E54">
            <w:pPr>
              <w:pStyle w:val="NoSpacing"/>
              <w:keepNext/>
              <w:widowControl/>
              <w:adjustRightInd w:val="0"/>
              <w:snapToGrid w:val="0"/>
              <w:spacing w:line="240" w:lineRule="auto"/>
              <w:jc w:val="center"/>
              <w:rPr>
                <w:rFonts w:hint="eastAsia"/>
                <w:highlight w:val="yellow"/>
              </w:rPr>
            </w:pPr>
            <w:r>
              <w:rPr>
                <w:rFonts w:hint="eastAsia"/>
                <w:highlight w:val="yellow"/>
              </w:rPr>
              <w:t>#EIRP</w:t>
            </w:r>
          </w:p>
        </w:tc>
        <w:tc>
          <w:tcPr>
            <w:tcW w:w="1102" w:type="pct"/>
            <w:tcBorders>
              <w:tl2br w:val="nil"/>
              <w:tr2bl w:val="nil"/>
            </w:tcBorders>
            <w:vAlign w:val="center"/>
          </w:tcPr>
          <w:p w:rsidR="00402E54">
            <w:pPr>
              <w:pStyle w:val="NoSpacing"/>
              <w:keepNext/>
              <w:widowControl/>
              <w:adjustRightInd w:val="0"/>
              <w:snapToGrid w:val="0"/>
              <w:spacing w:line="240" w:lineRule="auto"/>
              <w:jc w:val="center"/>
              <w:rPr>
                <w:rFonts w:hint="eastAsia"/>
                <w:highlight w:val="yellow"/>
              </w:rPr>
            </w:pPr>
            <w:r>
              <w:rPr>
                <w:rFonts w:hint="eastAsia"/>
                <w:highlight w:val="yellow"/>
              </w:rPr>
              <w:t>EIRP（法向、单极化）</w:t>
            </w:r>
          </w:p>
        </w:tc>
        <w:tc>
          <w:tcPr>
            <w:tcW w:w="3520" w:type="pct"/>
            <w:gridSpan w:val="2"/>
            <w:tcBorders>
              <w:tl2br w:val="nil"/>
              <w:tr2bl w:val="nil"/>
            </w:tcBorders>
            <w:vAlign w:val="center"/>
          </w:tcPr>
          <w:p w:rsidR="00402E54">
            <w:pPr>
              <w:pStyle w:val="NoSpacing"/>
              <w:keepNext/>
              <w:snapToGrid w:val="0"/>
              <w:spacing w:line="240" w:lineRule="auto"/>
              <w:jc w:val="center"/>
              <w:rPr>
                <w:rFonts w:hint="eastAsia"/>
                <w:lang w:eastAsia="en-US"/>
              </w:rPr>
            </w:pPr>
            <w:r>
              <w:rPr>
                <w:rFonts w:hint="eastAsia"/>
                <w:lang w:eastAsia="en-US"/>
              </w:rPr>
              <w:t>≥96.5dBm</w:t>
            </w:r>
          </w:p>
        </w:tc>
      </w:tr>
      <w:tr>
        <w:tblPrEx>
          <w:tblW w:w="5026" w:type="pct"/>
          <w:jc w:val="center"/>
          <w:tblCellMar>
            <w:left w:w="0" w:type="dxa"/>
            <w:right w:w="0" w:type="dxa"/>
          </w:tblCellMar>
          <w:tblLook w:val="04A0"/>
        </w:tblPrEx>
        <w:trPr>
          <w:jc w:val="center"/>
        </w:trPr>
        <w:tc>
          <w:tcPr>
            <w:tcW w:w="376" w:type="pct"/>
            <w:vMerge/>
            <w:tcBorders>
              <w:tl2br w:val="nil"/>
              <w:tr2bl w:val="nil"/>
            </w:tcBorders>
            <w:vAlign w:val="center"/>
          </w:tcPr>
          <w:p w:rsidR="00402E54">
            <w:pPr>
              <w:pStyle w:val="NoSpacing"/>
              <w:keepNext/>
              <w:widowControl/>
              <w:adjustRightInd w:val="0"/>
              <w:snapToGrid w:val="0"/>
              <w:spacing w:line="240" w:lineRule="auto"/>
              <w:jc w:val="center"/>
              <w:rPr>
                <w:rFonts w:hint="eastAsia"/>
                <w:highlight w:val="yellow"/>
              </w:rPr>
            </w:pPr>
          </w:p>
        </w:tc>
        <w:tc>
          <w:tcPr>
            <w:tcW w:w="1102" w:type="pct"/>
            <w:tcBorders>
              <w:tl2br w:val="nil"/>
              <w:tr2bl w:val="nil"/>
            </w:tcBorders>
            <w:vAlign w:val="center"/>
          </w:tcPr>
          <w:p w:rsidR="00402E54">
            <w:pPr>
              <w:pStyle w:val="NoSpacing"/>
              <w:keepNext/>
              <w:widowControl/>
              <w:adjustRightInd w:val="0"/>
              <w:snapToGrid w:val="0"/>
              <w:spacing w:line="240" w:lineRule="auto"/>
              <w:jc w:val="center"/>
              <w:rPr>
                <w:rFonts w:hint="eastAsia"/>
                <w:highlight w:val="yellow"/>
              </w:rPr>
            </w:pPr>
            <w:r>
              <w:rPr>
                <w:rFonts w:hint="eastAsia"/>
                <w:highlight w:val="yellow"/>
              </w:rPr>
              <w:t>EIRP(±20°、单极化)</w:t>
            </w:r>
          </w:p>
        </w:tc>
        <w:tc>
          <w:tcPr>
            <w:tcW w:w="3520" w:type="pct"/>
            <w:gridSpan w:val="2"/>
            <w:tcBorders>
              <w:tl2br w:val="nil"/>
              <w:tr2bl w:val="nil"/>
            </w:tcBorders>
          </w:tcPr>
          <w:p w:rsidR="00402E54">
            <w:pPr>
              <w:pStyle w:val="NoSpacing"/>
              <w:keepNext/>
              <w:snapToGrid w:val="0"/>
              <w:spacing w:line="240" w:lineRule="auto"/>
              <w:jc w:val="center"/>
              <w:rPr>
                <w:rFonts w:hint="eastAsia"/>
                <w:lang w:eastAsia="en-US"/>
              </w:rPr>
            </w:pPr>
            <w:r>
              <w:rPr>
                <w:rFonts w:hint="eastAsia"/>
                <w:lang w:eastAsia="en-US"/>
              </w:rPr>
              <w:t>≥95.5dBm</w:t>
            </w:r>
          </w:p>
        </w:tc>
      </w:tr>
      <w:tr>
        <w:tblPrEx>
          <w:tblW w:w="5026" w:type="pct"/>
          <w:jc w:val="center"/>
          <w:tblCellMar>
            <w:left w:w="0" w:type="dxa"/>
            <w:right w:w="0" w:type="dxa"/>
          </w:tblCellMar>
          <w:tblLook w:val="04A0"/>
        </w:tblPrEx>
        <w:trPr>
          <w:jc w:val="center"/>
        </w:trPr>
        <w:tc>
          <w:tcPr>
            <w:tcW w:w="376" w:type="pct"/>
            <w:vMerge/>
            <w:tcBorders>
              <w:tl2br w:val="nil"/>
              <w:tr2bl w:val="nil"/>
            </w:tcBorders>
            <w:vAlign w:val="center"/>
          </w:tcPr>
          <w:p w:rsidR="00402E54">
            <w:pPr>
              <w:pStyle w:val="NoSpacing"/>
              <w:keepNext/>
              <w:widowControl/>
              <w:adjustRightInd w:val="0"/>
              <w:snapToGrid w:val="0"/>
              <w:spacing w:line="240" w:lineRule="auto"/>
              <w:jc w:val="center"/>
              <w:rPr>
                <w:rFonts w:hint="eastAsia"/>
                <w:highlight w:val="yellow"/>
              </w:rPr>
            </w:pPr>
          </w:p>
        </w:tc>
        <w:tc>
          <w:tcPr>
            <w:tcW w:w="1102" w:type="pct"/>
            <w:tcBorders>
              <w:tl2br w:val="nil"/>
              <w:tr2bl w:val="nil"/>
            </w:tcBorders>
            <w:vAlign w:val="center"/>
          </w:tcPr>
          <w:p w:rsidR="00402E54">
            <w:pPr>
              <w:pStyle w:val="NoSpacing"/>
              <w:keepNext/>
              <w:widowControl/>
              <w:adjustRightInd w:val="0"/>
              <w:snapToGrid w:val="0"/>
              <w:spacing w:line="240" w:lineRule="auto"/>
              <w:jc w:val="center"/>
              <w:rPr>
                <w:rFonts w:hint="eastAsia"/>
                <w:highlight w:val="yellow"/>
              </w:rPr>
            </w:pPr>
            <w:r>
              <w:rPr>
                <w:rFonts w:hint="eastAsia"/>
                <w:highlight w:val="yellow"/>
              </w:rPr>
              <w:t>EIRP（4倍波束展宽、单极化）</w:t>
            </w:r>
          </w:p>
        </w:tc>
        <w:tc>
          <w:tcPr>
            <w:tcW w:w="3520" w:type="pct"/>
            <w:gridSpan w:val="2"/>
            <w:tcBorders>
              <w:tl2br w:val="nil"/>
              <w:tr2bl w:val="nil"/>
            </w:tcBorders>
            <w:vAlign w:val="center"/>
          </w:tcPr>
          <w:p w:rsidR="00402E54">
            <w:pPr>
              <w:pStyle w:val="NoSpacing"/>
              <w:keepNext/>
              <w:snapToGrid w:val="0"/>
              <w:spacing w:line="240" w:lineRule="auto"/>
              <w:jc w:val="center"/>
              <w:rPr>
                <w:rFonts w:hint="eastAsia"/>
                <w:lang w:eastAsia="en-US"/>
              </w:rPr>
            </w:pPr>
            <w:r>
              <w:rPr>
                <w:rFonts w:hint="eastAsia"/>
                <w:lang w:eastAsia="en-US"/>
              </w:rPr>
              <w:t>≥88.5dBm</w:t>
            </w:r>
          </w:p>
        </w:tc>
      </w:tr>
      <w:tr>
        <w:tblPrEx>
          <w:tblW w:w="5026" w:type="pct"/>
          <w:jc w:val="center"/>
          <w:tblCellMar>
            <w:left w:w="0" w:type="dxa"/>
            <w:right w:w="0" w:type="dxa"/>
          </w:tblCellMar>
          <w:tblLook w:val="04A0"/>
        </w:tblPrEx>
        <w:trPr>
          <w:jc w:val="center"/>
        </w:trPr>
        <w:tc>
          <w:tcPr>
            <w:tcW w:w="376" w:type="pct"/>
            <w:vMerge/>
            <w:tcBorders>
              <w:tl2br w:val="nil"/>
              <w:tr2bl w:val="nil"/>
            </w:tcBorders>
            <w:vAlign w:val="center"/>
          </w:tcPr>
          <w:p w:rsidR="00402E54">
            <w:pPr>
              <w:pStyle w:val="NoSpacing"/>
              <w:keepNext/>
              <w:widowControl/>
              <w:adjustRightInd w:val="0"/>
              <w:snapToGrid w:val="0"/>
              <w:spacing w:line="240" w:lineRule="auto"/>
              <w:jc w:val="center"/>
              <w:rPr>
                <w:rFonts w:hint="eastAsia"/>
                <w:highlight w:val="yellow"/>
              </w:rPr>
            </w:pPr>
          </w:p>
        </w:tc>
        <w:tc>
          <w:tcPr>
            <w:tcW w:w="1102" w:type="pct"/>
            <w:tcBorders>
              <w:tl2br w:val="nil"/>
              <w:tr2bl w:val="nil"/>
            </w:tcBorders>
            <w:vAlign w:val="center"/>
          </w:tcPr>
          <w:p w:rsidR="00402E54">
            <w:pPr>
              <w:pStyle w:val="NoSpacing"/>
              <w:keepNext/>
              <w:widowControl/>
              <w:adjustRightInd w:val="0"/>
              <w:snapToGrid w:val="0"/>
              <w:spacing w:line="240" w:lineRule="auto"/>
              <w:jc w:val="center"/>
              <w:rPr>
                <w:rFonts w:hint="eastAsia"/>
                <w:highlight w:val="yellow"/>
              </w:rPr>
            </w:pPr>
            <w:r>
              <w:rPr>
                <w:rFonts w:hint="eastAsia"/>
                <w:highlight w:val="yellow"/>
              </w:rPr>
              <w:t>EIRP（8倍波束展宽、单极化）</w:t>
            </w:r>
          </w:p>
        </w:tc>
        <w:tc>
          <w:tcPr>
            <w:tcW w:w="3520" w:type="pct"/>
            <w:gridSpan w:val="2"/>
            <w:tcBorders>
              <w:tl2br w:val="nil"/>
              <w:tr2bl w:val="nil"/>
            </w:tcBorders>
            <w:vAlign w:val="center"/>
          </w:tcPr>
          <w:p w:rsidR="00402E54">
            <w:pPr>
              <w:pStyle w:val="NoSpacing"/>
              <w:keepNext/>
              <w:snapToGrid w:val="0"/>
              <w:spacing w:line="240" w:lineRule="auto"/>
              <w:jc w:val="center"/>
              <w:rPr>
                <w:rFonts w:hint="eastAsia"/>
                <w:lang w:eastAsia="en-US"/>
              </w:rPr>
            </w:pPr>
            <w:r>
              <w:rPr>
                <w:rFonts w:hint="eastAsia"/>
                <w:lang w:eastAsia="en-US"/>
              </w:rPr>
              <w:t>≥85.5dBm</w:t>
            </w:r>
          </w:p>
        </w:tc>
      </w:tr>
      <w:tr>
        <w:tblPrEx>
          <w:tblW w:w="5026" w:type="pct"/>
          <w:jc w:val="center"/>
          <w:tblCellMar>
            <w:left w:w="0" w:type="dxa"/>
            <w:right w:w="0" w:type="dxa"/>
          </w:tblCellMar>
          <w:tblLook w:val="04A0"/>
        </w:tblPrEx>
        <w:trPr>
          <w:jc w:val="center"/>
        </w:trPr>
        <w:tc>
          <w:tcPr>
            <w:tcW w:w="1479"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校准后EIRP偏差</w:t>
            </w:r>
          </w:p>
        </w:tc>
        <w:tc>
          <w:tcPr>
            <w:tcW w:w="3520"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≤0.8dB</w:t>
            </w:r>
          </w:p>
        </w:tc>
      </w:tr>
      <w:tr>
        <w:tblPrEx>
          <w:tblW w:w="5026" w:type="pct"/>
          <w:jc w:val="center"/>
          <w:tblCellMar>
            <w:left w:w="0" w:type="dxa"/>
            <w:right w:w="0" w:type="dxa"/>
          </w:tblCellMar>
          <w:tblLook w:val="04A0"/>
        </w:tblPrEx>
        <w:trPr>
          <w:jc w:val="center"/>
        </w:trPr>
        <w:tc>
          <w:tcPr>
            <w:tcW w:w="1479"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highlight w:val="yellow"/>
              </w:rPr>
              <w:t>#最大发射占空比</w:t>
            </w:r>
          </w:p>
        </w:tc>
        <w:tc>
          <w:tcPr>
            <w:tcW w:w="3520"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≥20%</w:t>
            </w:r>
          </w:p>
        </w:tc>
      </w:tr>
      <w:tr>
        <w:tblPrEx>
          <w:tblW w:w="5026" w:type="pct"/>
          <w:jc w:val="center"/>
          <w:tblCellMar>
            <w:left w:w="0" w:type="dxa"/>
            <w:right w:w="0" w:type="dxa"/>
          </w:tblCellMar>
          <w:tblLook w:val="04A0"/>
        </w:tblPrEx>
        <w:trPr>
          <w:jc w:val="center"/>
        </w:trPr>
        <w:tc>
          <w:tcPr>
            <w:tcW w:w="1479"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highlight w:val="yellow"/>
              </w:rPr>
              <w:t>#发射脉冲宽度</w:t>
            </w:r>
          </w:p>
        </w:tc>
        <w:tc>
          <w:tcPr>
            <w:tcW w:w="3520"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0.2～200μs可选，典型脉冲宽度包括0.5μs、</w:t>
            </w:r>
          </w:p>
          <w:p w:rsidR="00402E54">
            <w:pPr>
              <w:pStyle w:val="NoSpacing"/>
              <w:keepNext/>
              <w:widowControl/>
              <w:adjustRightInd w:val="0"/>
              <w:snapToGrid w:val="0"/>
              <w:spacing w:line="240" w:lineRule="auto"/>
              <w:jc w:val="center"/>
              <w:rPr>
                <w:rFonts w:hint="eastAsia"/>
              </w:rPr>
            </w:pPr>
            <w:r>
              <w:rPr>
                <w:rFonts w:hint="eastAsia"/>
              </w:rPr>
              <w:t>1.0μs、2.0μs、10μs、20μs、40μs、80μs等。</w:t>
            </w:r>
          </w:p>
          <w:p w:rsidR="00402E54">
            <w:pPr>
              <w:pStyle w:val="NoSpacing"/>
              <w:keepNext/>
              <w:widowControl/>
              <w:adjustRightInd w:val="0"/>
              <w:snapToGrid w:val="0"/>
              <w:spacing w:line="240" w:lineRule="auto"/>
              <w:jc w:val="center"/>
              <w:rPr>
                <w:rFonts w:hint="eastAsia"/>
              </w:rPr>
            </w:pPr>
            <w:r>
              <w:rPr>
                <w:rFonts w:hint="eastAsia"/>
              </w:rPr>
              <w:t>脉冲宽度≥0.5μs时，上升沿：≤200ns，下降沿：≤200ns。</w:t>
            </w:r>
          </w:p>
          <w:p w:rsidR="00402E54">
            <w:pPr>
              <w:pStyle w:val="NoSpacing"/>
              <w:keepNext/>
              <w:widowControl/>
              <w:adjustRightInd w:val="0"/>
              <w:snapToGrid w:val="0"/>
              <w:spacing w:line="240" w:lineRule="auto"/>
              <w:jc w:val="center"/>
              <w:rPr>
                <w:rFonts w:hint="eastAsia"/>
              </w:rPr>
            </w:pPr>
            <w:r>
              <w:rPr>
                <w:rFonts w:hint="eastAsia"/>
              </w:rPr>
              <w:t>脉冲宽度≥1.0μs时，顶降：≤5%。</w:t>
            </w:r>
          </w:p>
        </w:tc>
      </w:tr>
      <w:tr>
        <w:tblPrEx>
          <w:tblW w:w="5026" w:type="pct"/>
          <w:jc w:val="center"/>
          <w:tblCellMar>
            <w:left w:w="0" w:type="dxa"/>
            <w:right w:w="0" w:type="dxa"/>
          </w:tblCellMar>
          <w:tblLook w:val="04A0"/>
        </w:tblPrEx>
        <w:trPr>
          <w:jc w:val="center"/>
        </w:trPr>
        <w:tc>
          <w:tcPr>
            <w:tcW w:w="1479"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脉冲重复频率</w:t>
            </w:r>
          </w:p>
        </w:tc>
        <w:tc>
          <w:tcPr>
            <w:tcW w:w="3520"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300～5000Hz</w:t>
            </w:r>
          </w:p>
        </w:tc>
      </w:tr>
      <w:tr>
        <w:tblPrEx>
          <w:tblW w:w="5026" w:type="pct"/>
          <w:jc w:val="center"/>
          <w:tblCellMar>
            <w:left w:w="0" w:type="dxa"/>
            <w:right w:w="0" w:type="dxa"/>
          </w:tblCellMar>
          <w:tblLook w:val="04A0"/>
        </w:tblPrEx>
        <w:trPr>
          <w:jc w:val="center"/>
        </w:trPr>
        <w:tc>
          <w:tcPr>
            <w:tcW w:w="1479"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highlight w:val="yellow"/>
              </w:rPr>
              <w:t>#输出端极限改善因子</w:t>
            </w:r>
          </w:p>
        </w:tc>
        <w:tc>
          <w:tcPr>
            <w:tcW w:w="3520" w:type="pct"/>
            <w:gridSpan w:val="2"/>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≥52dB（重复频率1000Hz、脉冲宽度1μs、带宽1MHz）</w:t>
            </w:r>
          </w:p>
        </w:tc>
      </w:tr>
      <w:tr>
        <w:tblPrEx>
          <w:tblW w:w="5026" w:type="pct"/>
          <w:jc w:val="center"/>
          <w:tblCellMar>
            <w:left w:w="0" w:type="dxa"/>
            <w:right w:w="0" w:type="dxa"/>
          </w:tblCellMar>
          <w:tblLook w:val="04A0"/>
        </w:tblPrEx>
        <w:trPr>
          <w:jc w:val="center"/>
        </w:trPr>
        <w:tc>
          <w:tcPr>
            <w:tcW w:w="1479" w:type="pct"/>
            <w:gridSpan w:val="2"/>
            <w:vMerge w:val="restart"/>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highlight w:val="yellow"/>
              </w:rPr>
              <w:t>#频谱特性（距中心频率</w:t>
            </w:r>
            <w:r>
              <w:rPr>
                <w:rFonts w:hint="eastAsia"/>
                <w:highlight w:val="yellow"/>
              </w:rPr>
              <w:t>频谱线</w:t>
            </w:r>
            <w:r>
              <w:rPr>
                <w:rFonts w:hint="eastAsia"/>
                <w:highlight w:val="yellow"/>
              </w:rPr>
              <w:t>衰减量-40dB处）</w:t>
            </w:r>
          </w:p>
        </w:tc>
        <w:tc>
          <w:tcPr>
            <w:tcW w:w="993" w:type="pct"/>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左频偏</w:t>
            </w:r>
          </w:p>
        </w:tc>
        <w:tc>
          <w:tcPr>
            <w:tcW w:w="2527" w:type="pct"/>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≥-15MHz（脉宽1μs，带宽1MHz）</w:t>
            </w:r>
          </w:p>
        </w:tc>
      </w:tr>
      <w:tr>
        <w:tblPrEx>
          <w:tblW w:w="5026" w:type="pct"/>
          <w:jc w:val="center"/>
          <w:tblCellMar>
            <w:left w:w="0" w:type="dxa"/>
            <w:right w:w="0" w:type="dxa"/>
          </w:tblCellMar>
          <w:tblLook w:val="04A0"/>
        </w:tblPrEx>
        <w:trPr>
          <w:jc w:val="center"/>
        </w:trPr>
        <w:tc>
          <w:tcPr>
            <w:tcW w:w="1479" w:type="pct"/>
            <w:gridSpan w:val="2"/>
            <w:vMerge/>
            <w:tcBorders>
              <w:tl2br w:val="nil"/>
              <w:tr2bl w:val="nil"/>
            </w:tcBorders>
            <w:vAlign w:val="center"/>
          </w:tcPr>
          <w:p w:rsidR="00402E54">
            <w:pPr>
              <w:pStyle w:val="NoSpacing"/>
              <w:keepNext/>
              <w:widowControl/>
              <w:adjustRightInd w:val="0"/>
              <w:snapToGrid w:val="0"/>
              <w:spacing w:line="240" w:lineRule="auto"/>
              <w:jc w:val="center"/>
              <w:rPr>
                <w:rFonts w:hint="eastAsia"/>
              </w:rPr>
            </w:pPr>
          </w:p>
        </w:tc>
        <w:tc>
          <w:tcPr>
            <w:tcW w:w="993" w:type="pct"/>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右频偏</w:t>
            </w:r>
          </w:p>
        </w:tc>
        <w:tc>
          <w:tcPr>
            <w:tcW w:w="2527" w:type="pct"/>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≤15MHz（脉宽1μs，带宽1MHz）</w:t>
            </w:r>
          </w:p>
        </w:tc>
      </w:tr>
      <w:tr>
        <w:tblPrEx>
          <w:tblW w:w="5026" w:type="pct"/>
          <w:jc w:val="center"/>
          <w:tblCellMar>
            <w:left w:w="0" w:type="dxa"/>
            <w:right w:w="0" w:type="dxa"/>
          </w:tblCellMar>
          <w:tblLook w:val="04A0"/>
        </w:tblPrEx>
        <w:trPr>
          <w:jc w:val="center"/>
        </w:trPr>
        <w:tc>
          <w:tcPr>
            <w:tcW w:w="2472" w:type="pct"/>
            <w:gridSpan w:val="3"/>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谐波和杂散抑制</w:t>
            </w:r>
          </w:p>
        </w:tc>
        <w:tc>
          <w:tcPr>
            <w:tcW w:w="2527" w:type="pct"/>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≥40dB</w:t>
            </w:r>
          </w:p>
        </w:tc>
      </w:tr>
      <w:tr>
        <w:tblPrEx>
          <w:tblW w:w="5026" w:type="pct"/>
          <w:jc w:val="center"/>
          <w:tblCellMar>
            <w:left w:w="0" w:type="dxa"/>
            <w:right w:w="0" w:type="dxa"/>
          </w:tblCellMar>
          <w:tblLook w:val="04A0"/>
        </w:tblPrEx>
        <w:trPr>
          <w:jc w:val="center"/>
        </w:trPr>
        <w:tc>
          <w:tcPr>
            <w:tcW w:w="2472" w:type="pct"/>
            <w:gridSpan w:val="3"/>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故障检测和保护</w:t>
            </w:r>
          </w:p>
        </w:tc>
        <w:tc>
          <w:tcPr>
            <w:tcW w:w="2527" w:type="pct"/>
            <w:tcBorders>
              <w:tl2br w:val="nil"/>
              <w:tr2bl w:val="nil"/>
            </w:tcBorders>
            <w:vAlign w:val="center"/>
          </w:tcPr>
          <w:p w:rsidR="00402E54">
            <w:pPr>
              <w:pStyle w:val="NoSpacing"/>
              <w:keepNext/>
              <w:widowControl/>
              <w:adjustRightInd w:val="0"/>
              <w:snapToGrid w:val="0"/>
              <w:spacing w:line="240" w:lineRule="auto"/>
              <w:jc w:val="center"/>
              <w:rPr>
                <w:rFonts w:hint="eastAsia"/>
              </w:rPr>
            </w:pPr>
            <w:r>
              <w:rPr>
                <w:rFonts w:hint="eastAsia"/>
              </w:rPr>
              <w:t>发生过温，过压，过流等情况时可报警并实现自保，输出功率低时输出报警信号</w:t>
            </w:r>
          </w:p>
        </w:tc>
      </w:tr>
    </w:tbl>
    <w:p w:rsidR="00402E54">
      <w:pPr>
        <w:pStyle w:val="Heading3"/>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3.6接收机技术指标</w:t>
      </w:r>
    </w:p>
    <w:tbl>
      <w:tblPr>
        <w:tblStyle w:val="TableNormal0"/>
        <w:tblW w:w="8315" w:type="dxa"/>
        <w:jc w:val="center"/>
        <w:tblInd w:w="0" w:type="dxa"/>
        <w:tblBorders>
          <w:top w:val="nil"/>
          <w:left w:val="nil"/>
          <w:bottom w:val="nil"/>
          <w:right w:val="nil"/>
          <w:insideH w:val="nil"/>
          <w:insideV w:val="nil"/>
        </w:tblBorders>
        <w:tblLook w:val="04A0"/>
      </w:tblPr>
      <w:tblGrid>
        <w:gridCol w:w="3479"/>
        <w:gridCol w:w="4836"/>
      </w:tblGrid>
      <w:tr>
        <w:tblPrEx>
          <w:tblW w:w="8315" w:type="dxa"/>
          <w:jc w:val="center"/>
          <w:tblInd w:w="0" w:type="dxa"/>
          <w:tblBorders>
            <w:top w:val="nil"/>
            <w:left w:val="nil"/>
            <w:bottom w:val="nil"/>
            <w:right w:val="nil"/>
            <w:insideH w:val="nil"/>
            <w:insideV w:val="nil"/>
          </w:tblBorders>
          <w:tblLook w:val="04A0"/>
        </w:tblPrEx>
        <w:trPr>
          <w:tblHeader/>
          <w:jc w:val="center"/>
        </w:trPr>
        <w:tc>
          <w:tcPr>
            <w:tcW w:w="0" w:type="auto"/>
            <w:tcBorders>
              <w:top w:val="single" w:sz="4" w:space="0" w:color="auto"/>
              <w:left w:val="single" w:sz="4" w:space="0" w:color="auto"/>
              <w:bottom w:val="nil"/>
              <w:right w:val="nil"/>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b/>
                <w:bCs/>
                <w:lang w:eastAsia="en-US"/>
              </w:rPr>
            </w:pPr>
            <w:r>
              <w:rPr>
                <w:rFonts w:hint="eastAsia"/>
                <w:b/>
                <w:bCs/>
                <w:lang w:eastAsia="en-US"/>
              </w:rPr>
              <w:t>项目</w:t>
            </w:r>
          </w:p>
        </w:tc>
        <w:tc>
          <w:tcPr>
            <w:tcW w:w="4836" w:type="dxa"/>
            <w:tcBorders>
              <w:top w:val="single" w:sz="4" w:space="0" w:color="auto"/>
              <w:left w:val="single" w:sz="4" w:space="0" w:color="auto"/>
              <w:bottom w:val="nil"/>
              <w:right w:val="single" w:sz="4" w:space="0" w:color="auto"/>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b/>
                <w:bCs/>
                <w:lang w:eastAsia="en-US"/>
              </w:rPr>
            </w:pPr>
            <w:r>
              <w:rPr>
                <w:rFonts w:hint="eastAsia"/>
                <w:b/>
                <w:bCs/>
                <w:lang w:eastAsia="en-US"/>
              </w:rPr>
              <w:t>性能指标</w:t>
            </w:r>
          </w:p>
        </w:tc>
      </w:tr>
      <w:tr>
        <w:tblPrEx>
          <w:tblW w:w="8315" w:type="dxa"/>
          <w:jc w:val="center"/>
          <w:tblInd w:w="0" w:type="dxa"/>
          <w:tblLook w:val="04A0"/>
        </w:tblPrEx>
        <w:trPr>
          <w:jc w:val="center"/>
        </w:trPr>
        <w:tc>
          <w:tcPr>
            <w:tcW w:w="0" w:type="auto"/>
            <w:tcBorders>
              <w:top w:val="single" w:sz="4" w:space="0" w:color="auto"/>
              <w:left w:val="single" w:sz="4" w:space="0" w:color="auto"/>
              <w:bottom w:val="nil"/>
              <w:right w:val="nil"/>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rPr>
              <w:t>G/T（法向、带宽1MHz）</w:t>
            </w:r>
          </w:p>
        </w:tc>
        <w:tc>
          <w:tcPr>
            <w:tcW w:w="4836" w:type="dxa"/>
            <w:tcBorders>
              <w:top w:val="single" w:sz="4" w:space="0" w:color="auto"/>
              <w:left w:val="single" w:sz="4" w:space="0" w:color="auto"/>
              <w:bottom w:val="nil"/>
              <w:right w:val="single" w:sz="4" w:space="0" w:color="auto"/>
              <w:tl2br w:val="nil"/>
              <w:tr2bl w:val="nil"/>
            </w:tcBorders>
            <w:tcMar>
              <w:top w:w="-1" w:type="dxa"/>
              <w:left w:w="-1" w:type="dxa"/>
              <w:bottom w:w="-1" w:type="dxa"/>
              <w:right w:w="-1" w:type="dxa"/>
            </w:tcMar>
            <w:vAlign w:val="center"/>
          </w:tcPr>
          <w:p w:rsidR="00402E54">
            <w:pPr>
              <w:pStyle w:val="NormalWeb"/>
              <w:widowControl/>
              <w:snapToGrid w:val="0"/>
              <w:jc w:val="center"/>
              <w:textAlignment w:val="center"/>
              <w:rPr>
                <w:rFonts w:ascii="宋体" w:hAnsi="Calibri"/>
                <w:sz w:val="18"/>
              </w:rPr>
            </w:pPr>
            <w:r>
              <w:rPr>
                <w:rFonts w:ascii="宋体" w:hAnsi="Calibri" w:cs="仿宋_GB2312"/>
                <w:color w:val="000000"/>
                <w:sz w:val="18"/>
                <w:szCs w:val="24"/>
              </w:rPr>
              <w:t>≥</w:t>
            </w:r>
            <w:r>
              <w:rPr>
                <w:rFonts w:ascii="宋体" w:hAnsi="Calibri" w:cs="仿宋_GB2312"/>
                <w:color w:val="000000"/>
                <w:sz w:val="18"/>
                <w:szCs w:val="24"/>
              </w:rPr>
              <w:t>6.5dB/K</w:t>
            </w:r>
          </w:p>
        </w:tc>
      </w:tr>
      <w:tr>
        <w:tblPrEx>
          <w:tblW w:w="8315" w:type="dxa"/>
          <w:jc w:val="center"/>
          <w:tblInd w:w="0" w:type="dxa"/>
          <w:tblLook w:val="04A0"/>
        </w:tblPrEx>
        <w:trPr>
          <w:jc w:val="center"/>
        </w:trPr>
        <w:tc>
          <w:tcPr>
            <w:tcW w:w="0" w:type="auto"/>
            <w:tcBorders>
              <w:top w:val="single" w:sz="4" w:space="0" w:color="auto"/>
              <w:left w:val="single" w:sz="4" w:space="0" w:color="auto"/>
              <w:bottom w:val="nil"/>
              <w:right w:val="nil"/>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rPr>
              <w:t>G/T(±20°、带宽1MHz)</w:t>
            </w:r>
          </w:p>
        </w:tc>
        <w:tc>
          <w:tcPr>
            <w:tcW w:w="4836" w:type="dxa"/>
            <w:tcBorders>
              <w:top w:val="single" w:sz="4" w:space="0" w:color="auto"/>
              <w:left w:val="single" w:sz="4" w:space="0" w:color="auto"/>
              <w:bottom w:val="nil"/>
              <w:right w:val="single" w:sz="4" w:space="0" w:color="auto"/>
              <w:tl2br w:val="nil"/>
              <w:tr2bl w:val="nil"/>
            </w:tcBorders>
            <w:tcMar>
              <w:top w:w="-1" w:type="dxa"/>
              <w:left w:w="-1" w:type="dxa"/>
              <w:bottom w:w="-1" w:type="dxa"/>
              <w:right w:w="-1" w:type="dxa"/>
            </w:tcMar>
            <w:vAlign w:val="center"/>
          </w:tcPr>
          <w:p w:rsidR="00402E54">
            <w:pPr>
              <w:pStyle w:val="NormalWeb"/>
              <w:widowControl/>
              <w:snapToGrid w:val="0"/>
              <w:jc w:val="center"/>
              <w:textAlignment w:val="center"/>
              <w:rPr>
                <w:rFonts w:ascii="宋体" w:hAnsi="Calibri"/>
                <w:sz w:val="18"/>
              </w:rPr>
            </w:pPr>
            <w:r>
              <w:rPr>
                <w:rFonts w:ascii="宋体" w:hAnsi="Calibri" w:cs="仿宋_GB2312" w:hint="eastAsia"/>
                <w:color w:val="000000"/>
                <w:sz w:val="18"/>
                <w:szCs w:val="24"/>
              </w:rPr>
              <w:t>≥5.5dB/K</w:t>
            </w:r>
          </w:p>
        </w:tc>
      </w:tr>
      <w:tr>
        <w:tblPrEx>
          <w:tblW w:w="8315" w:type="dxa"/>
          <w:jc w:val="center"/>
          <w:tblInd w:w="0" w:type="dxa"/>
          <w:tblLook w:val="04A0"/>
        </w:tblPrEx>
        <w:trPr>
          <w:jc w:val="center"/>
        </w:trPr>
        <w:tc>
          <w:tcPr>
            <w:tcW w:w="0" w:type="auto"/>
            <w:tcBorders>
              <w:top w:val="single" w:sz="4" w:space="0" w:color="auto"/>
              <w:left w:val="single" w:sz="4" w:space="0" w:color="auto"/>
              <w:bottom w:val="nil"/>
              <w:right w:val="nil"/>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rPr>
              <w:t>校准后G/T偏差</w:t>
            </w:r>
          </w:p>
        </w:tc>
        <w:tc>
          <w:tcPr>
            <w:tcW w:w="4836" w:type="dxa"/>
            <w:tcBorders>
              <w:top w:val="single" w:sz="4" w:space="0" w:color="auto"/>
              <w:left w:val="single" w:sz="4" w:space="0" w:color="auto"/>
              <w:bottom w:val="nil"/>
              <w:right w:val="single" w:sz="4" w:space="0" w:color="auto"/>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rPr>
              <w:t>≤0.8dB</w:t>
            </w:r>
          </w:p>
        </w:tc>
      </w:tr>
      <w:tr>
        <w:tblPrEx>
          <w:tblW w:w="8315" w:type="dxa"/>
          <w:jc w:val="center"/>
          <w:tblInd w:w="0" w:type="dxa"/>
          <w:tblLook w:val="04A0"/>
        </w:tblPrEx>
        <w:trPr>
          <w:jc w:val="center"/>
        </w:trPr>
        <w:tc>
          <w:tcPr>
            <w:tcW w:w="0" w:type="auto"/>
            <w:tcBorders>
              <w:top w:val="single" w:sz="4" w:space="0" w:color="auto"/>
              <w:left w:val="single" w:sz="4" w:space="0" w:color="auto"/>
              <w:bottom w:val="nil"/>
              <w:right w:val="nil"/>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highlight w:val="yellow"/>
              </w:rPr>
              <w:t>#噪声系数</w:t>
            </w:r>
          </w:p>
        </w:tc>
        <w:tc>
          <w:tcPr>
            <w:tcW w:w="4836" w:type="dxa"/>
            <w:tcBorders>
              <w:top w:val="single" w:sz="4" w:space="0" w:color="auto"/>
              <w:left w:val="single" w:sz="4" w:space="0" w:color="auto"/>
              <w:bottom w:val="nil"/>
              <w:right w:val="single" w:sz="4" w:space="0" w:color="auto"/>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rPr>
              <w:t>≤3dB（脉宽1μs，带宽1MHz）</w:t>
            </w:r>
          </w:p>
        </w:tc>
      </w:tr>
      <w:tr>
        <w:tblPrEx>
          <w:tblW w:w="8315" w:type="dxa"/>
          <w:jc w:val="center"/>
          <w:tblInd w:w="0" w:type="dxa"/>
          <w:tblLook w:val="04A0"/>
        </w:tblPrEx>
        <w:trPr>
          <w:jc w:val="center"/>
        </w:trPr>
        <w:tc>
          <w:tcPr>
            <w:tcW w:w="0" w:type="auto"/>
            <w:tcBorders>
              <w:top w:val="single" w:sz="4" w:space="0" w:color="auto"/>
              <w:left w:val="single" w:sz="4" w:space="0" w:color="auto"/>
              <w:bottom w:val="nil"/>
              <w:right w:val="nil"/>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highlight w:val="yellow"/>
              </w:rPr>
            </w:pPr>
            <w:r>
              <w:rPr>
                <w:rFonts w:hint="eastAsia"/>
                <w:highlight w:val="yellow"/>
              </w:rPr>
              <w:t>#线性动态范围</w:t>
            </w:r>
          </w:p>
        </w:tc>
        <w:tc>
          <w:tcPr>
            <w:tcW w:w="4836" w:type="dxa"/>
            <w:tcBorders>
              <w:top w:val="single" w:sz="4" w:space="0" w:color="auto"/>
              <w:left w:val="single" w:sz="4" w:space="0" w:color="auto"/>
              <w:bottom w:val="nil"/>
              <w:right w:val="single" w:sz="4" w:space="0" w:color="auto"/>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rPr>
              <w:t>≥77dB（脉宽1μs，带宽1MHz）</w:t>
            </w:r>
          </w:p>
        </w:tc>
      </w:tr>
      <w:tr>
        <w:tblPrEx>
          <w:tblW w:w="8315" w:type="dxa"/>
          <w:jc w:val="center"/>
          <w:tblInd w:w="0" w:type="dxa"/>
          <w:tblLook w:val="04A0"/>
        </w:tblPrEx>
        <w:trPr>
          <w:jc w:val="center"/>
        </w:trPr>
        <w:tc>
          <w:tcPr>
            <w:tcW w:w="0" w:type="auto"/>
            <w:tcBorders>
              <w:top w:val="single" w:sz="4" w:space="0" w:color="auto"/>
              <w:left w:val="single" w:sz="4" w:space="0" w:color="auto"/>
              <w:bottom w:val="nil"/>
              <w:right w:val="nil"/>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highlight w:val="yellow"/>
              </w:rPr>
            </w:pPr>
            <w:r>
              <w:rPr>
                <w:rFonts w:hint="eastAsia"/>
                <w:highlight w:val="yellow"/>
              </w:rPr>
              <w:t>#最小可测功率（灵敏度）</w:t>
            </w:r>
          </w:p>
        </w:tc>
        <w:tc>
          <w:tcPr>
            <w:tcW w:w="4836" w:type="dxa"/>
            <w:tcBorders>
              <w:top w:val="single" w:sz="4" w:space="0" w:color="auto"/>
              <w:left w:val="single" w:sz="4" w:space="0" w:color="auto"/>
              <w:bottom w:val="nil"/>
              <w:right w:val="single" w:sz="4" w:space="0" w:color="auto"/>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rPr>
              <w:t>≤-110dBm（脉宽1μs，带宽1MHz）</w:t>
            </w:r>
          </w:p>
        </w:tc>
      </w:tr>
      <w:tr>
        <w:tblPrEx>
          <w:tblW w:w="8315" w:type="dxa"/>
          <w:jc w:val="center"/>
          <w:tblInd w:w="0" w:type="dxa"/>
          <w:tblLook w:val="04A0"/>
        </w:tblPrEx>
        <w:trPr>
          <w:jc w:val="center"/>
        </w:trPr>
        <w:tc>
          <w:tcPr>
            <w:tcW w:w="3479" w:type="dxa"/>
            <w:tcBorders>
              <w:top w:val="single" w:sz="4" w:space="0" w:color="auto"/>
              <w:left w:val="single" w:sz="4" w:space="0" w:color="auto"/>
              <w:bottom w:val="single" w:sz="4" w:space="0" w:color="auto"/>
              <w:right w:val="nil"/>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rPr>
              <w:t>镜频抑制</w:t>
            </w:r>
            <w:r>
              <w:rPr>
                <w:rFonts w:hint="eastAsia"/>
              </w:rPr>
              <w:t>度</w:t>
            </w:r>
          </w:p>
        </w:tc>
        <w:tc>
          <w:tcPr>
            <w:tcW w:w="4836" w:type="dxa"/>
            <w:tcBorders>
              <w:top w:val="single" w:sz="4" w:space="0" w:color="auto"/>
              <w:left w:val="single" w:sz="4" w:space="0" w:color="auto"/>
              <w:bottom w:val="single" w:sz="4" w:space="0" w:color="auto"/>
              <w:right w:val="single" w:sz="4" w:space="0" w:color="auto"/>
              <w:tl2br w:val="nil"/>
              <w:tr2bl w:val="nil"/>
            </w:tcBorders>
            <w:tcMar>
              <w:top w:w="-1" w:type="dxa"/>
              <w:left w:w="-1" w:type="dxa"/>
              <w:bottom w:w="-1" w:type="dxa"/>
              <w:right w:w="-1" w:type="dxa"/>
            </w:tcMar>
            <w:vAlign w:val="center"/>
          </w:tcPr>
          <w:p w:rsidR="00402E54">
            <w:pPr>
              <w:pStyle w:val="NoSpacing"/>
              <w:keepNext/>
              <w:snapToGrid w:val="0"/>
              <w:spacing w:line="240" w:lineRule="auto"/>
              <w:jc w:val="center"/>
              <w:rPr>
                <w:rFonts w:hint="eastAsia"/>
              </w:rPr>
            </w:pPr>
            <w:r>
              <w:rPr>
                <w:rFonts w:hint="eastAsia"/>
              </w:rPr>
              <w:t>≥60dBc</w:t>
            </w:r>
          </w:p>
        </w:tc>
      </w:tr>
    </w:tbl>
    <w:p w:rsidR="00402E54">
      <w:pPr>
        <w:pStyle w:val="Heading3"/>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3.7数字波束控制与合成单元技术指标</w:t>
      </w:r>
    </w:p>
    <w:tbl>
      <w:tblPr>
        <w:tblStyle w:val="TableNormal0"/>
        <w:tblW w:w="4999"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2630"/>
        <w:gridCol w:w="5668"/>
      </w:tblGrid>
      <w:tr>
        <w:tblPrEx>
          <w:tblW w:w="4999"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Ex>
        <w:trPr>
          <w:tblHeader/>
          <w:jc w:val="center"/>
        </w:trPr>
        <w:tc>
          <w:tcPr>
            <w:tcW w:w="1585" w:type="pct"/>
            <w:tcBorders>
              <w:tl2br w:val="nil"/>
              <w:tr2bl w:val="nil"/>
            </w:tcBorders>
            <w:vAlign w:val="center"/>
          </w:tcPr>
          <w:p w:rsidR="00402E54">
            <w:pPr>
              <w:pStyle w:val="NoSpacing"/>
              <w:keepNext/>
              <w:spacing w:line="240" w:lineRule="auto"/>
              <w:jc w:val="center"/>
              <w:rPr>
                <w:rFonts w:hint="eastAsia"/>
                <w:b/>
                <w:lang w:eastAsia="en-US"/>
              </w:rPr>
            </w:pPr>
            <w:r>
              <w:rPr>
                <w:rFonts w:hint="eastAsia"/>
                <w:b/>
                <w:lang w:eastAsia="en-US"/>
              </w:rPr>
              <w:t>项目</w:t>
            </w:r>
          </w:p>
        </w:tc>
        <w:tc>
          <w:tcPr>
            <w:tcW w:w="3414" w:type="pct"/>
            <w:tcBorders>
              <w:tl2br w:val="nil"/>
              <w:tr2bl w:val="nil"/>
            </w:tcBorders>
            <w:vAlign w:val="center"/>
          </w:tcPr>
          <w:p w:rsidR="00402E54">
            <w:pPr>
              <w:pStyle w:val="NoSpacing"/>
              <w:keepNext/>
              <w:spacing w:line="240" w:lineRule="auto"/>
              <w:jc w:val="center"/>
              <w:rPr>
                <w:rFonts w:hint="eastAsia"/>
                <w:b/>
                <w:lang w:eastAsia="en-US"/>
              </w:rPr>
            </w:pPr>
            <w:r>
              <w:rPr>
                <w:rFonts w:hint="eastAsia"/>
                <w:b/>
                <w:lang w:eastAsia="en-US"/>
              </w:rPr>
              <w:t>性能指标</w:t>
            </w:r>
          </w:p>
        </w:tc>
      </w:tr>
      <w:tr>
        <w:tblPrEx>
          <w:tblW w:w="4999" w:type="pct"/>
          <w:jc w:val="center"/>
          <w:tblInd w:w="0" w:type="dxa"/>
          <w:tblLook w:val="04A0"/>
        </w:tblPrEx>
        <w:trPr>
          <w:jc w:val="center"/>
        </w:trPr>
        <w:tc>
          <w:tcPr>
            <w:tcW w:w="1585" w:type="pct"/>
            <w:tcBorders>
              <w:tl2br w:val="nil"/>
              <w:tr2bl w:val="nil"/>
            </w:tcBorders>
            <w:vAlign w:val="center"/>
          </w:tcPr>
          <w:p w:rsidR="00402E54">
            <w:pPr>
              <w:pStyle w:val="NoSpacing"/>
              <w:keepNext/>
              <w:spacing w:line="240" w:lineRule="auto"/>
              <w:jc w:val="center"/>
              <w:rPr>
                <w:rFonts w:hint="eastAsia"/>
              </w:rPr>
            </w:pPr>
            <w:r>
              <w:rPr>
                <w:rFonts w:hint="eastAsia"/>
              </w:rPr>
              <w:t>波束控制和合成形式</w:t>
            </w:r>
          </w:p>
        </w:tc>
        <w:tc>
          <w:tcPr>
            <w:tcW w:w="3414" w:type="pct"/>
            <w:tcBorders>
              <w:tl2br w:val="nil"/>
              <w:tr2bl w:val="nil"/>
            </w:tcBorders>
            <w:vAlign w:val="center"/>
          </w:tcPr>
          <w:p w:rsidR="00402E54">
            <w:pPr>
              <w:pStyle w:val="NoSpacing"/>
              <w:keepNext/>
              <w:spacing w:line="240" w:lineRule="auto"/>
              <w:jc w:val="center"/>
              <w:rPr>
                <w:rFonts w:hint="eastAsia"/>
              </w:rPr>
            </w:pPr>
            <w:r>
              <w:rPr>
                <w:rFonts w:hint="eastAsia"/>
              </w:rPr>
              <w:t>数字域</w:t>
            </w:r>
          </w:p>
        </w:tc>
      </w:tr>
      <w:tr>
        <w:tblPrEx>
          <w:tblW w:w="4999" w:type="pct"/>
          <w:jc w:val="center"/>
          <w:tblInd w:w="0" w:type="dxa"/>
          <w:tblLook w:val="04A0"/>
        </w:tblPrEx>
        <w:trPr>
          <w:jc w:val="center"/>
        </w:trPr>
        <w:tc>
          <w:tcPr>
            <w:tcW w:w="1585" w:type="pct"/>
            <w:tcBorders>
              <w:tl2br w:val="nil"/>
              <w:tr2bl w:val="nil"/>
            </w:tcBorders>
            <w:vAlign w:val="center"/>
          </w:tcPr>
          <w:p w:rsidR="00402E54">
            <w:pPr>
              <w:pStyle w:val="NoSpacing"/>
              <w:keepNext/>
              <w:spacing w:line="240" w:lineRule="auto"/>
              <w:jc w:val="center"/>
              <w:rPr>
                <w:rFonts w:hint="eastAsia"/>
              </w:rPr>
            </w:pPr>
            <w:r>
              <w:rPr>
                <w:rFonts w:hint="eastAsia"/>
              </w:rPr>
              <w:t>波束控制精度（基于波束宽度）</w:t>
            </w:r>
          </w:p>
        </w:tc>
        <w:tc>
          <w:tcPr>
            <w:tcW w:w="3414" w:type="pct"/>
            <w:tcBorders>
              <w:tl2br w:val="nil"/>
              <w:tr2bl w:val="nil"/>
            </w:tcBorders>
            <w:vAlign w:val="center"/>
          </w:tcPr>
          <w:p w:rsidR="00402E54">
            <w:pPr>
              <w:pStyle w:val="NoSpacing"/>
              <w:keepNext/>
              <w:spacing w:line="240" w:lineRule="auto"/>
              <w:jc w:val="center"/>
              <w:rPr>
                <w:rFonts w:hint="eastAsia"/>
              </w:rPr>
            </w:pPr>
            <w:r>
              <w:rPr>
                <w:rFonts w:hint="eastAsia"/>
              </w:rPr>
              <w:t>≤5%</w:t>
            </w:r>
          </w:p>
        </w:tc>
      </w:tr>
      <w:tr>
        <w:tblPrEx>
          <w:tblW w:w="4999" w:type="pct"/>
          <w:jc w:val="center"/>
          <w:tblInd w:w="0" w:type="dxa"/>
          <w:tblLook w:val="04A0"/>
        </w:tblPrEx>
        <w:trPr>
          <w:jc w:val="center"/>
        </w:trPr>
        <w:tc>
          <w:tcPr>
            <w:tcW w:w="1585" w:type="pct"/>
            <w:tcBorders>
              <w:tl2br w:val="nil"/>
              <w:tr2bl w:val="nil"/>
            </w:tcBorders>
            <w:vAlign w:val="center"/>
          </w:tcPr>
          <w:p w:rsidR="00402E54">
            <w:pPr>
              <w:pStyle w:val="NoSpacing"/>
              <w:keepNext/>
              <w:spacing w:line="240" w:lineRule="auto"/>
              <w:jc w:val="center"/>
              <w:rPr>
                <w:rFonts w:hint="eastAsia"/>
              </w:rPr>
            </w:pPr>
            <w:r>
              <w:rPr>
                <w:rFonts w:hint="eastAsia"/>
              </w:rPr>
              <w:t>电扫方向</w:t>
            </w:r>
            <w:r>
              <w:rPr>
                <w:rFonts w:hint="eastAsia"/>
              </w:rPr>
              <w:t>上双线偏振波束指向误差（基于波束宽度）</w:t>
            </w:r>
          </w:p>
        </w:tc>
        <w:tc>
          <w:tcPr>
            <w:tcW w:w="3414" w:type="pct"/>
            <w:tcBorders>
              <w:tl2br w:val="nil"/>
              <w:tr2bl w:val="nil"/>
            </w:tcBorders>
            <w:vAlign w:val="center"/>
          </w:tcPr>
          <w:p w:rsidR="00402E54">
            <w:pPr>
              <w:pStyle w:val="NoSpacing"/>
              <w:keepNext/>
              <w:spacing w:line="240" w:lineRule="auto"/>
              <w:jc w:val="center"/>
              <w:rPr>
                <w:rFonts w:hint="eastAsia"/>
              </w:rPr>
            </w:pPr>
            <w:r>
              <w:rPr>
                <w:rFonts w:hint="eastAsia"/>
              </w:rPr>
              <w:t>≤5%</w:t>
            </w:r>
          </w:p>
        </w:tc>
      </w:tr>
      <w:tr>
        <w:tblPrEx>
          <w:tblW w:w="4999" w:type="pct"/>
          <w:jc w:val="center"/>
          <w:tblInd w:w="0" w:type="dxa"/>
          <w:tblLook w:val="04A0"/>
        </w:tblPrEx>
        <w:trPr>
          <w:jc w:val="center"/>
        </w:trPr>
        <w:tc>
          <w:tcPr>
            <w:tcW w:w="1585" w:type="pct"/>
            <w:tcBorders>
              <w:tl2br w:val="nil"/>
              <w:tr2bl w:val="nil"/>
            </w:tcBorders>
            <w:vAlign w:val="center"/>
          </w:tcPr>
          <w:p w:rsidR="00402E54">
            <w:pPr>
              <w:pStyle w:val="NoSpacing"/>
              <w:keepNext/>
              <w:spacing w:line="240" w:lineRule="auto"/>
              <w:jc w:val="center"/>
              <w:rPr>
                <w:rFonts w:hint="eastAsia"/>
              </w:rPr>
            </w:pPr>
            <w:r>
              <w:rPr>
                <w:rFonts w:hint="eastAsia"/>
              </w:rPr>
              <w:t>电扫方向</w:t>
            </w:r>
            <w:r>
              <w:rPr>
                <w:rFonts w:hint="eastAsia"/>
              </w:rPr>
              <w:t>上双线偏振3dB波束宽</w:t>
            </w:r>
          </w:p>
          <w:p w:rsidR="00402E54">
            <w:pPr>
              <w:pStyle w:val="NoSpacing"/>
              <w:keepNext/>
              <w:spacing w:line="240" w:lineRule="auto"/>
              <w:jc w:val="center"/>
              <w:rPr>
                <w:rFonts w:hint="eastAsia"/>
              </w:rPr>
            </w:pPr>
            <w:r>
              <w:rPr>
                <w:rFonts w:hint="eastAsia"/>
              </w:rPr>
              <w:t>度误差（基于波束宽度）</w:t>
            </w:r>
          </w:p>
        </w:tc>
        <w:tc>
          <w:tcPr>
            <w:tcW w:w="3414" w:type="pct"/>
            <w:tcBorders>
              <w:tl2br w:val="nil"/>
              <w:tr2bl w:val="nil"/>
            </w:tcBorders>
            <w:vAlign w:val="center"/>
          </w:tcPr>
          <w:p w:rsidR="00402E54">
            <w:pPr>
              <w:pStyle w:val="NoSpacing"/>
              <w:keepNext/>
              <w:spacing w:line="240" w:lineRule="auto"/>
              <w:jc w:val="center"/>
              <w:rPr>
                <w:rFonts w:hint="eastAsia"/>
              </w:rPr>
            </w:pPr>
            <w:r>
              <w:rPr>
                <w:rFonts w:hint="eastAsia"/>
              </w:rPr>
              <w:t>≤5%</w:t>
            </w:r>
          </w:p>
        </w:tc>
      </w:tr>
      <w:tr>
        <w:tblPrEx>
          <w:tblW w:w="4999" w:type="pct"/>
          <w:jc w:val="center"/>
          <w:tblInd w:w="0" w:type="dxa"/>
          <w:tblLook w:val="04A0"/>
        </w:tblPrEx>
        <w:trPr>
          <w:jc w:val="center"/>
        </w:trPr>
        <w:tc>
          <w:tcPr>
            <w:tcW w:w="1585" w:type="pct"/>
            <w:tcBorders>
              <w:tl2br w:val="nil"/>
              <w:tr2bl w:val="nil"/>
            </w:tcBorders>
            <w:vAlign w:val="center"/>
          </w:tcPr>
          <w:p w:rsidR="00402E54">
            <w:pPr>
              <w:pStyle w:val="NoSpacing"/>
              <w:keepNext/>
              <w:spacing w:line="240" w:lineRule="auto"/>
              <w:jc w:val="center"/>
              <w:rPr>
                <w:rFonts w:hint="eastAsia"/>
              </w:rPr>
            </w:pPr>
            <w:r>
              <w:rPr>
                <w:rFonts w:hint="eastAsia"/>
              </w:rPr>
              <w:t>同时接收波束数（单极化）</w:t>
            </w:r>
          </w:p>
        </w:tc>
        <w:tc>
          <w:tcPr>
            <w:tcW w:w="3414" w:type="pct"/>
            <w:tcBorders>
              <w:tl2br w:val="nil"/>
              <w:tr2bl w:val="nil"/>
            </w:tcBorders>
            <w:vAlign w:val="center"/>
          </w:tcPr>
          <w:p w:rsidR="00402E54">
            <w:pPr>
              <w:pStyle w:val="NoSpacing"/>
              <w:keepNext/>
              <w:spacing w:line="240" w:lineRule="auto"/>
              <w:jc w:val="center"/>
              <w:rPr>
                <w:rFonts w:hint="eastAsia"/>
              </w:rPr>
            </w:pPr>
            <w:r>
              <w:rPr>
                <w:rFonts w:hint="eastAsia"/>
              </w:rPr>
              <w:t>≥16个波束</w:t>
            </w:r>
          </w:p>
        </w:tc>
      </w:tr>
      <w:tr>
        <w:tblPrEx>
          <w:tblW w:w="4999" w:type="pct"/>
          <w:jc w:val="center"/>
          <w:tblInd w:w="0" w:type="dxa"/>
          <w:tblLook w:val="04A0"/>
        </w:tblPrEx>
        <w:trPr>
          <w:jc w:val="center"/>
        </w:trPr>
        <w:tc>
          <w:tcPr>
            <w:tcW w:w="1585" w:type="pct"/>
            <w:tcBorders>
              <w:tl2br w:val="nil"/>
              <w:tr2bl w:val="nil"/>
            </w:tcBorders>
            <w:vAlign w:val="center"/>
          </w:tcPr>
          <w:p w:rsidR="00402E54">
            <w:pPr>
              <w:pStyle w:val="NoSpacing"/>
              <w:keepNext/>
              <w:spacing w:line="240" w:lineRule="auto"/>
              <w:jc w:val="center"/>
              <w:rPr>
                <w:rFonts w:hint="eastAsia"/>
              </w:rPr>
            </w:pPr>
            <w:r>
              <w:rPr>
                <w:rFonts w:hint="eastAsia"/>
              </w:rPr>
              <w:t>电扫方向</w:t>
            </w:r>
            <w:r>
              <w:rPr>
                <w:rFonts w:hint="eastAsia"/>
              </w:rPr>
              <w:t>发射最大副瓣电平</w:t>
            </w:r>
          </w:p>
        </w:tc>
        <w:tc>
          <w:tcPr>
            <w:tcW w:w="5675" w:type="dxa"/>
            <w:tcBorders>
              <w:tl2br w:val="nil"/>
              <w:tr2bl w:val="nil"/>
            </w:tcBorders>
            <w:vAlign w:val="center"/>
          </w:tcPr>
          <w:p w:rsidR="00402E54">
            <w:pPr>
              <w:pStyle w:val="NoSpacing"/>
              <w:keepNext/>
              <w:spacing w:line="240" w:lineRule="auto"/>
              <w:jc w:val="center"/>
              <w:rPr>
                <w:rFonts w:hint="eastAsia"/>
              </w:rPr>
            </w:pPr>
            <w:r>
              <w:rPr>
                <w:rFonts w:hint="eastAsia"/>
              </w:rPr>
              <w:t>≤-23dB（法向波束宽度≤1.8 °，偏离法向±20 °波束宽度≤1.91°）</w:t>
            </w:r>
          </w:p>
        </w:tc>
      </w:tr>
      <w:tr>
        <w:tblPrEx>
          <w:tblW w:w="4999" w:type="pct"/>
          <w:jc w:val="center"/>
          <w:tblInd w:w="0" w:type="dxa"/>
          <w:tblLook w:val="04A0"/>
        </w:tblPrEx>
        <w:trPr>
          <w:jc w:val="center"/>
        </w:trPr>
        <w:tc>
          <w:tcPr>
            <w:tcW w:w="1585" w:type="pct"/>
            <w:tcBorders>
              <w:tl2br w:val="nil"/>
              <w:tr2bl w:val="nil"/>
            </w:tcBorders>
            <w:vAlign w:val="center"/>
          </w:tcPr>
          <w:p w:rsidR="00402E54">
            <w:pPr>
              <w:pStyle w:val="NoSpacing"/>
              <w:keepNext/>
              <w:spacing w:line="240" w:lineRule="auto"/>
              <w:jc w:val="center"/>
              <w:rPr>
                <w:rFonts w:hint="eastAsia"/>
              </w:rPr>
            </w:pPr>
            <w:r>
              <w:rPr>
                <w:rFonts w:hint="eastAsia"/>
              </w:rPr>
              <w:t>电扫方向</w:t>
            </w:r>
            <w:r>
              <w:rPr>
                <w:rFonts w:hint="eastAsia"/>
              </w:rPr>
              <w:t>接收最大副瓣电平</w:t>
            </w:r>
          </w:p>
        </w:tc>
        <w:tc>
          <w:tcPr>
            <w:tcW w:w="5675" w:type="dxa"/>
            <w:tcBorders>
              <w:tl2br w:val="nil"/>
              <w:tr2bl w:val="nil"/>
            </w:tcBorders>
            <w:vAlign w:val="center"/>
          </w:tcPr>
          <w:p w:rsidR="00402E54">
            <w:pPr>
              <w:pStyle w:val="NoSpacing"/>
              <w:keepNext/>
              <w:spacing w:line="240" w:lineRule="auto"/>
              <w:jc w:val="center"/>
              <w:rPr>
                <w:rFonts w:hint="eastAsia"/>
              </w:rPr>
            </w:pPr>
            <w:r>
              <w:rPr>
                <w:rFonts w:hint="eastAsia"/>
              </w:rPr>
              <w:t>≤-35dB（法向波束宽度≤1.8 °，偏离法向±20 °波束宽度≤1.91°）</w:t>
            </w:r>
          </w:p>
        </w:tc>
      </w:tr>
    </w:tbl>
    <w:p w:rsidR="00402E54">
      <w:pPr>
        <w:pStyle w:val="Heading3"/>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3.8信号处理单元技术指标</w:t>
      </w:r>
    </w:p>
    <w:tbl>
      <w:tblPr>
        <w:tblStyle w:val="TableNormal0"/>
        <w:tblpPr w:leftFromText="180" w:rightFromText="180" w:vertAnchor="text" w:tblpY="1"/>
        <w:tblOverlap w:val="never"/>
        <w:tblW w:w="8899"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2832"/>
        <w:gridCol w:w="6067"/>
      </w:tblGrid>
      <w:tr>
        <w:tblPrEx>
          <w:tblW w:w="8899"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Ex>
        <w:trPr>
          <w:trHeight w:val="397"/>
        </w:trPr>
        <w:tc>
          <w:tcPr>
            <w:tcW w:w="2798" w:type="dxa"/>
            <w:tcBorders>
              <w:tl2br w:val="nil"/>
              <w:tr2bl w:val="nil"/>
            </w:tcBorders>
            <w:vAlign w:val="center"/>
          </w:tcPr>
          <w:p w:rsidR="00402E54">
            <w:pPr>
              <w:pStyle w:val="NoSpacing"/>
              <w:keepNext/>
              <w:spacing w:line="240" w:lineRule="auto"/>
              <w:jc w:val="center"/>
              <w:rPr>
                <w:rFonts w:hint="eastAsia"/>
                <w:b/>
                <w:bCs/>
              </w:rPr>
            </w:pPr>
            <w:r>
              <w:rPr>
                <w:rFonts w:hint="eastAsia"/>
                <w:b/>
                <w:bCs/>
              </w:rPr>
              <w:t>项目</w:t>
            </w:r>
          </w:p>
        </w:tc>
        <w:tc>
          <w:tcPr>
            <w:tcW w:w="5993" w:type="dxa"/>
            <w:tcBorders>
              <w:tl2br w:val="nil"/>
              <w:tr2bl w:val="nil"/>
            </w:tcBorders>
            <w:vAlign w:val="center"/>
          </w:tcPr>
          <w:p w:rsidR="00402E54">
            <w:pPr>
              <w:pStyle w:val="NoSpacing"/>
              <w:keepNext/>
              <w:spacing w:line="240" w:lineRule="auto"/>
              <w:jc w:val="center"/>
              <w:rPr>
                <w:rFonts w:hint="eastAsia"/>
                <w:b/>
                <w:bCs/>
              </w:rPr>
            </w:pPr>
            <w:r>
              <w:rPr>
                <w:rFonts w:hint="eastAsia"/>
                <w:b/>
                <w:bCs/>
              </w:rPr>
              <w:t>性能指标</w:t>
            </w:r>
          </w:p>
        </w:tc>
      </w:tr>
      <w:tr>
        <w:tblPrEx>
          <w:tblW w:w="8899" w:type="dxa"/>
          <w:tblInd w:w="0" w:type="dxa"/>
          <w:tblLook w:val="04A0"/>
        </w:tblPrEx>
        <w:trPr>
          <w:trHeight w:val="90"/>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最大脉冲压缩比</w:t>
            </w:r>
          </w:p>
        </w:tc>
        <w:tc>
          <w:tcPr>
            <w:tcW w:w="5993"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≥100</w:t>
            </w:r>
          </w:p>
        </w:tc>
      </w:tr>
      <w:tr>
        <w:tblPrEx>
          <w:tblW w:w="8899" w:type="dxa"/>
          <w:tblInd w:w="0" w:type="dxa"/>
          <w:tblLook w:val="04A0"/>
        </w:tblPrEx>
        <w:trPr>
          <w:trHeight w:val="404"/>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脉冲压缩主副瓣比</w:t>
            </w:r>
          </w:p>
        </w:tc>
        <w:tc>
          <w:tcPr>
            <w:tcW w:w="5993"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≥50dB（脉压比≥100）</w:t>
            </w:r>
          </w:p>
        </w:tc>
      </w:tr>
      <w:tr>
        <w:tblPrEx>
          <w:tblW w:w="8899" w:type="dxa"/>
          <w:tblInd w:w="0" w:type="dxa"/>
          <w:tblLook w:val="04A0"/>
        </w:tblPrEx>
        <w:trPr>
          <w:trHeight w:val="404"/>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脉冲累计平均次数</w:t>
            </w:r>
          </w:p>
        </w:tc>
        <w:tc>
          <w:tcPr>
            <w:tcW w:w="5993"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16～512可选</w:t>
            </w:r>
          </w:p>
        </w:tc>
      </w:tr>
      <w:tr>
        <w:tblPrEx>
          <w:tblW w:w="8899" w:type="dxa"/>
          <w:tblInd w:w="0" w:type="dxa"/>
          <w:tblLook w:val="04A0"/>
        </w:tblPrEx>
        <w:trPr>
          <w:trHeight w:val="405"/>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强度、速度处理方式</w:t>
            </w:r>
          </w:p>
        </w:tc>
        <w:tc>
          <w:tcPr>
            <w:tcW w:w="5993"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FFT/</w:t>
            </w:r>
            <w:r>
              <w:rPr>
                <w:rFonts w:hint="eastAsia"/>
                <w:lang w:eastAsia="en-US"/>
              </w:rPr>
              <w:t>PPP处理</w:t>
            </w:r>
          </w:p>
        </w:tc>
      </w:tr>
      <w:tr>
        <w:tblPrEx>
          <w:tblW w:w="8899" w:type="dxa"/>
          <w:tblInd w:w="0" w:type="dxa"/>
          <w:tblLook w:val="04A0"/>
        </w:tblPrEx>
        <w:trPr>
          <w:trHeight w:val="405"/>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相关系数处理方式</w:t>
            </w:r>
          </w:p>
        </w:tc>
        <w:tc>
          <w:tcPr>
            <w:tcW w:w="5993"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一阶相关或多阶相关</w:t>
            </w:r>
          </w:p>
        </w:tc>
      </w:tr>
      <w:tr>
        <w:tblPrEx>
          <w:tblW w:w="8899" w:type="dxa"/>
          <w:tblInd w:w="0" w:type="dxa"/>
          <w:tblLook w:val="04A0"/>
        </w:tblPrEx>
        <w:trPr>
          <w:trHeight w:val="405"/>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距离退模糊方法</w:t>
            </w:r>
          </w:p>
        </w:tc>
        <w:tc>
          <w:tcPr>
            <w:tcW w:w="5993" w:type="dxa"/>
            <w:tcBorders>
              <w:tl2br w:val="nil"/>
              <w:tr2bl w:val="nil"/>
            </w:tcBorders>
            <w:vAlign w:val="center"/>
          </w:tcPr>
          <w:p w:rsidR="00402E54">
            <w:pPr>
              <w:pStyle w:val="NoSpacing"/>
              <w:keepNext/>
              <w:spacing w:line="240" w:lineRule="auto"/>
              <w:jc w:val="center"/>
              <w:rPr>
                <w:rFonts w:hint="eastAsia"/>
              </w:rPr>
            </w:pPr>
            <w:r>
              <w:rPr>
                <w:rFonts w:hint="eastAsia"/>
              </w:rPr>
              <w:t>相位编码或其他等效方法</w:t>
            </w:r>
          </w:p>
        </w:tc>
      </w:tr>
      <w:tr>
        <w:tblPrEx>
          <w:tblW w:w="8899" w:type="dxa"/>
          <w:tblInd w:w="0" w:type="dxa"/>
          <w:tblLook w:val="04A0"/>
        </w:tblPrEx>
        <w:trPr>
          <w:trHeight w:val="405"/>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速度退模糊方法</w:t>
            </w:r>
          </w:p>
        </w:tc>
        <w:tc>
          <w:tcPr>
            <w:tcW w:w="5993" w:type="dxa"/>
            <w:tcBorders>
              <w:tl2br w:val="nil"/>
              <w:tr2bl w:val="nil"/>
            </w:tcBorders>
            <w:vAlign w:val="center"/>
          </w:tcPr>
          <w:p w:rsidR="00402E54">
            <w:pPr>
              <w:pStyle w:val="NoSpacing"/>
              <w:keepNext/>
              <w:spacing w:line="240" w:lineRule="auto"/>
              <w:jc w:val="center"/>
              <w:rPr>
                <w:rFonts w:hint="eastAsia"/>
              </w:rPr>
            </w:pPr>
            <w:r>
              <w:rPr>
                <w:rFonts w:hint="eastAsia"/>
              </w:rPr>
              <w:t>双重频或其他等效方法</w:t>
            </w:r>
          </w:p>
        </w:tc>
      </w:tr>
      <w:tr>
        <w:tblPrEx>
          <w:tblW w:w="8899" w:type="dxa"/>
          <w:tblInd w:w="0" w:type="dxa"/>
          <w:tblLook w:val="04A0"/>
        </w:tblPrEx>
        <w:trPr>
          <w:trHeight w:val="405"/>
        </w:trPr>
        <w:tc>
          <w:tcPr>
            <w:tcW w:w="2798" w:type="dxa"/>
            <w:tcBorders>
              <w:tl2br w:val="nil"/>
              <w:tr2bl w:val="nil"/>
            </w:tcBorders>
            <w:vAlign w:val="center"/>
          </w:tcPr>
          <w:p w:rsidR="00402E54">
            <w:pPr>
              <w:pStyle w:val="NoSpacing"/>
              <w:keepNext/>
              <w:spacing w:line="240" w:lineRule="auto"/>
              <w:jc w:val="center"/>
              <w:rPr>
                <w:rFonts w:hint="eastAsia"/>
              </w:rPr>
            </w:pPr>
            <w:r>
              <w:rPr>
                <w:rFonts w:hint="eastAsia"/>
              </w:rPr>
              <w:t>非气象回波识别和抑制</w:t>
            </w:r>
          </w:p>
        </w:tc>
        <w:tc>
          <w:tcPr>
            <w:tcW w:w="5993" w:type="dxa"/>
            <w:tcBorders>
              <w:tl2br w:val="nil"/>
              <w:tr2bl w:val="nil"/>
            </w:tcBorders>
            <w:vAlign w:val="center"/>
          </w:tcPr>
          <w:p w:rsidR="00402E54">
            <w:pPr>
              <w:pStyle w:val="NoSpacing"/>
              <w:keepNext/>
              <w:spacing w:line="240" w:lineRule="auto"/>
              <w:jc w:val="center"/>
              <w:rPr>
                <w:rFonts w:hint="eastAsia"/>
              </w:rPr>
            </w:pPr>
            <w:r>
              <w:rPr>
                <w:rFonts w:hint="eastAsia"/>
              </w:rPr>
              <w:t>具有电磁干扰、风电干扰及其它干扰的自动处理能力</w:t>
            </w:r>
          </w:p>
        </w:tc>
      </w:tr>
      <w:tr>
        <w:tblPrEx>
          <w:tblW w:w="8899" w:type="dxa"/>
          <w:tblInd w:w="0" w:type="dxa"/>
          <w:tblLook w:val="04A0"/>
        </w:tblPrEx>
        <w:trPr>
          <w:trHeight w:val="405"/>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参数估计</w:t>
            </w:r>
          </w:p>
        </w:tc>
        <w:tc>
          <w:tcPr>
            <w:tcW w:w="5993" w:type="dxa"/>
            <w:tcBorders>
              <w:tl2br w:val="nil"/>
              <w:tr2bl w:val="nil"/>
            </w:tcBorders>
            <w:vAlign w:val="center"/>
          </w:tcPr>
          <w:p w:rsidR="00402E54">
            <w:pPr>
              <w:pStyle w:val="NoSpacing"/>
              <w:keepNext/>
              <w:spacing w:line="240" w:lineRule="auto"/>
              <w:jc w:val="center"/>
              <w:rPr>
                <w:rFonts w:hint="eastAsia"/>
              </w:rPr>
            </w:pPr>
            <w:r>
              <w:rPr>
                <w:rFonts w:hint="eastAsia"/>
              </w:rPr>
              <w:t>合理方法处理多脉宽条件下参数估算</w:t>
            </w:r>
          </w:p>
        </w:tc>
      </w:tr>
      <w:tr>
        <w:tblPrEx>
          <w:tblW w:w="8899" w:type="dxa"/>
          <w:tblInd w:w="0" w:type="dxa"/>
          <w:tblLook w:val="04A0"/>
        </w:tblPrEx>
        <w:trPr>
          <w:trHeight w:val="405"/>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地物抑制</w:t>
            </w:r>
          </w:p>
        </w:tc>
        <w:tc>
          <w:tcPr>
            <w:tcW w:w="5993" w:type="dxa"/>
            <w:tcBorders>
              <w:tl2br w:val="nil"/>
              <w:tr2bl w:val="nil"/>
            </w:tcBorders>
            <w:vAlign w:val="center"/>
          </w:tcPr>
          <w:p w:rsidR="00402E54">
            <w:pPr>
              <w:pStyle w:val="NoSpacing"/>
              <w:keepNext/>
              <w:spacing w:line="240" w:lineRule="auto"/>
              <w:jc w:val="center"/>
              <w:rPr>
                <w:rFonts w:hint="eastAsia"/>
              </w:rPr>
            </w:pPr>
            <w:r>
              <w:rPr>
                <w:rFonts w:hint="eastAsia"/>
              </w:rPr>
              <w:t>深度学习或其他等效方法</w:t>
            </w:r>
          </w:p>
        </w:tc>
      </w:tr>
      <w:tr>
        <w:tblPrEx>
          <w:tblW w:w="8899" w:type="dxa"/>
          <w:tblInd w:w="0" w:type="dxa"/>
          <w:tblLook w:val="04A0"/>
        </w:tblPrEx>
        <w:trPr>
          <w:trHeight w:val="478"/>
        </w:trPr>
        <w:tc>
          <w:tcPr>
            <w:tcW w:w="2798" w:type="dxa"/>
            <w:tcBorders>
              <w:tl2br w:val="nil"/>
              <w:tr2bl w:val="nil"/>
            </w:tcBorders>
            <w:vAlign w:val="center"/>
          </w:tcPr>
          <w:p w:rsidR="00402E54">
            <w:pPr>
              <w:pStyle w:val="NoSpacing"/>
              <w:keepNext/>
              <w:spacing w:line="240" w:lineRule="auto"/>
              <w:jc w:val="center"/>
              <w:rPr>
                <w:rFonts w:hint="eastAsia"/>
                <w:lang w:eastAsia="en-US"/>
              </w:rPr>
            </w:pPr>
            <w:r>
              <w:rPr>
                <w:rFonts w:hint="eastAsia"/>
                <w:lang w:eastAsia="en-US"/>
              </w:rPr>
              <w:t>故障检测和保护</w:t>
            </w:r>
          </w:p>
        </w:tc>
        <w:tc>
          <w:tcPr>
            <w:tcW w:w="5993" w:type="dxa"/>
            <w:tcBorders>
              <w:tl2br w:val="nil"/>
              <w:tr2bl w:val="nil"/>
            </w:tcBorders>
            <w:vAlign w:val="center"/>
          </w:tcPr>
          <w:p w:rsidR="00402E54">
            <w:pPr>
              <w:pStyle w:val="NoSpacing"/>
              <w:keepNext/>
              <w:spacing w:line="240" w:lineRule="auto"/>
              <w:jc w:val="center"/>
              <w:rPr>
                <w:rFonts w:hint="eastAsia"/>
              </w:rPr>
            </w:pPr>
            <w:r>
              <w:rPr>
                <w:rFonts w:hint="eastAsia"/>
              </w:rPr>
              <w:t>数据丢包，参数输出等故障</w:t>
            </w:r>
          </w:p>
        </w:tc>
      </w:tr>
    </w:tbl>
    <w:p w:rsidR="00402E54">
      <w:pPr>
        <w:pStyle w:val="Heading3"/>
        <w:spacing w:line="240" w:lineRule="auto"/>
        <w:ind w:firstLine="560" w:firstLineChars="200"/>
        <w:rPr>
          <w:rFonts w:ascii="仿宋_GB2312" w:eastAsia="仿宋_GB2312" w:hAnsi="仿宋_GB2312" w:cs="仿宋_GB2312" w:hint="eastAsia"/>
          <w:sz w:val="28"/>
          <w:szCs w:val="28"/>
          <w:highlight w:val="yellow"/>
        </w:rPr>
      </w:pPr>
      <w:r>
        <w:rPr>
          <w:rFonts w:ascii="仿宋_GB2312" w:eastAsia="仿宋_GB2312" w:hAnsi="仿宋_GB2312" w:cs="仿宋_GB2312" w:hint="eastAsia"/>
          <w:sz w:val="28"/>
          <w:szCs w:val="28"/>
          <w:highlight w:val="yellow"/>
        </w:rPr>
        <w:t>3.9 #监控技术指标</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上传周期可任意设置，具备每次</w:t>
      </w:r>
      <w:r>
        <w:rPr>
          <w:rFonts w:ascii="仿宋_GB2312" w:eastAsia="仿宋_GB2312" w:hAnsi="仿宋_GB2312" w:cs="仿宋_GB2312" w:hint="eastAsia"/>
          <w:sz w:val="28"/>
          <w:szCs w:val="28"/>
        </w:rPr>
        <w:t>扫描完上传</w:t>
      </w:r>
      <w:r>
        <w:rPr>
          <w:rFonts w:ascii="仿宋_GB2312" w:eastAsia="仿宋_GB2312" w:hAnsi="仿宋_GB2312" w:cs="仿宋_GB2312" w:hint="eastAsia"/>
          <w:sz w:val="28"/>
          <w:szCs w:val="28"/>
        </w:rPr>
        <w:t>参数的功能。</w:t>
      </w:r>
    </w:p>
    <w:p w:rsidR="00402E54">
      <w:pPr>
        <w:rPr>
          <w:rFonts w:ascii="宋体" w:hAnsi="宋体" w:hint="eastAsia"/>
        </w:rPr>
      </w:pPr>
    </w:p>
    <w:tbl>
      <w:tblPr>
        <w:tblStyle w:val="TableNormal0"/>
        <w:tblW w:w="8314"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524"/>
        <w:gridCol w:w="3891"/>
        <w:gridCol w:w="3899"/>
      </w:tblGrid>
      <w:tr>
        <w:tblPrEx>
          <w:tblW w:w="8314"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Ex>
        <w:trPr>
          <w:tblHeader/>
          <w:jc w:val="center"/>
        </w:trPr>
        <w:tc>
          <w:tcPr>
            <w:tcW w:w="524" w:type="dxa"/>
            <w:vAlign w:val="center"/>
          </w:tcPr>
          <w:p w:rsidR="00402E54">
            <w:pPr>
              <w:pStyle w:val="NoSpacing"/>
              <w:keepNext/>
              <w:spacing w:line="240" w:lineRule="auto"/>
              <w:jc w:val="center"/>
              <w:rPr>
                <w:rFonts w:hint="eastAsia"/>
                <w:b/>
                <w:lang w:eastAsia="en-US"/>
              </w:rPr>
            </w:pPr>
            <w:r>
              <w:rPr>
                <w:rFonts w:hint="eastAsia"/>
                <w:b/>
                <w:lang w:eastAsia="en-US"/>
              </w:rPr>
              <w:t>序号</w:t>
            </w:r>
          </w:p>
        </w:tc>
        <w:tc>
          <w:tcPr>
            <w:tcW w:w="3891" w:type="dxa"/>
            <w:vAlign w:val="center"/>
          </w:tcPr>
          <w:p w:rsidR="00402E54">
            <w:pPr>
              <w:pStyle w:val="NoSpacing"/>
              <w:keepNext/>
              <w:spacing w:line="240" w:lineRule="auto"/>
              <w:jc w:val="center"/>
              <w:rPr>
                <w:rFonts w:hint="eastAsia"/>
                <w:b/>
                <w:lang w:eastAsia="en-US"/>
              </w:rPr>
            </w:pPr>
            <w:r>
              <w:rPr>
                <w:rFonts w:hint="eastAsia"/>
                <w:b/>
                <w:lang w:eastAsia="en-US"/>
              </w:rPr>
              <w:t>上传参数</w:t>
            </w:r>
          </w:p>
        </w:tc>
        <w:tc>
          <w:tcPr>
            <w:tcW w:w="3899" w:type="dxa"/>
            <w:vAlign w:val="center"/>
          </w:tcPr>
          <w:p w:rsidR="00402E54">
            <w:pPr>
              <w:pStyle w:val="NoSpacing"/>
              <w:keepNext/>
              <w:spacing w:line="240" w:lineRule="auto"/>
              <w:jc w:val="center"/>
              <w:rPr>
                <w:rFonts w:hint="eastAsia"/>
                <w:b/>
                <w:lang w:eastAsia="en-US"/>
              </w:rPr>
            </w:pPr>
            <w:r>
              <w:rPr>
                <w:rFonts w:hint="eastAsia"/>
                <w:b/>
                <w:lang w:eastAsia="en-US"/>
              </w:rPr>
              <w:t>备注</w:t>
            </w:r>
          </w:p>
        </w:tc>
      </w:tr>
      <w:tr>
        <w:tblPrEx>
          <w:tblW w:w="8314" w:type="dxa"/>
          <w:jc w:val="center"/>
          <w:tblInd w:w="0" w:type="dxa"/>
          <w:tblLook w:val="04A0"/>
        </w:tblPrEx>
        <w:trPr>
          <w:jc w:val="center"/>
        </w:trPr>
        <w:tc>
          <w:tcPr>
            <w:tcW w:w="8314" w:type="dxa"/>
            <w:gridSpan w:val="3"/>
            <w:vAlign w:val="center"/>
          </w:tcPr>
          <w:p w:rsidR="00402E54">
            <w:pPr>
              <w:pStyle w:val="NoSpacing"/>
              <w:keepNext/>
              <w:spacing w:line="240" w:lineRule="auto"/>
              <w:jc w:val="center"/>
              <w:rPr>
                <w:rFonts w:hint="eastAsia"/>
                <w:lang w:eastAsia="en-US"/>
              </w:rPr>
            </w:pPr>
            <w:r>
              <w:rPr>
                <w:rFonts w:hint="eastAsia"/>
                <w:lang w:eastAsia="en-US"/>
              </w:rPr>
              <w:t>雷达静态参数</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雷达站号</w:t>
            </w:r>
          </w:p>
        </w:tc>
        <w:tc>
          <w:tcPr>
            <w:tcW w:w="3899" w:type="dxa"/>
            <w:vAlign w:val="center"/>
          </w:tcPr>
          <w:p w:rsidR="00402E54">
            <w:pPr>
              <w:pStyle w:val="NoSpacing"/>
              <w:keepNext/>
              <w:spacing w:line="240" w:lineRule="auto"/>
              <w:jc w:val="center"/>
              <w:rPr>
                <w:rFonts w:hint="eastAsia"/>
                <w:lang w:eastAsia="en-US"/>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站点名称</w:t>
            </w:r>
          </w:p>
        </w:tc>
        <w:tc>
          <w:tcPr>
            <w:tcW w:w="3899" w:type="dxa"/>
            <w:vAlign w:val="center"/>
          </w:tcPr>
          <w:p w:rsidR="00402E54">
            <w:pPr>
              <w:pStyle w:val="NoSpacing"/>
              <w:keepNext/>
              <w:spacing w:line="240" w:lineRule="auto"/>
              <w:jc w:val="center"/>
              <w:rPr>
                <w:rFonts w:hint="eastAsia"/>
                <w:lang w:eastAsia="en-US"/>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纬度</w:t>
            </w:r>
          </w:p>
        </w:tc>
        <w:tc>
          <w:tcPr>
            <w:tcW w:w="3899" w:type="dxa"/>
            <w:vAlign w:val="center"/>
          </w:tcPr>
          <w:p w:rsidR="00402E54">
            <w:pPr>
              <w:pStyle w:val="NoSpacing"/>
              <w:keepNext/>
              <w:spacing w:line="240" w:lineRule="auto"/>
              <w:jc w:val="center"/>
              <w:rPr>
                <w:rFonts w:hint="eastAsia"/>
                <w:lang w:eastAsia="en-US"/>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经度</w:t>
            </w:r>
          </w:p>
        </w:tc>
        <w:tc>
          <w:tcPr>
            <w:tcW w:w="3899" w:type="dxa"/>
            <w:vAlign w:val="center"/>
          </w:tcPr>
          <w:p w:rsidR="00402E54">
            <w:pPr>
              <w:pStyle w:val="NoSpacing"/>
              <w:keepNext/>
              <w:spacing w:line="240" w:lineRule="auto"/>
              <w:jc w:val="center"/>
              <w:rPr>
                <w:rFonts w:hint="eastAsia"/>
                <w:lang w:eastAsia="en-US"/>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天线高度</w:t>
            </w:r>
          </w:p>
        </w:tc>
        <w:tc>
          <w:tcPr>
            <w:tcW w:w="3899" w:type="dxa"/>
            <w:vAlign w:val="center"/>
          </w:tcPr>
          <w:p w:rsidR="00402E54">
            <w:pPr>
              <w:pStyle w:val="NoSpacing"/>
              <w:keepNext/>
              <w:spacing w:line="240" w:lineRule="auto"/>
              <w:jc w:val="center"/>
              <w:rPr>
                <w:rFonts w:hint="eastAsia"/>
              </w:rPr>
            </w:pPr>
            <w:r>
              <w:rPr>
                <w:rFonts w:hint="eastAsia"/>
              </w:rPr>
              <w:t>天线阵面中心高度，单位：m</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地面高度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单位：m</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7</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雷达类型</w:t>
            </w:r>
          </w:p>
        </w:tc>
        <w:tc>
          <w:tcPr>
            <w:tcW w:w="3899" w:type="dxa"/>
            <w:vAlign w:val="center"/>
          </w:tcPr>
          <w:p w:rsidR="00402E54">
            <w:pPr>
              <w:pStyle w:val="NoSpacing"/>
              <w:keepNext/>
              <w:spacing w:line="240" w:lineRule="auto"/>
              <w:jc w:val="center"/>
              <w:rPr>
                <w:rFonts w:hint="eastAsia"/>
                <w:lang w:eastAsia="en-US"/>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8</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雷达型号</w:t>
            </w:r>
          </w:p>
        </w:tc>
        <w:tc>
          <w:tcPr>
            <w:tcW w:w="3899" w:type="dxa"/>
            <w:vAlign w:val="center"/>
          </w:tcPr>
          <w:p w:rsidR="00402E54">
            <w:pPr>
              <w:pStyle w:val="NoSpacing"/>
              <w:keepNext/>
              <w:spacing w:line="240" w:lineRule="auto"/>
              <w:jc w:val="center"/>
              <w:rPr>
                <w:rFonts w:hint="eastAsia"/>
                <w:lang w:eastAsia="en-US"/>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9</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终端软件版本号</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监控软件</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10</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工作频率</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单位：MHz</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11</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水平通道发射增益</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12</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垂直通道发射增益</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13</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水平通道接收增益</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14</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垂直通道接收增益</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15</w:t>
            </w:r>
          </w:p>
        </w:tc>
        <w:tc>
          <w:tcPr>
            <w:tcW w:w="3891" w:type="dxa"/>
            <w:vAlign w:val="center"/>
          </w:tcPr>
          <w:p w:rsidR="00402E54">
            <w:pPr>
              <w:pStyle w:val="NoSpacing"/>
              <w:keepNext/>
              <w:spacing w:line="240" w:lineRule="auto"/>
              <w:jc w:val="center"/>
              <w:rPr>
                <w:rFonts w:hint="eastAsia"/>
              </w:rPr>
            </w:pPr>
            <w:r>
              <w:rPr>
                <w:rFonts w:hint="eastAsia"/>
              </w:rPr>
              <w:t>水平极化发射波束宽度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16</w:t>
            </w:r>
          </w:p>
        </w:tc>
        <w:tc>
          <w:tcPr>
            <w:tcW w:w="3891" w:type="dxa"/>
            <w:vAlign w:val="center"/>
          </w:tcPr>
          <w:p w:rsidR="00402E54">
            <w:pPr>
              <w:pStyle w:val="NoSpacing"/>
              <w:keepNext/>
              <w:spacing w:line="240" w:lineRule="auto"/>
              <w:jc w:val="center"/>
              <w:rPr>
                <w:rFonts w:hint="eastAsia"/>
              </w:rPr>
            </w:pPr>
            <w:r>
              <w:rPr>
                <w:rFonts w:hint="eastAsia"/>
              </w:rPr>
              <w:t>垂直极化发射波束宽度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17</w:t>
            </w:r>
          </w:p>
        </w:tc>
        <w:tc>
          <w:tcPr>
            <w:tcW w:w="3891" w:type="dxa"/>
            <w:vAlign w:val="center"/>
          </w:tcPr>
          <w:p w:rsidR="00402E54">
            <w:pPr>
              <w:pStyle w:val="NoSpacing"/>
              <w:keepNext/>
              <w:spacing w:line="240" w:lineRule="auto"/>
              <w:jc w:val="center"/>
              <w:rPr>
                <w:rFonts w:hint="eastAsia"/>
              </w:rPr>
            </w:pPr>
            <w:r>
              <w:rPr>
                <w:rFonts w:hint="eastAsia"/>
              </w:rPr>
              <w:t>水平极化接收波束宽度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18</w:t>
            </w:r>
          </w:p>
        </w:tc>
        <w:tc>
          <w:tcPr>
            <w:tcW w:w="3891" w:type="dxa"/>
            <w:vAlign w:val="center"/>
          </w:tcPr>
          <w:p w:rsidR="00402E54">
            <w:pPr>
              <w:pStyle w:val="NoSpacing"/>
              <w:keepNext/>
              <w:spacing w:line="240" w:lineRule="auto"/>
              <w:jc w:val="center"/>
              <w:rPr>
                <w:rFonts w:hint="eastAsia"/>
              </w:rPr>
            </w:pPr>
            <w:r>
              <w:rPr>
                <w:rFonts w:hint="eastAsia"/>
              </w:rPr>
              <w:t>垂直极化接收波束宽度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19</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发射馈线损耗</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20</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接收馈线损耗</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21</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其他损耗</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8314" w:type="dxa"/>
            <w:gridSpan w:val="3"/>
            <w:vAlign w:val="center"/>
          </w:tcPr>
          <w:p w:rsidR="00402E54">
            <w:pPr>
              <w:pStyle w:val="NoSpacing"/>
              <w:keepNext/>
              <w:spacing w:line="240" w:lineRule="auto"/>
              <w:jc w:val="center"/>
              <w:rPr>
                <w:rFonts w:hint="eastAsia"/>
                <w:lang w:eastAsia="en-US"/>
              </w:rPr>
            </w:pPr>
            <w:r>
              <w:rPr>
                <w:rFonts w:hint="eastAsia"/>
                <w:lang w:eastAsia="en-US"/>
              </w:rPr>
              <w:t>雷达运行模式参数</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22</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日期</w:t>
            </w:r>
          </w:p>
        </w:tc>
        <w:tc>
          <w:tcPr>
            <w:tcW w:w="3899" w:type="dxa"/>
            <w:vAlign w:val="center"/>
          </w:tcPr>
          <w:p w:rsidR="00402E54">
            <w:pPr>
              <w:pStyle w:val="NoSpacing"/>
              <w:keepNext/>
              <w:spacing w:line="240" w:lineRule="auto"/>
              <w:jc w:val="center"/>
              <w:rPr>
                <w:rFonts w:hint="eastAsia"/>
                <w:lang w:eastAsia="en-US"/>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23</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时间</w:t>
            </w:r>
          </w:p>
        </w:tc>
        <w:tc>
          <w:tcPr>
            <w:tcW w:w="3899" w:type="dxa"/>
            <w:vAlign w:val="center"/>
          </w:tcPr>
          <w:p w:rsidR="00402E54">
            <w:pPr>
              <w:pStyle w:val="NoSpacing"/>
              <w:keepNext/>
              <w:spacing w:line="240" w:lineRule="auto"/>
              <w:jc w:val="center"/>
              <w:rPr>
                <w:rFonts w:hint="eastAsia"/>
                <w:lang w:eastAsia="en-US"/>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24</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体扫模式</w:t>
            </w:r>
          </w:p>
        </w:tc>
        <w:tc>
          <w:tcPr>
            <w:tcW w:w="3899" w:type="dxa"/>
            <w:vAlign w:val="center"/>
          </w:tcPr>
          <w:p w:rsidR="00402E54">
            <w:pPr>
              <w:pStyle w:val="NoSpacing"/>
              <w:keepNext/>
              <w:spacing w:line="240" w:lineRule="auto"/>
              <w:jc w:val="center"/>
              <w:rPr>
                <w:rFonts w:hint="eastAsia"/>
                <w:lang w:eastAsia="en-US"/>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25</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控制权标志</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本控、遥控</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26</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系统状态</w:t>
            </w:r>
          </w:p>
        </w:tc>
        <w:tc>
          <w:tcPr>
            <w:tcW w:w="3899" w:type="dxa"/>
            <w:vAlign w:val="center"/>
          </w:tcPr>
          <w:p w:rsidR="00402E54">
            <w:pPr>
              <w:pStyle w:val="NoSpacing"/>
              <w:keepNext/>
              <w:spacing w:line="240" w:lineRule="auto"/>
              <w:jc w:val="center"/>
              <w:rPr>
                <w:rFonts w:hint="eastAsia"/>
              </w:rPr>
            </w:pPr>
            <w:r>
              <w:rPr>
                <w:rFonts w:hint="eastAsia"/>
              </w:rPr>
              <w:t>正常、可用、需维护、故障、关机</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27</w:t>
            </w:r>
          </w:p>
        </w:tc>
        <w:tc>
          <w:tcPr>
            <w:tcW w:w="3891" w:type="dxa"/>
            <w:vAlign w:val="center"/>
          </w:tcPr>
          <w:p w:rsidR="00402E54">
            <w:pPr>
              <w:pStyle w:val="NoSpacing"/>
              <w:keepNext/>
              <w:spacing w:line="240" w:lineRule="auto"/>
              <w:jc w:val="center"/>
              <w:rPr>
                <w:rFonts w:hint="eastAsia"/>
              </w:rPr>
            </w:pPr>
            <w:r>
              <w:rPr>
                <w:rFonts w:hint="eastAsia"/>
              </w:rPr>
              <w:t>上</w:t>
            </w:r>
            <w:r>
              <w:rPr>
                <w:rFonts w:hint="eastAsia"/>
              </w:rPr>
              <w:t>传状态</w:t>
            </w:r>
            <w:r>
              <w:rPr>
                <w:rFonts w:hint="eastAsia"/>
              </w:rPr>
              <w:t>数据格式版本号</w:t>
            </w:r>
          </w:p>
        </w:tc>
        <w:tc>
          <w:tcPr>
            <w:tcW w:w="3899" w:type="dxa"/>
            <w:vAlign w:val="center"/>
          </w:tcPr>
          <w:p w:rsidR="00402E54">
            <w:pPr>
              <w:pStyle w:val="NoSpacing"/>
              <w:keepNext/>
              <w:spacing w:line="240" w:lineRule="auto"/>
              <w:jc w:val="center"/>
              <w:rPr>
                <w:rFonts w:hint="eastAsia"/>
              </w:rPr>
            </w:pP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28</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雷达标记</w:t>
            </w:r>
          </w:p>
        </w:tc>
        <w:tc>
          <w:tcPr>
            <w:tcW w:w="3899" w:type="dxa"/>
            <w:vAlign w:val="center"/>
          </w:tcPr>
          <w:p w:rsidR="00402E54">
            <w:pPr>
              <w:pStyle w:val="NoSpacing"/>
              <w:keepNext/>
              <w:spacing w:line="240" w:lineRule="auto"/>
              <w:jc w:val="center"/>
              <w:rPr>
                <w:rFonts w:hint="eastAsia"/>
              </w:rPr>
            </w:pPr>
            <w:r>
              <w:rPr>
                <w:rFonts w:hint="eastAsia"/>
              </w:rPr>
              <w:t>相控阵、多普勒、双偏振</w:t>
            </w:r>
          </w:p>
        </w:tc>
      </w:tr>
      <w:tr>
        <w:tblPrEx>
          <w:tblW w:w="8314" w:type="dxa"/>
          <w:jc w:val="center"/>
          <w:tblInd w:w="0" w:type="dxa"/>
          <w:tblLook w:val="04A0"/>
        </w:tblPrEx>
        <w:trPr>
          <w:jc w:val="center"/>
        </w:trPr>
        <w:tc>
          <w:tcPr>
            <w:tcW w:w="8314" w:type="dxa"/>
            <w:gridSpan w:val="3"/>
            <w:vAlign w:val="center"/>
          </w:tcPr>
          <w:p w:rsidR="00402E54">
            <w:pPr>
              <w:pStyle w:val="NoSpacing"/>
              <w:keepNext/>
              <w:spacing w:line="240" w:lineRule="auto"/>
              <w:jc w:val="center"/>
              <w:rPr>
                <w:rFonts w:hint="eastAsia"/>
                <w:lang w:eastAsia="en-US"/>
              </w:rPr>
            </w:pPr>
            <w:r>
              <w:rPr>
                <w:rFonts w:hint="eastAsia"/>
                <w:lang w:eastAsia="en-US"/>
              </w:rPr>
              <w:t>雷达运行环境参数</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29</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阵面温度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30</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各组件温度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31</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底座温度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32</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组件总电压</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单位：V</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33</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组件总电流</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单位：A</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34</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各组件功率</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35</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各组件工作状态</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正常、警告、故障</w:t>
            </w:r>
          </w:p>
        </w:tc>
      </w:tr>
      <w:tr>
        <w:tblPrEx>
          <w:tblW w:w="8314" w:type="dxa"/>
          <w:jc w:val="center"/>
          <w:tblInd w:w="0" w:type="dxa"/>
          <w:tblLook w:val="04A0"/>
        </w:tblPrEx>
        <w:trPr>
          <w:jc w:val="center"/>
        </w:trPr>
        <w:tc>
          <w:tcPr>
            <w:tcW w:w="8314" w:type="dxa"/>
            <w:gridSpan w:val="3"/>
            <w:vAlign w:val="center"/>
          </w:tcPr>
          <w:p w:rsidR="00402E54">
            <w:pPr>
              <w:pStyle w:val="NoSpacing"/>
              <w:keepNext/>
              <w:spacing w:line="240" w:lineRule="auto"/>
              <w:jc w:val="center"/>
              <w:rPr>
                <w:rFonts w:hint="eastAsia"/>
                <w:lang w:eastAsia="en-US"/>
              </w:rPr>
            </w:pPr>
            <w:r>
              <w:rPr>
                <w:rFonts w:hint="eastAsia"/>
                <w:lang w:eastAsia="en-US"/>
              </w:rPr>
              <w:t>雷达在线标定参数</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36</w:t>
            </w:r>
          </w:p>
        </w:tc>
        <w:tc>
          <w:tcPr>
            <w:tcW w:w="3891" w:type="dxa"/>
            <w:vAlign w:val="center"/>
          </w:tcPr>
          <w:p w:rsidR="00402E54">
            <w:pPr>
              <w:pStyle w:val="NoSpacing"/>
              <w:keepNext/>
              <w:spacing w:line="240" w:lineRule="auto"/>
              <w:jc w:val="center"/>
              <w:rPr>
                <w:rFonts w:hint="eastAsia"/>
              </w:rPr>
            </w:pPr>
            <w:r>
              <w:rPr>
                <w:rFonts w:hint="eastAsia"/>
              </w:rPr>
              <w:t>水平通道滤波前回波强度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单位：dBZ</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37</w:t>
            </w:r>
          </w:p>
        </w:tc>
        <w:tc>
          <w:tcPr>
            <w:tcW w:w="3891" w:type="dxa"/>
            <w:vAlign w:val="center"/>
          </w:tcPr>
          <w:p w:rsidR="00402E54">
            <w:pPr>
              <w:pStyle w:val="NoSpacing"/>
              <w:keepNext/>
              <w:spacing w:line="240" w:lineRule="auto"/>
              <w:jc w:val="center"/>
              <w:rPr>
                <w:rFonts w:hint="eastAsia"/>
              </w:rPr>
            </w:pPr>
            <w:r>
              <w:rPr>
                <w:rFonts w:hint="eastAsia"/>
              </w:rPr>
              <w:t>水平通道滤波后回波强度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单位：dBZ</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38</w:t>
            </w:r>
          </w:p>
        </w:tc>
        <w:tc>
          <w:tcPr>
            <w:tcW w:w="3891" w:type="dxa"/>
            <w:vAlign w:val="center"/>
          </w:tcPr>
          <w:p w:rsidR="00402E54">
            <w:pPr>
              <w:pStyle w:val="NoSpacing"/>
              <w:keepNext/>
              <w:spacing w:line="240" w:lineRule="auto"/>
              <w:jc w:val="center"/>
              <w:rPr>
                <w:rFonts w:hint="eastAsia"/>
              </w:rPr>
            </w:pPr>
            <w:r>
              <w:rPr>
                <w:rFonts w:hint="eastAsia"/>
              </w:rPr>
              <w:t>垂直通道滤波前回波强度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单位：dBZ</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39</w:t>
            </w:r>
          </w:p>
        </w:tc>
        <w:tc>
          <w:tcPr>
            <w:tcW w:w="3891" w:type="dxa"/>
            <w:vAlign w:val="center"/>
          </w:tcPr>
          <w:p w:rsidR="00402E54">
            <w:pPr>
              <w:pStyle w:val="NoSpacing"/>
              <w:keepNext/>
              <w:spacing w:line="240" w:lineRule="auto"/>
              <w:jc w:val="center"/>
              <w:rPr>
                <w:rFonts w:hint="eastAsia"/>
              </w:rPr>
            </w:pPr>
            <w:r>
              <w:rPr>
                <w:rFonts w:hint="eastAsia"/>
              </w:rPr>
              <w:t>垂直通道滤波后回波强度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单位：dBZ</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40</w:t>
            </w:r>
          </w:p>
        </w:tc>
        <w:tc>
          <w:tcPr>
            <w:tcW w:w="3891" w:type="dxa"/>
            <w:vAlign w:val="center"/>
          </w:tcPr>
          <w:p w:rsidR="00402E54">
            <w:pPr>
              <w:pStyle w:val="NoSpacing"/>
              <w:keepNext/>
              <w:spacing w:line="240" w:lineRule="auto"/>
              <w:jc w:val="center"/>
              <w:rPr>
                <w:rFonts w:hint="eastAsia"/>
              </w:rPr>
            </w:pPr>
            <w:r>
              <w:rPr>
                <w:rFonts w:hint="eastAsia"/>
              </w:rPr>
              <w:t>各水平极化单元峰值功率</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41</w:t>
            </w:r>
          </w:p>
        </w:tc>
        <w:tc>
          <w:tcPr>
            <w:tcW w:w="3891" w:type="dxa"/>
            <w:vAlign w:val="center"/>
          </w:tcPr>
          <w:p w:rsidR="00402E54">
            <w:pPr>
              <w:pStyle w:val="NoSpacing"/>
              <w:keepNext/>
              <w:spacing w:line="240" w:lineRule="auto"/>
              <w:jc w:val="center"/>
              <w:rPr>
                <w:rFonts w:hint="eastAsia"/>
              </w:rPr>
            </w:pPr>
            <w:r>
              <w:rPr>
                <w:rFonts w:hint="eastAsia"/>
              </w:rPr>
              <w:t>各垂直极化单元峰值功率</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42</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水平极化短脉冲宽度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单位：μs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43</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水平极化中脉冲宽度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单位：μs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44</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水平极化长脉冲宽度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单位：μs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45</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垂直极化短脉冲宽度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单位：μs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46</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垂直极化中脉冲宽度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单位：μs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47</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垂直极化长脉冲宽度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单位：μs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48</w:t>
            </w:r>
          </w:p>
        </w:tc>
        <w:tc>
          <w:tcPr>
            <w:tcW w:w="3891" w:type="dxa"/>
            <w:vAlign w:val="center"/>
          </w:tcPr>
          <w:p w:rsidR="00402E54">
            <w:pPr>
              <w:pStyle w:val="NoSpacing"/>
              <w:keepNext/>
              <w:spacing w:line="240" w:lineRule="auto"/>
              <w:jc w:val="center"/>
              <w:rPr>
                <w:rFonts w:hint="eastAsia"/>
              </w:rPr>
            </w:pPr>
            <w:r>
              <w:rPr>
                <w:rFonts w:hint="eastAsia"/>
              </w:rPr>
              <w:t>水平极化短脉冲噪声系数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49</w:t>
            </w:r>
          </w:p>
        </w:tc>
        <w:tc>
          <w:tcPr>
            <w:tcW w:w="3891" w:type="dxa"/>
            <w:vAlign w:val="center"/>
          </w:tcPr>
          <w:p w:rsidR="00402E54">
            <w:pPr>
              <w:pStyle w:val="NoSpacing"/>
              <w:keepNext/>
              <w:spacing w:line="240" w:lineRule="auto"/>
              <w:jc w:val="center"/>
              <w:rPr>
                <w:rFonts w:hint="eastAsia"/>
              </w:rPr>
            </w:pPr>
            <w:r>
              <w:rPr>
                <w:rFonts w:hint="eastAsia"/>
              </w:rPr>
              <w:t>水平极化中脉冲噪声系数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50</w:t>
            </w:r>
          </w:p>
        </w:tc>
        <w:tc>
          <w:tcPr>
            <w:tcW w:w="3891" w:type="dxa"/>
            <w:vAlign w:val="center"/>
          </w:tcPr>
          <w:p w:rsidR="00402E54">
            <w:pPr>
              <w:pStyle w:val="NoSpacing"/>
              <w:keepNext/>
              <w:spacing w:line="240" w:lineRule="auto"/>
              <w:jc w:val="center"/>
              <w:rPr>
                <w:rFonts w:hint="eastAsia"/>
              </w:rPr>
            </w:pPr>
            <w:r>
              <w:rPr>
                <w:rFonts w:hint="eastAsia"/>
              </w:rPr>
              <w:t>水平极化长脉冲噪声系数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51</w:t>
            </w:r>
          </w:p>
        </w:tc>
        <w:tc>
          <w:tcPr>
            <w:tcW w:w="3891" w:type="dxa"/>
            <w:vAlign w:val="center"/>
          </w:tcPr>
          <w:p w:rsidR="00402E54">
            <w:pPr>
              <w:pStyle w:val="NoSpacing"/>
              <w:keepNext/>
              <w:spacing w:line="240" w:lineRule="auto"/>
              <w:jc w:val="center"/>
              <w:rPr>
                <w:rFonts w:hint="eastAsia"/>
              </w:rPr>
            </w:pPr>
            <w:r>
              <w:rPr>
                <w:rFonts w:hint="eastAsia"/>
              </w:rPr>
              <w:t>垂直极化短脉冲噪声系数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52</w:t>
            </w:r>
          </w:p>
        </w:tc>
        <w:tc>
          <w:tcPr>
            <w:tcW w:w="3891" w:type="dxa"/>
            <w:vAlign w:val="center"/>
          </w:tcPr>
          <w:p w:rsidR="00402E54">
            <w:pPr>
              <w:pStyle w:val="NoSpacing"/>
              <w:keepNext/>
              <w:spacing w:line="240" w:lineRule="auto"/>
              <w:jc w:val="center"/>
              <w:rPr>
                <w:rFonts w:hint="eastAsia"/>
              </w:rPr>
            </w:pPr>
            <w:r>
              <w:rPr>
                <w:rFonts w:hint="eastAsia"/>
              </w:rPr>
              <w:t>垂直极化中脉冲噪声系数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53</w:t>
            </w:r>
          </w:p>
        </w:tc>
        <w:tc>
          <w:tcPr>
            <w:tcW w:w="3891" w:type="dxa"/>
            <w:vAlign w:val="center"/>
          </w:tcPr>
          <w:p w:rsidR="00402E54">
            <w:pPr>
              <w:pStyle w:val="NoSpacing"/>
              <w:keepNext/>
              <w:spacing w:line="240" w:lineRule="auto"/>
              <w:jc w:val="center"/>
              <w:rPr>
                <w:rFonts w:hint="eastAsia"/>
              </w:rPr>
            </w:pPr>
            <w:r>
              <w:rPr>
                <w:rFonts w:hint="eastAsia"/>
              </w:rPr>
              <w:t>垂直极化长脉冲噪声系数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54</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反射率因子期望值</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单位：dBZ</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55</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反射率因子测量值</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单位：dBZ</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56</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速度期望值</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单位：m</w:t>
            </w:r>
            <w:r>
              <w:rPr>
                <w:rFonts w:hint="eastAsia"/>
                <w:lang w:eastAsia="en-US"/>
              </w:rPr>
              <w:t>/s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57</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速度测量值</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单位：m</w:t>
            </w:r>
            <w:r>
              <w:rPr>
                <w:rFonts w:hint="eastAsia"/>
                <w:lang w:eastAsia="en-US"/>
              </w:rPr>
              <w:t>/s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58</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谱宽期望值</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单位：m</w:t>
            </w:r>
            <w:r>
              <w:rPr>
                <w:rFonts w:hint="eastAsia"/>
                <w:lang w:eastAsia="en-US"/>
              </w:rPr>
              <w:t>/s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59</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谱宽测量值</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单位：m</w:t>
            </w:r>
            <w:r>
              <w:rPr>
                <w:rFonts w:hint="eastAsia"/>
                <w:lang w:eastAsia="en-US"/>
              </w:rPr>
              <w:t>/s</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60</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ZDR标定值</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61</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ΦDP标定值</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62</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短脉冲系统标定常数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63</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中脉冲系统标定常数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64</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长脉冲系统标定常数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65</w:t>
            </w:r>
          </w:p>
        </w:tc>
        <w:tc>
          <w:tcPr>
            <w:tcW w:w="3891" w:type="dxa"/>
            <w:vAlign w:val="center"/>
          </w:tcPr>
          <w:p w:rsidR="00402E54">
            <w:pPr>
              <w:pStyle w:val="NoSpacing"/>
              <w:keepNext/>
              <w:spacing w:line="240" w:lineRule="auto"/>
              <w:jc w:val="center"/>
              <w:rPr>
                <w:rFonts w:hint="eastAsia"/>
              </w:rPr>
            </w:pPr>
            <w:r>
              <w:rPr>
                <w:rFonts w:hint="eastAsia"/>
              </w:rPr>
              <w:t>其他脉冲宽度系统标定常数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66</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各发射单元幅度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67</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各发射单元相位</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68</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各接收单元幅度</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69</w:t>
            </w:r>
          </w:p>
        </w:tc>
        <w:tc>
          <w:tcPr>
            <w:tcW w:w="3891" w:type="dxa"/>
            <w:vAlign w:val="center"/>
          </w:tcPr>
          <w:p w:rsidR="00402E54">
            <w:pPr>
              <w:pStyle w:val="NoSpacing"/>
              <w:keepNext/>
              <w:spacing w:line="240" w:lineRule="auto"/>
              <w:jc w:val="center"/>
              <w:rPr>
                <w:rFonts w:hint="eastAsia"/>
                <w:lang w:eastAsia="en-US"/>
              </w:rPr>
            </w:pPr>
            <w:r>
              <w:rPr>
                <w:rFonts w:hint="eastAsia"/>
                <w:lang w:eastAsia="en-US"/>
              </w:rPr>
              <w:t>各接收单元相位</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70</w:t>
            </w:r>
          </w:p>
        </w:tc>
        <w:tc>
          <w:tcPr>
            <w:tcW w:w="3891" w:type="dxa"/>
            <w:vAlign w:val="center"/>
          </w:tcPr>
          <w:p w:rsidR="00402E54">
            <w:pPr>
              <w:pStyle w:val="NoSpacing"/>
              <w:keepNext/>
              <w:spacing w:line="240" w:lineRule="auto"/>
              <w:jc w:val="center"/>
              <w:rPr>
                <w:rFonts w:hint="eastAsia"/>
              </w:rPr>
            </w:pPr>
            <w:r>
              <w:rPr>
                <w:rFonts w:hint="eastAsia"/>
              </w:rPr>
              <w:t>水平极化系统发射功率</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71</w:t>
            </w:r>
          </w:p>
        </w:tc>
        <w:tc>
          <w:tcPr>
            <w:tcW w:w="3891" w:type="dxa"/>
            <w:vAlign w:val="center"/>
          </w:tcPr>
          <w:p w:rsidR="00402E54">
            <w:pPr>
              <w:pStyle w:val="NoSpacing"/>
              <w:keepNext/>
              <w:spacing w:line="240" w:lineRule="auto"/>
              <w:jc w:val="center"/>
              <w:rPr>
                <w:rFonts w:hint="eastAsia"/>
              </w:rPr>
            </w:pPr>
            <w:r>
              <w:rPr>
                <w:rFonts w:hint="eastAsia"/>
              </w:rPr>
              <w:t>垂直极化系统发射功率</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72</w:t>
            </w:r>
          </w:p>
        </w:tc>
        <w:tc>
          <w:tcPr>
            <w:tcW w:w="3891" w:type="dxa"/>
            <w:vAlign w:val="center"/>
          </w:tcPr>
          <w:p w:rsidR="00402E54">
            <w:pPr>
              <w:pStyle w:val="NoSpacing"/>
              <w:keepNext/>
              <w:spacing w:line="240" w:lineRule="auto"/>
              <w:jc w:val="center"/>
              <w:rPr>
                <w:rFonts w:hint="eastAsia"/>
              </w:rPr>
            </w:pPr>
            <w:r>
              <w:rPr>
                <w:rFonts w:hint="eastAsia"/>
              </w:rPr>
              <w:t>水平极化系统接收增益</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73</w:t>
            </w:r>
          </w:p>
        </w:tc>
        <w:tc>
          <w:tcPr>
            <w:tcW w:w="3891" w:type="dxa"/>
            <w:vAlign w:val="center"/>
          </w:tcPr>
          <w:p w:rsidR="00402E54">
            <w:pPr>
              <w:pStyle w:val="NoSpacing"/>
              <w:keepNext/>
              <w:spacing w:line="240" w:lineRule="auto"/>
              <w:jc w:val="center"/>
              <w:rPr>
                <w:rFonts w:hint="eastAsia"/>
              </w:rPr>
            </w:pPr>
            <w:r>
              <w:rPr>
                <w:rFonts w:hint="eastAsia"/>
              </w:rPr>
              <w:t>垂直极化系统接收增益</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74</w:t>
            </w:r>
          </w:p>
        </w:tc>
        <w:tc>
          <w:tcPr>
            <w:tcW w:w="3891" w:type="dxa"/>
            <w:vAlign w:val="center"/>
          </w:tcPr>
          <w:p w:rsidR="00402E54">
            <w:pPr>
              <w:pStyle w:val="NoSpacing"/>
              <w:keepNext/>
              <w:spacing w:line="240" w:lineRule="auto"/>
              <w:jc w:val="center"/>
              <w:rPr>
                <w:rFonts w:hint="eastAsia"/>
              </w:rPr>
            </w:pPr>
            <w:r>
              <w:rPr>
                <w:rFonts w:hint="eastAsia"/>
              </w:rPr>
              <w:t>各水平极化单元相位噪声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75</w:t>
            </w:r>
          </w:p>
        </w:tc>
        <w:tc>
          <w:tcPr>
            <w:tcW w:w="3891" w:type="dxa"/>
            <w:vAlign w:val="center"/>
          </w:tcPr>
          <w:p w:rsidR="00402E54">
            <w:pPr>
              <w:pStyle w:val="NoSpacing"/>
              <w:keepNext/>
              <w:spacing w:line="240" w:lineRule="auto"/>
              <w:jc w:val="center"/>
              <w:rPr>
                <w:rFonts w:hint="eastAsia"/>
              </w:rPr>
            </w:pPr>
            <w:r>
              <w:rPr>
                <w:rFonts w:hint="eastAsia"/>
              </w:rPr>
              <w:t>各垂直极化单元相位噪声</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w:t>
            </w:r>
            <w:r>
              <w:rPr>
                <w:rFonts w:hint="eastAsia"/>
                <w:lang w:eastAsia="en-US"/>
              </w:rPr>
              <w:t>：°</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76</w:t>
            </w:r>
          </w:p>
        </w:tc>
        <w:tc>
          <w:tcPr>
            <w:tcW w:w="3891" w:type="dxa"/>
            <w:vAlign w:val="center"/>
          </w:tcPr>
          <w:p w:rsidR="00402E54">
            <w:pPr>
              <w:pStyle w:val="NoSpacing"/>
              <w:keepNext/>
              <w:spacing w:line="240" w:lineRule="auto"/>
              <w:jc w:val="center"/>
              <w:rPr>
                <w:rFonts w:hint="eastAsia"/>
              </w:rPr>
            </w:pPr>
            <w:r>
              <w:rPr>
                <w:rFonts w:hint="eastAsia"/>
              </w:rPr>
              <w:t>各水平极化单元不同脉宽噪声电平</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r>
        <w:tblPrEx>
          <w:tblW w:w="8314" w:type="dxa"/>
          <w:jc w:val="center"/>
          <w:tblInd w:w="0" w:type="dxa"/>
          <w:tblLook w:val="04A0"/>
        </w:tblPrEx>
        <w:trPr>
          <w:jc w:val="center"/>
        </w:trPr>
        <w:tc>
          <w:tcPr>
            <w:tcW w:w="524" w:type="dxa"/>
            <w:vAlign w:val="center"/>
          </w:tcPr>
          <w:p w:rsidR="00402E54">
            <w:pPr>
              <w:pStyle w:val="NoSpacing"/>
              <w:keepNext/>
              <w:spacing w:line="240" w:lineRule="auto"/>
              <w:jc w:val="center"/>
              <w:rPr>
                <w:rFonts w:hint="eastAsia"/>
                <w:lang w:eastAsia="en-US"/>
              </w:rPr>
            </w:pPr>
            <w:r>
              <w:rPr>
                <w:rFonts w:hint="eastAsia"/>
                <w:lang w:eastAsia="en-US"/>
              </w:rPr>
              <w:t>77</w:t>
            </w:r>
          </w:p>
        </w:tc>
        <w:tc>
          <w:tcPr>
            <w:tcW w:w="3891" w:type="dxa"/>
            <w:vAlign w:val="center"/>
          </w:tcPr>
          <w:p w:rsidR="00402E54">
            <w:pPr>
              <w:pStyle w:val="NoSpacing"/>
              <w:keepNext/>
              <w:spacing w:line="240" w:lineRule="auto"/>
              <w:jc w:val="center"/>
              <w:rPr>
                <w:rFonts w:hint="eastAsia"/>
              </w:rPr>
            </w:pPr>
            <w:r>
              <w:rPr>
                <w:rFonts w:hint="eastAsia"/>
              </w:rPr>
              <w:t>各垂直极化单元不同脉宽噪声电平</w:t>
            </w:r>
          </w:p>
        </w:tc>
        <w:tc>
          <w:tcPr>
            <w:tcW w:w="3899" w:type="dxa"/>
            <w:vAlign w:val="center"/>
          </w:tcPr>
          <w:p w:rsidR="00402E54">
            <w:pPr>
              <w:pStyle w:val="NoSpacing"/>
              <w:keepNext/>
              <w:spacing w:line="240" w:lineRule="auto"/>
              <w:jc w:val="center"/>
              <w:rPr>
                <w:rFonts w:hint="eastAsia"/>
                <w:lang w:eastAsia="en-US"/>
              </w:rPr>
            </w:pPr>
            <w:r>
              <w:rPr>
                <w:rFonts w:hint="eastAsia"/>
                <w:lang w:eastAsia="en-US"/>
              </w:rPr>
              <w:t>单位：dB</w:t>
            </w:r>
          </w:p>
        </w:tc>
      </w:tr>
    </w:tbl>
    <w:p w:rsidR="00402E54"/>
    <w:p w:rsidR="00402E54">
      <w:pPr>
        <w:pStyle w:val="Heading3"/>
        <w:spacing w:line="240" w:lineRule="auto"/>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3.10 气象产品要求</w:t>
      </w:r>
    </w:p>
    <w:p w:rsidR="00402E54">
      <w:p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 xml:space="preserve">  气象产品包含单站软件产品和相控阵多雷达组网智能分析与应用系统软件产品。</w:t>
      </w:r>
    </w:p>
    <w:p w:rsidR="00402E54">
      <w:pPr>
        <w:pStyle w:val="Heading4"/>
        <w:ind w:firstLine="560" w:firstLineChars="200"/>
        <w:rPr>
          <w:rFonts w:ascii="仿宋_GB2312" w:eastAsia="仿宋_GB2312" w:hAnsi="仿宋_GB2312" w:cs="仿宋_GB2312" w:hint="eastAsia"/>
          <w:b/>
          <w:bCs/>
          <w:color w:val="auto"/>
        </w:rPr>
      </w:pPr>
      <w:r>
        <w:rPr>
          <w:rFonts w:ascii="仿宋_GB2312" w:eastAsia="仿宋_GB2312" w:hAnsi="仿宋_GB2312" w:cs="仿宋_GB2312" w:hint="eastAsia"/>
          <w:b/>
          <w:bCs/>
          <w:color w:val="auto"/>
        </w:rPr>
        <w:t>3.10.1 单站软件产品要求</w:t>
      </w:r>
    </w:p>
    <w:p w:rsidR="00402E54">
      <w:pPr>
        <w:pStyle w:val="Heading5"/>
        <w:spacing w:line="360" w:lineRule="auto"/>
        <w:ind w:firstLine="560" w:firstLineChars="200"/>
        <w:rPr>
          <w:rFonts w:ascii="仿宋_GB2312" w:eastAsia="仿宋_GB2312" w:hAnsi="仿宋_GB2312" w:cs="仿宋_GB2312" w:hint="eastAsia"/>
          <w:b w:val="0"/>
          <w:szCs w:val="28"/>
        </w:rPr>
      </w:pPr>
      <w:r>
        <w:rPr>
          <w:rFonts w:ascii="仿宋_GB2312" w:eastAsia="仿宋_GB2312" w:hAnsi="仿宋_GB2312" w:cs="仿宋_GB2312" w:hint="eastAsia"/>
          <w:b w:val="0"/>
          <w:szCs w:val="28"/>
        </w:rPr>
        <w:t>3.10.1.1质控算法技术指标</w:t>
      </w:r>
    </w:p>
    <w:p w:rsidR="00402E54">
      <w:pPr>
        <w:spacing w:line="360" w:lineRule="auto"/>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质量控制算法不少于7种，利用不少于3年的雷达标准数据集进行评估，算法质量需满足指标要求，具体见表。</w:t>
      </w:r>
    </w:p>
    <w:tbl>
      <w:tblPr>
        <w:tblStyle w:val="TableNormal0"/>
        <w:tblpPr w:leftFromText="180" w:rightFromText="180" w:vertAnchor="text" w:tblpXSpec="center" w:tblpY="1"/>
        <w:tblOverlap w:val="never"/>
        <w:tblW w:w="8522"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406"/>
        <w:gridCol w:w="3482"/>
        <w:gridCol w:w="4634"/>
      </w:tblGrid>
      <w:tr>
        <w:tblPrEx>
          <w:tblW w:w="8522"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blHeader/>
        </w:trPr>
        <w:tc>
          <w:tcPr>
            <w:tcW w:w="405" w:type="dxa"/>
            <w:vAlign w:val="center"/>
          </w:tcPr>
          <w:p w:rsidR="00402E54">
            <w:pPr>
              <w:pStyle w:val="NoSpacing"/>
              <w:keepNext/>
              <w:spacing w:line="240" w:lineRule="auto"/>
              <w:jc w:val="center"/>
              <w:rPr>
                <w:rFonts w:hint="eastAsia"/>
                <w:b/>
                <w:lang w:eastAsia="en-US"/>
              </w:rPr>
            </w:pPr>
            <w:r>
              <w:rPr>
                <w:rFonts w:hint="eastAsia"/>
                <w:b/>
                <w:lang w:eastAsia="en-US"/>
              </w:rPr>
              <w:t>序号</w:t>
            </w:r>
          </w:p>
        </w:tc>
        <w:tc>
          <w:tcPr>
            <w:tcW w:w="3475" w:type="dxa"/>
            <w:vAlign w:val="center"/>
          </w:tcPr>
          <w:p w:rsidR="00402E54">
            <w:pPr>
              <w:pStyle w:val="NoSpacing"/>
              <w:keepNext/>
              <w:spacing w:line="240" w:lineRule="auto"/>
              <w:jc w:val="center"/>
              <w:rPr>
                <w:rFonts w:hint="eastAsia"/>
                <w:b/>
                <w:lang w:eastAsia="en-US"/>
              </w:rPr>
            </w:pPr>
            <w:r>
              <w:rPr>
                <w:rFonts w:hint="eastAsia"/>
                <w:b/>
                <w:lang w:eastAsia="en-US"/>
              </w:rPr>
              <w:t>算法名称</w:t>
            </w:r>
          </w:p>
        </w:tc>
        <w:tc>
          <w:tcPr>
            <w:tcW w:w="4624" w:type="dxa"/>
            <w:vAlign w:val="center"/>
          </w:tcPr>
          <w:p w:rsidR="00402E54">
            <w:pPr>
              <w:pStyle w:val="NoSpacing"/>
              <w:keepNext/>
              <w:spacing w:line="240" w:lineRule="auto"/>
              <w:jc w:val="center"/>
              <w:rPr>
                <w:rFonts w:hint="eastAsia"/>
                <w:b/>
                <w:lang w:eastAsia="en-US"/>
              </w:rPr>
            </w:pPr>
            <w:r>
              <w:rPr>
                <w:rFonts w:hint="eastAsia"/>
                <w:b/>
                <w:lang w:eastAsia="en-US"/>
              </w:rPr>
              <w:t>指标要求</w:t>
            </w:r>
          </w:p>
        </w:tc>
      </w:tr>
      <w:tr>
        <w:tblPrEx>
          <w:tblW w:w="8522" w:type="dxa"/>
          <w:tblInd w:w="0" w:type="dxa"/>
          <w:tblLayout w:type="fixed"/>
          <w:tblLook w:val="04A0"/>
        </w:tblPrEx>
        <w:tc>
          <w:tcPr>
            <w:tcW w:w="405" w:type="dxa"/>
            <w:vAlign w:val="center"/>
          </w:tcPr>
          <w:p w:rsidR="00402E54">
            <w:pPr>
              <w:pStyle w:val="NoSpacing"/>
              <w:keepNext/>
              <w:spacing w:line="240" w:lineRule="auto"/>
              <w:jc w:val="center"/>
              <w:rPr>
                <w:rFonts w:hint="eastAsia"/>
                <w:lang w:eastAsia="en-US"/>
              </w:rPr>
            </w:pPr>
            <w:r>
              <w:rPr>
                <w:rFonts w:hint="eastAsia"/>
                <w:lang w:eastAsia="en-US"/>
              </w:rPr>
              <w:t>1</w:t>
            </w:r>
          </w:p>
        </w:tc>
        <w:tc>
          <w:tcPr>
            <w:tcW w:w="3475" w:type="dxa"/>
            <w:vAlign w:val="center"/>
          </w:tcPr>
          <w:p w:rsidR="00402E54">
            <w:pPr>
              <w:pStyle w:val="NoSpacing"/>
              <w:keepNext/>
              <w:spacing w:line="240" w:lineRule="auto"/>
              <w:jc w:val="center"/>
              <w:rPr>
                <w:rFonts w:hint="eastAsia"/>
                <w:lang w:eastAsia="en-US"/>
              </w:rPr>
            </w:pPr>
            <w:r>
              <w:rPr>
                <w:rFonts w:hint="eastAsia"/>
                <w:lang w:eastAsia="en-US"/>
              </w:rPr>
              <w:t>反射率因子衰减订正</w:t>
            </w:r>
          </w:p>
        </w:tc>
        <w:tc>
          <w:tcPr>
            <w:tcW w:w="4624" w:type="dxa"/>
            <w:vAlign w:val="center"/>
          </w:tcPr>
          <w:p w:rsidR="00402E54">
            <w:pPr>
              <w:pStyle w:val="NoSpacing"/>
              <w:keepNext/>
              <w:spacing w:line="240" w:lineRule="auto"/>
              <w:jc w:val="center"/>
              <w:rPr>
                <w:rFonts w:hint="eastAsia"/>
              </w:rPr>
            </w:pPr>
            <w:r>
              <w:rPr>
                <w:rFonts w:hint="eastAsia"/>
              </w:rPr>
              <w:t>衰减订正后，与相邻S波段雷达相比平均偏差≤2.5dB</w:t>
            </w:r>
          </w:p>
        </w:tc>
      </w:tr>
      <w:tr>
        <w:tblPrEx>
          <w:tblW w:w="8522" w:type="dxa"/>
          <w:tblInd w:w="0" w:type="dxa"/>
          <w:tblLayout w:type="fixed"/>
          <w:tblLook w:val="04A0"/>
        </w:tblPrEx>
        <w:tc>
          <w:tcPr>
            <w:tcW w:w="405" w:type="dxa"/>
            <w:vAlign w:val="center"/>
          </w:tcPr>
          <w:p w:rsidR="00402E54">
            <w:pPr>
              <w:pStyle w:val="NoSpacing"/>
              <w:keepNext/>
              <w:spacing w:line="240" w:lineRule="auto"/>
              <w:jc w:val="center"/>
              <w:rPr>
                <w:rFonts w:hint="eastAsia"/>
                <w:lang w:eastAsia="en-US"/>
              </w:rPr>
            </w:pPr>
            <w:r>
              <w:rPr>
                <w:rFonts w:hint="eastAsia"/>
                <w:lang w:eastAsia="en-US"/>
              </w:rPr>
              <w:t>2</w:t>
            </w:r>
          </w:p>
        </w:tc>
        <w:tc>
          <w:tcPr>
            <w:tcW w:w="3475" w:type="dxa"/>
            <w:vAlign w:val="center"/>
          </w:tcPr>
          <w:p w:rsidR="00402E54">
            <w:pPr>
              <w:pStyle w:val="NoSpacing"/>
              <w:keepNext/>
              <w:spacing w:line="240" w:lineRule="auto"/>
              <w:jc w:val="center"/>
              <w:rPr>
                <w:rFonts w:hint="eastAsia"/>
              </w:rPr>
            </w:pPr>
            <w:r>
              <w:rPr>
                <w:rFonts w:hint="eastAsia"/>
              </w:rPr>
              <w:t>差分反射率因子衰减订正</w:t>
            </w:r>
          </w:p>
        </w:tc>
        <w:tc>
          <w:tcPr>
            <w:tcW w:w="4624" w:type="dxa"/>
            <w:vAlign w:val="center"/>
          </w:tcPr>
          <w:p w:rsidR="00402E54">
            <w:pPr>
              <w:pStyle w:val="NoSpacing"/>
              <w:keepNext/>
              <w:spacing w:line="240" w:lineRule="auto"/>
              <w:jc w:val="center"/>
              <w:rPr>
                <w:rFonts w:hint="eastAsia"/>
              </w:rPr>
            </w:pPr>
            <w:r>
              <w:rPr>
                <w:rFonts w:hint="eastAsia"/>
              </w:rPr>
              <w:t>衰减订正后，与相邻S波段雷达相比平均偏差≤0.5dB</w:t>
            </w:r>
          </w:p>
        </w:tc>
      </w:tr>
      <w:tr>
        <w:tblPrEx>
          <w:tblW w:w="8522" w:type="dxa"/>
          <w:tblInd w:w="0" w:type="dxa"/>
          <w:tblLayout w:type="fixed"/>
          <w:tblLook w:val="04A0"/>
        </w:tblPrEx>
        <w:tc>
          <w:tcPr>
            <w:tcW w:w="405" w:type="dxa"/>
            <w:vAlign w:val="center"/>
          </w:tcPr>
          <w:p w:rsidR="00402E54">
            <w:pPr>
              <w:pStyle w:val="NoSpacing"/>
              <w:keepNext/>
              <w:spacing w:line="240" w:lineRule="auto"/>
              <w:jc w:val="center"/>
              <w:rPr>
                <w:rFonts w:hint="eastAsia"/>
                <w:lang w:eastAsia="en-US"/>
              </w:rPr>
            </w:pPr>
            <w:r>
              <w:rPr>
                <w:rFonts w:hint="eastAsia"/>
                <w:lang w:eastAsia="en-US"/>
              </w:rPr>
              <w:t>3</w:t>
            </w:r>
          </w:p>
        </w:tc>
        <w:tc>
          <w:tcPr>
            <w:tcW w:w="3475" w:type="dxa"/>
            <w:vAlign w:val="center"/>
          </w:tcPr>
          <w:p w:rsidR="00402E54">
            <w:pPr>
              <w:pStyle w:val="NoSpacing"/>
              <w:keepNext/>
              <w:spacing w:line="240" w:lineRule="auto"/>
              <w:jc w:val="center"/>
              <w:rPr>
                <w:rFonts w:hint="eastAsia"/>
                <w:lang w:eastAsia="en-US"/>
              </w:rPr>
            </w:pPr>
            <w:r>
              <w:rPr>
                <w:rFonts w:hint="eastAsia"/>
                <w:lang w:eastAsia="en-US"/>
              </w:rPr>
              <w:t>地物、超折射、海浪等非降水回波消除</w:t>
            </w:r>
          </w:p>
        </w:tc>
        <w:tc>
          <w:tcPr>
            <w:tcW w:w="4624" w:type="dxa"/>
            <w:vAlign w:val="center"/>
          </w:tcPr>
          <w:p w:rsidR="00402E54">
            <w:pPr>
              <w:pStyle w:val="NoSpacing"/>
              <w:keepNext/>
              <w:spacing w:line="240" w:lineRule="auto"/>
              <w:jc w:val="center"/>
              <w:rPr>
                <w:rFonts w:hint="eastAsia"/>
              </w:rPr>
            </w:pPr>
            <w:r>
              <w:rPr>
                <w:rFonts w:hint="eastAsia"/>
              </w:rPr>
              <w:t>非降水回波识别准确率≥90%，且降水回波误判率≤5%</w:t>
            </w:r>
          </w:p>
        </w:tc>
      </w:tr>
      <w:tr>
        <w:tblPrEx>
          <w:tblW w:w="8522" w:type="dxa"/>
          <w:tblInd w:w="0" w:type="dxa"/>
          <w:tblLayout w:type="fixed"/>
          <w:tblLook w:val="04A0"/>
        </w:tblPrEx>
        <w:tc>
          <w:tcPr>
            <w:tcW w:w="405" w:type="dxa"/>
            <w:vAlign w:val="center"/>
          </w:tcPr>
          <w:p w:rsidR="00402E54">
            <w:pPr>
              <w:pStyle w:val="NoSpacing"/>
              <w:keepNext/>
              <w:spacing w:line="240" w:lineRule="auto"/>
              <w:jc w:val="center"/>
              <w:rPr>
                <w:rFonts w:hint="eastAsia"/>
                <w:lang w:eastAsia="en-US"/>
              </w:rPr>
            </w:pPr>
            <w:r>
              <w:rPr>
                <w:rFonts w:hint="eastAsia"/>
                <w:lang w:eastAsia="en-US"/>
              </w:rPr>
              <w:t>4</w:t>
            </w:r>
          </w:p>
        </w:tc>
        <w:tc>
          <w:tcPr>
            <w:tcW w:w="3475" w:type="dxa"/>
            <w:vAlign w:val="center"/>
          </w:tcPr>
          <w:p w:rsidR="00402E54">
            <w:pPr>
              <w:pStyle w:val="NoSpacing"/>
              <w:keepNext/>
              <w:spacing w:line="240" w:lineRule="auto"/>
              <w:jc w:val="center"/>
              <w:rPr>
                <w:rFonts w:hint="eastAsia"/>
                <w:lang w:eastAsia="en-US"/>
              </w:rPr>
            </w:pPr>
            <w:r>
              <w:rPr>
                <w:rFonts w:hint="eastAsia"/>
                <w:lang w:eastAsia="en-US"/>
              </w:rPr>
              <w:t>径向干扰剔除</w:t>
            </w:r>
          </w:p>
        </w:tc>
        <w:tc>
          <w:tcPr>
            <w:tcW w:w="4624" w:type="dxa"/>
            <w:vAlign w:val="center"/>
          </w:tcPr>
          <w:p w:rsidR="00402E54">
            <w:pPr>
              <w:pStyle w:val="NoSpacing"/>
              <w:keepNext/>
              <w:spacing w:line="240" w:lineRule="auto"/>
              <w:jc w:val="center"/>
              <w:rPr>
                <w:rFonts w:hint="eastAsia"/>
              </w:rPr>
            </w:pPr>
            <w:r>
              <w:rPr>
                <w:rFonts w:hint="eastAsia"/>
              </w:rPr>
              <w:t>径向干扰识别准确率≥90%，且降水回波误判率≤5%</w:t>
            </w:r>
          </w:p>
        </w:tc>
      </w:tr>
      <w:tr>
        <w:tblPrEx>
          <w:tblW w:w="8522" w:type="dxa"/>
          <w:tblInd w:w="0" w:type="dxa"/>
          <w:tblLayout w:type="fixed"/>
          <w:tblLook w:val="04A0"/>
        </w:tblPrEx>
        <w:tc>
          <w:tcPr>
            <w:tcW w:w="405" w:type="dxa"/>
            <w:vAlign w:val="center"/>
          </w:tcPr>
          <w:p w:rsidR="00402E54">
            <w:pPr>
              <w:pStyle w:val="NoSpacing"/>
              <w:keepNext/>
              <w:spacing w:line="240" w:lineRule="auto"/>
              <w:jc w:val="center"/>
              <w:rPr>
                <w:rFonts w:hint="eastAsia"/>
                <w:lang w:eastAsia="en-US"/>
              </w:rPr>
            </w:pPr>
            <w:r>
              <w:rPr>
                <w:rFonts w:hint="eastAsia"/>
                <w:lang w:eastAsia="en-US"/>
              </w:rPr>
              <w:t>5</w:t>
            </w:r>
          </w:p>
        </w:tc>
        <w:tc>
          <w:tcPr>
            <w:tcW w:w="3475" w:type="dxa"/>
            <w:vAlign w:val="center"/>
          </w:tcPr>
          <w:p w:rsidR="00402E54">
            <w:pPr>
              <w:pStyle w:val="NoSpacing"/>
              <w:keepNext/>
              <w:spacing w:line="240" w:lineRule="auto"/>
              <w:jc w:val="center"/>
              <w:rPr>
                <w:rFonts w:hint="eastAsia"/>
                <w:lang w:eastAsia="en-US"/>
              </w:rPr>
            </w:pPr>
            <w:r>
              <w:rPr>
                <w:rFonts w:hint="eastAsia"/>
                <w:lang w:eastAsia="en-US"/>
              </w:rPr>
              <w:t>径向速度退模糊</w:t>
            </w:r>
          </w:p>
        </w:tc>
        <w:tc>
          <w:tcPr>
            <w:tcW w:w="4624" w:type="dxa"/>
            <w:vAlign w:val="center"/>
          </w:tcPr>
          <w:p w:rsidR="00402E54">
            <w:pPr>
              <w:pStyle w:val="NoSpacing"/>
              <w:keepNext/>
              <w:spacing w:line="240" w:lineRule="auto"/>
              <w:jc w:val="center"/>
              <w:rPr>
                <w:rFonts w:hint="eastAsia"/>
                <w:lang w:eastAsia="en-US"/>
              </w:rPr>
            </w:pPr>
            <w:r>
              <w:rPr>
                <w:rFonts w:hint="eastAsia"/>
                <w:lang w:eastAsia="en-US"/>
              </w:rPr>
              <w:t>速度退模糊正确率≥90%，且标准偏差≤2m/s</w:t>
            </w:r>
          </w:p>
        </w:tc>
      </w:tr>
      <w:tr>
        <w:tblPrEx>
          <w:tblW w:w="8522" w:type="dxa"/>
          <w:tblInd w:w="0" w:type="dxa"/>
          <w:tblLayout w:type="fixed"/>
          <w:tblLook w:val="04A0"/>
        </w:tblPrEx>
        <w:tc>
          <w:tcPr>
            <w:tcW w:w="405" w:type="dxa"/>
            <w:vAlign w:val="center"/>
          </w:tcPr>
          <w:p w:rsidR="00402E54">
            <w:pPr>
              <w:pStyle w:val="NoSpacing"/>
              <w:keepNext/>
              <w:spacing w:line="240" w:lineRule="auto"/>
              <w:jc w:val="center"/>
              <w:rPr>
                <w:rFonts w:hint="eastAsia"/>
                <w:lang w:eastAsia="en-US"/>
              </w:rPr>
            </w:pPr>
            <w:r>
              <w:rPr>
                <w:rFonts w:hint="eastAsia"/>
                <w:lang w:eastAsia="en-US"/>
              </w:rPr>
              <w:t>6</w:t>
            </w:r>
          </w:p>
        </w:tc>
        <w:tc>
          <w:tcPr>
            <w:tcW w:w="3475" w:type="dxa"/>
            <w:vAlign w:val="center"/>
          </w:tcPr>
          <w:p w:rsidR="00402E54">
            <w:pPr>
              <w:pStyle w:val="NoSpacing"/>
              <w:keepNext/>
              <w:spacing w:line="240" w:lineRule="auto"/>
              <w:jc w:val="center"/>
              <w:rPr>
                <w:rFonts w:hint="eastAsia"/>
                <w:lang w:eastAsia="en-US"/>
              </w:rPr>
            </w:pPr>
            <w:r>
              <w:rPr>
                <w:rFonts w:hint="eastAsia"/>
                <w:lang w:eastAsia="en-US"/>
              </w:rPr>
              <w:t>差分相移退折叠</w:t>
            </w:r>
          </w:p>
        </w:tc>
        <w:tc>
          <w:tcPr>
            <w:tcW w:w="4624" w:type="dxa"/>
            <w:vAlign w:val="center"/>
          </w:tcPr>
          <w:p w:rsidR="00402E54">
            <w:pPr>
              <w:pStyle w:val="NoSpacing"/>
              <w:keepNext/>
              <w:spacing w:line="240" w:lineRule="auto"/>
              <w:jc w:val="center"/>
              <w:rPr>
                <w:rFonts w:hint="eastAsia"/>
                <w:lang w:eastAsia="en-US"/>
              </w:rPr>
            </w:pPr>
            <w:r>
              <w:rPr>
                <w:rFonts w:hint="eastAsia"/>
                <w:lang w:eastAsia="en-US"/>
              </w:rPr>
              <w:t>退折叠正确率≥95%</w:t>
            </w:r>
          </w:p>
        </w:tc>
      </w:tr>
      <w:tr>
        <w:tblPrEx>
          <w:tblW w:w="8522" w:type="dxa"/>
          <w:tblInd w:w="0" w:type="dxa"/>
          <w:tblLayout w:type="fixed"/>
          <w:tblLook w:val="04A0"/>
        </w:tblPrEx>
        <w:tc>
          <w:tcPr>
            <w:tcW w:w="395" w:type="dxa"/>
            <w:vAlign w:val="center"/>
          </w:tcPr>
          <w:p w:rsidR="00402E54">
            <w:pPr>
              <w:pStyle w:val="NoSpacing"/>
              <w:keepNext/>
              <w:spacing w:line="240" w:lineRule="auto"/>
              <w:jc w:val="center"/>
              <w:rPr>
                <w:rFonts w:hint="eastAsia"/>
                <w:lang w:eastAsia="en-US"/>
              </w:rPr>
            </w:pPr>
            <w:r>
              <w:rPr>
                <w:rFonts w:hint="eastAsia"/>
                <w:lang w:eastAsia="en-US"/>
              </w:rPr>
              <w:t>7</w:t>
            </w:r>
          </w:p>
        </w:tc>
        <w:tc>
          <w:tcPr>
            <w:tcW w:w="3475" w:type="dxa"/>
            <w:vAlign w:val="center"/>
          </w:tcPr>
          <w:p w:rsidR="00402E54">
            <w:pPr>
              <w:pStyle w:val="NoSpacing"/>
              <w:keepNext/>
              <w:spacing w:line="240" w:lineRule="auto"/>
              <w:jc w:val="center"/>
              <w:rPr>
                <w:rFonts w:hint="eastAsia"/>
                <w:lang w:eastAsia="en-US"/>
              </w:rPr>
            </w:pPr>
            <w:r>
              <w:rPr>
                <w:rFonts w:hint="eastAsia"/>
                <w:lang w:eastAsia="en-US"/>
              </w:rPr>
              <w:t>差分传播相移率估算</w:t>
            </w:r>
          </w:p>
        </w:tc>
        <w:tc>
          <w:tcPr>
            <w:tcW w:w="4624" w:type="dxa"/>
            <w:vAlign w:val="center"/>
          </w:tcPr>
          <w:p w:rsidR="00402E54">
            <w:pPr>
              <w:pStyle w:val="NoSpacing"/>
              <w:keepNext/>
              <w:spacing w:line="240" w:lineRule="auto"/>
              <w:jc w:val="center"/>
              <w:rPr>
                <w:rFonts w:hint="eastAsia"/>
                <w:lang w:eastAsia="en-US"/>
              </w:rPr>
            </w:pPr>
            <w:r>
              <w:rPr>
                <w:rFonts w:hint="eastAsia"/>
                <w:lang w:eastAsia="en-US"/>
              </w:rPr>
              <w:t>满足合理性评估要求</w:t>
            </w:r>
          </w:p>
        </w:tc>
      </w:tr>
    </w:tbl>
    <w:p w:rsidR="00402E54">
      <w:pPr>
        <w:pStyle w:val="Heading5"/>
        <w:ind w:firstLine="560" w:firstLineChars="200"/>
        <w:rPr>
          <w:rFonts w:ascii="仿宋_GB2312" w:eastAsia="仿宋_GB2312" w:hAnsi="仿宋_GB2312" w:cs="仿宋_GB2312" w:hint="eastAsia"/>
          <w:b w:val="0"/>
          <w:szCs w:val="28"/>
        </w:rPr>
      </w:pPr>
      <w:r>
        <w:rPr>
          <w:rFonts w:ascii="仿宋_GB2312" w:eastAsia="仿宋_GB2312" w:hAnsi="仿宋_GB2312" w:cs="仿宋_GB2312" w:hint="eastAsia"/>
          <w:b w:val="0"/>
          <w:szCs w:val="28"/>
        </w:rPr>
        <w:t>3.10.1.2基本产品技术指标</w:t>
      </w:r>
    </w:p>
    <w:tbl>
      <w:tblPr>
        <w:tblStyle w:val="TableNormal0"/>
        <w:tblpPr w:leftFromText="180" w:rightFromText="180" w:vertAnchor="text" w:tblpXSpec="center" w:tblpY="1"/>
        <w:tblOverlap w:val="never"/>
        <w:tblW w:w="4999"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1291"/>
        <w:gridCol w:w="4448"/>
        <w:gridCol w:w="2559"/>
      </w:tblGrid>
      <w:tr>
        <w:tblPrEx>
          <w:tblW w:w="4999"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Ex>
        <w:trPr>
          <w:tblHeader/>
          <w:jc w:val="center"/>
        </w:trPr>
        <w:tc>
          <w:tcPr>
            <w:tcW w:w="778" w:type="pct"/>
            <w:vAlign w:val="center"/>
          </w:tcPr>
          <w:p w:rsidR="00402E54">
            <w:pPr>
              <w:pStyle w:val="NoSpacing"/>
              <w:keepNext/>
              <w:spacing w:line="240" w:lineRule="auto"/>
              <w:jc w:val="center"/>
              <w:rPr>
                <w:rFonts w:hint="eastAsia"/>
                <w:b/>
                <w:lang w:eastAsia="en-US"/>
              </w:rPr>
            </w:pPr>
            <w:r>
              <w:rPr>
                <w:rFonts w:hint="eastAsia"/>
                <w:b/>
                <w:lang w:eastAsia="en-US"/>
              </w:rPr>
              <w:t>序号</w:t>
            </w:r>
          </w:p>
        </w:tc>
        <w:tc>
          <w:tcPr>
            <w:tcW w:w="2679" w:type="pct"/>
            <w:vAlign w:val="center"/>
          </w:tcPr>
          <w:p w:rsidR="00402E54">
            <w:pPr>
              <w:pStyle w:val="NoSpacing"/>
              <w:keepNext/>
              <w:spacing w:line="240" w:lineRule="auto"/>
              <w:jc w:val="center"/>
              <w:rPr>
                <w:rFonts w:hint="eastAsia"/>
                <w:b/>
                <w:lang w:eastAsia="en-US"/>
              </w:rPr>
            </w:pPr>
            <w:r>
              <w:rPr>
                <w:rFonts w:hint="eastAsia"/>
                <w:b/>
                <w:lang w:eastAsia="en-US"/>
              </w:rPr>
              <w:t>产品名称</w:t>
            </w:r>
          </w:p>
        </w:tc>
        <w:tc>
          <w:tcPr>
            <w:tcW w:w="1542" w:type="pct"/>
            <w:vAlign w:val="center"/>
          </w:tcPr>
          <w:p w:rsidR="00402E54">
            <w:pPr>
              <w:pStyle w:val="NoSpacing"/>
              <w:keepNext/>
              <w:spacing w:line="240" w:lineRule="auto"/>
              <w:jc w:val="center"/>
              <w:rPr>
                <w:rFonts w:hint="eastAsia"/>
                <w:b/>
                <w:lang w:eastAsia="en-US"/>
              </w:rPr>
            </w:pPr>
            <w:r>
              <w:rPr>
                <w:rFonts w:hint="eastAsia"/>
                <w:b/>
                <w:lang w:eastAsia="en-US"/>
              </w:rPr>
              <w:t>产品标识</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1</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滤波前回波强度</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TR</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2</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滤波后回波强度</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R</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3</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径向速度</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V</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4</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速度谱宽</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SW</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5</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差分反射率因子</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ZDR</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6</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差分传播相移</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PDP</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7</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差分传播相移率</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KDP</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8</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相关系数</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CC</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9</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水平通道信噪比</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SNRH</w:t>
            </w:r>
          </w:p>
        </w:tc>
      </w:tr>
      <w:tr>
        <w:tblPrEx>
          <w:tblW w:w="4999" w:type="pct"/>
          <w:jc w:val="center"/>
          <w:tblInd w:w="0" w:type="dxa"/>
          <w:tblLook w:val="04A0"/>
        </w:tblPrEx>
        <w:trPr>
          <w:jc w:val="center"/>
        </w:trPr>
        <w:tc>
          <w:tcPr>
            <w:tcW w:w="778" w:type="pct"/>
            <w:vAlign w:val="center"/>
          </w:tcPr>
          <w:p w:rsidR="00402E54">
            <w:pPr>
              <w:pStyle w:val="NoSpacing"/>
              <w:keepNext/>
              <w:spacing w:line="240" w:lineRule="auto"/>
              <w:jc w:val="center"/>
              <w:rPr>
                <w:rFonts w:hint="eastAsia"/>
                <w:lang w:eastAsia="en-US"/>
              </w:rPr>
            </w:pPr>
            <w:r>
              <w:rPr>
                <w:rFonts w:hint="eastAsia"/>
                <w:lang w:eastAsia="en-US"/>
              </w:rPr>
              <w:t>10</w:t>
            </w:r>
          </w:p>
        </w:tc>
        <w:tc>
          <w:tcPr>
            <w:tcW w:w="2679" w:type="pct"/>
            <w:vAlign w:val="center"/>
          </w:tcPr>
          <w:p w:rsidR="00402E54">
            <w:pPr>
              <w:pStyle w:val="NoSpacing"/>
              <w:keepNext/>
              <w:spacing w:line="240" w:lineRule="auto"/>
              <w:jc w:val="center"/>
              <w:rPr>
                <w:rFonts w:hint="eastAsia"/>
                <w:lang w:eastAsia="en-US"/>
              </w:rPr>
            </w:pPr>
            <w:r>
              <w:rPr>
                <w:rFonts w:hint="eastAsia"/>
                <w:lang w:eastAsia="en-US"/>
              </w:rPr>
              <w:t>垂直通道信噪比</w:t>
            </w:r>
          </w:p>
        </w:tc>
        <w:tc>
          <w:tcPr>
            <w:tcW w:w="1542" w:type="pct"/>
            <w:vAlign w:val="center"/>
          </w:tcPr>
          <w:p w:rsidR="00402E54">
            <w:pPr>
              <w:pStyle w:val="NoSpacing"/>
              <w:keepNext/>
              <w:spacing w:line="240" w:lineRule="auto"/>
              <w:jc w:val="center"/>
              <w:rPr>
                <w:rFonts w:hint="eastAsia"/>
                <w:lang w:eastAsia="en-US"/>
              </w:rPr>
            </w:pPr>
            <w:r>
              <w:rPr>
                <w:rFonts w:hint="eastAsia"/>
                <w:lang w:eastAsia="en-US"/>
              </w:rPr>
              <w:t>SNRV</w:t>
            </w:r>
          </w:p>
        </w:tc>
      </w:tr>
    </w:tbl>
    <w:p w:rsidR="00402E54">
      <w:pPr>
        <w:pStyle w:val="Heading5"/>
        <w:spacing w:line="360" w:lineRule="auto"/>
        <w:ind w:firstLine="560" w:firstLineChars="200"/>
        <w:rPr>
          <w:rFonts w:ascii="仿宋_GB2312" w:eastAsia="仿宋_GB2312" w:hAnsi="仿宋_GB2312" w:cs="仿宋_GB2312" w:hint="eastAsia"/>
          <w:b w:val="0"/>
          <w:szCs w:val="28"/>
        </w:rPr>
      </w:pPr>
      <w:r>
        <w:rPr>
          <w:rFonts w:ascii="仿宋_GB2312" w:eastAsia="仿宋_GB2312" w:hAnsi="仿宋_GB2312" w:cs="仿宋_GB2312" w:hint="eastAsia"/>
          <w:b w:val="0"/>
          <w:szCs w:val="28"/>
        </w:rPr>
        <w:t>3.10.1.3 二次产品技术指标</w:t>
      </w:r>
    </w:p>
    <w:p w:rsidR="00402E54">
      <w:pPr>
        <w:spacing w:line="360" w:lineRule="auto"/>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二次产品包括物理量产品和识别类产品2类，其中物理量产品不少于14种、识别类产品不少于9种。如表所示。</w:t>
      </w:r>
    </w:p>
    <w:p w:rsidR="00402E54">
      <w:pPr>
        <w:spacing w:line="360" w:lineRule="auto"/>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二次产品需利用不少于3年的雷达标准数据集，对产品的合理性进行评估，即利用探测覆盖区域重叠的最相邻机械扫描雷达生成的对应产品进行一致性、连续性对比，判断产品的变化是否一致，前后时序变化是否连续等。</w:t>
      </w:r>
    </w:p>
    <w:tbl>
      <w:tblPr>
        <w:tblStyle w:val="TableNormal0"/>
        <w:tblpPr w:leftFromText="180" w:rightFromText="180" w:vertAnchor="text" w:tblpXSpec="center" w:tblpY="1"/>
        <w:tblOverlap w:val="never"/>
        <w:tblW w:w="8315"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799"/>
        <w:gridCol w:w="1587"/>
        <w:gridCol w:w="4342"/>
        <w:gridCol w:w="1587"/>
      </w:tblGrid>
      <w:tr>
        <w:tblPrEx>
          <w:tblW w:w="8315"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Ex>
        <w:trPr>
          <w:tblHeader/>
        </w:trPr>
        <w:tc>
          <w:tcPr>
            <w:tcW w:w="0" w:type="auto"/>
            <w:vAlign w:val="center"/>
          </w:tcPr>
          <w:p w:rsidR="00402E54">
            <w:pPr>
              <w:pStyle w:val="NoSpacing"/>
              <w:keepNext/>
              <w:spacing w:line="240" w:lineRule="auto"/>
              <w:jc w:val="center"/>
              <w:rPr>
                <w:rFonts w:hint="eastAsia"/>
                <w:b/>
                <w:lang w:eastAsia="en-US"/>
              </w:rPr>
            </w:pPr>
            <w:r>
              <w:rPr>
                <w:rFonts w:hint="eastAsia"/>
                <w:b/>
                <w:lang w:eastAsia="en-US"/>
              </w:rPr>
              <w:t>序号</w:t>
            </w:r>
          </w:p>
        </w:tc>
        <w:tc>
          <w:tcPr>
            <w:tcW w:w="0" w:type="auto"/>
            <w:vAlign w:val="center"/>
          </w:tcPr>
          <w:p w:rsidR="00402E54">
            <w:pPr>
              <w:pStyle w:val="NoSpacing"/>
              <w:keepNext/>
              <w:spacing w:line="240" w:lineRule="auto"/>
              <w:jc w:val="center"/>
              <w:rPr>
                <w:rFonts w:hint="eastAsia"/>
                <w:b/>
                <w:lang w:eastAsia="en-US"/>
              </w:rPr>
            </w:pPr>
            <w:r>
              <w:rPr>
                <w:rFonts w:hint="eastAsia"/>
                <w:b/>
                <w:lang w:eastAsia="en-US"/>
              </w:rPr>
              <w:t>类别</w:t>
            </w:r>
          </w:p>
        </w:tc>
        <w:tc>
          <w:tcPr>
            <w:tcW w:w="0" w:type="auto"/>
            <w:vAlign w:val="center"/>
          </w:tcPr>
          <w:p w:rsidR="00402E54">
            <w:pPr>
              <w:pStyle w:val="NoSpacing"/>
              <w:keepNext/>
              <w:spacing w:line="240" w:lineRule="auto"/>
              <w:jc w:val="center"/>
              <w:rPr>
                <w:rFonts w:hint="eastAsia"/>
                <w:b/>
                <w:lang w:eastAsia="en-US"/>
              </w:rPr>
            </w:pPr>
            <w:r>
              <w:rPr>
                <w:rFonts w:hint="eastAsia"/>
                <w:b/>
                <w:lang w:eastAsia="en-US"/>
              </w:rPr>
              <w:t>产品名称</w:t>
            </w:r>
          </w:p>
        </w:tc>
        <w:tc>
          <w:tcPr>
            <w:tcW w:w="1587" w:type="dxa"/>
            <w:vAlign w:val="center"/>
          </w:tcPr>
          <w:p w:rsidR="00402E54">
            <w:pPr>
              <w:pStyle w:val="NoSpacing"/>
              <w:keepNext/>
              <w:spacing w:line="240" w:lineRule="auto"/>
              <w:jc w:val="center"/>
              <w:rPr>
                <w:rFonts w:hint="eastAsia"/>
                <w:b/>
                <w:lang w:eastAsia="en-US"/>
              </w:rPr>
            </w:pPr>
            <w:r>
              <w:rPr>
                <w:rFonts w:hint="eastAsia"/>
                <w:b/>
                <w:lang w:eastAsia="en-US"/>
              </w:rPr>
              <w:t>产品标识</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w:t>
            </w:r>
          </w:p>
        </w:tc>
        <w:tc>
          <w:tcPr>
            <w:tcW w:w="0" w:type="auto"/>
            <w:vMerge w:val="restart"/>
            <w:vAlign w:val="center"/>
          </w:tcPr>
          <w:p w:rsidR="00402E54">
            <w:pPr>
              <w:pStyle w:val="NoSpacing"/>
              <w:keepNext/>
              <w:spacing w:line="240" w:lineRule="auto"/>
              <w:jc w:val="center"/>
              <w:rPr>
                <w:rFonts w:hint="eastAsia"/>
                <w:lang w:eastAsia="en-US"/>
              </w:rPr>
            </w:pPr>
            <w:r>
              <w:rPr>
                <w:rFonts w:hint="eastAsia"/>
                <w:lang w:eastAsia="en-US"/>
              </w:rPr>
              <w:t>物理量产</w:t>
            </w:r>
          </w:p>
          <w:p w:rsidR="00402E54">
            <w:pPr>
              <w:pStyle w:val="NoSpacing"/>
              <w:keepNext/>
              <w:spacing w:line="240" w:lineRule="auto"/>
              <w:jc w:val="center"/>
              <w:rPr>
                <w:rFonts w:hint="eastAsia"/>
                <w:lang w:eastAsia="en-US"/>
              </w:rPr>
            </w:pPr>
            <w:r>
              <w:rPr>
                <w:rFonts w:hint="eastAsia"/>
                <w:lang w:eastAsia="en-US"/>
              </w:rPr>
              <w:t>品</w:t>
            </w:r>
          </w:p>
        </w:tc>
        <w:tc>
          <w:tcPr>
            <w:tcW w:w="0" w:type="auto"/>
            <w:vAlign w:val="center"/>
          </w:tcPr>
          <w:p w:rsidR="00402E54">
            <w:pPr>
              <w:pStyle w:val="NoSpacing"/>
              <w:keepNext/>
              <w:spacing w:line="240" w:lineRule="auto"/>
              <w:jc w:val="center"/>
              <w:rPr>
                <w:rFonts w:hint="eastAsia"/>
                <w:lang w:eastAsia="en-US"/>
              </w:rPr>
            </w:pPr>
            <w:r>
              <w:rPr>
                <w:rFonts w:hint="eastAsia"/>
                <w:lang w:eastAsia="en-US"/>
              </w:rPr>
              <w:t>回波顶高</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ET</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2</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回波底高</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EB</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3</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垂直积分液态水</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VIL</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4</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最强回波高度</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HMAX</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5</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组合反射率</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CR</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6</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rPr>
            </w:pPr>
            <w:r>
              <w:rPr>
                <w:rFonts w:hint="eastAsia"/>
              </w:rPr>
              <w:t>反射率等高平面位置显示</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CAP</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7</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速度方位显示</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VAD</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8</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速度方位显示风廓线</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VWP</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9</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1小时累积降水量</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OHP</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10</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3小时累积降水量</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THP</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11</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N小时累积降水量</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NHP</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12</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质心高度</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RCH</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13</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风场反演</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WIND</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14</w:t>
            </w:r>
          </w:p>
        </w:tc>
        <w:tc>
          <w:tcPr>
            <w:tcW w:w="0" w:type="auto"/>
            <w:vMerge/>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风暴相对径向速度</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SRM</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15</w:t>
            </w:r>
          </w:p>
        </w:tc>
        <w:tc>
          <w:tcPr>
            <w:tcW w:w="0" w:type="auto"/>
            <w:vMerge w:val="restart"/>
            <w:tcBorders>
              <w:bottom w:val="nil"/>
            </w:tcBorders>
            <w:vAlign w:val="center"/>
          </w:tcPr>
          <w:p w:rsidR="00402E54">
            <w:pPr>
              <w:pStyle w:val="NoSpacing"/>
              <w:keepNext/>
              <w:spacing w:line="240" w:lineRule="auto"/>
              <w:jc w:val="center"/>
              <w:rPr>
                <w:rFonts w:hint="eastAsia"/>
                <w:lang w:eastAsia="en-US"/>
              </w:rPr>
            </w:pPr>
            <w:r>
              <w:rPr>
                <w:rFonts w:hint="eastAsia"/>
                <w:lang w:eastAsia="en-US"/>
              </w:rPr>
              <w:t>识别类产</w:t>
            </w:r>
          </w:p>
          <w:p w:rsidR="00402E54">
            <w:pPr>
              <w:pStyle w:val="NoSpacing"/>
              <w:keepNext/>
              <w:spacing w:line="240" w:lineRule="auto"/>
              <w:jc w:val="center"/>
              <w:rPr>
                <w:rFonts w:hint="eastAsia"/>
                <w:lang w:eastAsia="en-US"/>
              </w:rPr>
            </w:pPr>
            <w:r>
              <w:rPr>
                <w:rFonts w:hint="eastAsia"/>
                <w:lang w:eastAsia="en-US"/>
              </w:rPr>
              <w:t>品</w:t>
            </w:r>
          </w:p>
        </w:tc>
        <w:tc>
          <w:tcPr>
            <w:tcW w:w="0" w:type="auto"/>
            <w:vAlign w:val="center"/>
          </w:tcPr>
          <w:p w:rsidR="00402E54">
            <w:pPr>
              <w:pStyle w:val="NoSpacing"/>
              <w:keepNext/>
              <w:spacing w:line="240" w:lineRule="auto"/>
              <w:jc w:val="center"/>
              <w:rPr>
                <w:rFonts w:hint="eastAsia"/>
                <w:lang w:eastAsia="en-US"/>
              </w:rPr>
            </w:pPr>
            <w:r>
              <w:rPr>
                <w:rFonts w:hint="eastAsia"/>
                <w:lang w:eastAsia="en-US"/>
              </w:rPr>
              <w:t>冰雹指数</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HI</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16</w:t>
            </w:r>
          </w:p>
        </w:tc>
        <w:tc>
          <w:tcPr>
            <w:tcW w:w="0" w:type="auto"/>
            <w:vMerge/>
            <w:tcBorders>
              <w:top w:val="nil"/>
              <w:bottom w:val="nil"/>
            </w:tcBorders>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风暴追踪信息</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STI</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17</w:t>
            </w:r>
          </w:p>
        </w:tc>
        <w:tc>
          <w:tcPr>
            <w:tcW w:w="0" w:type="auto"/>
            <w:vMerge/>
            <w:tcBorders>
              <w:top w:val="nil"/>
              <w:bottom w:val="nil"/>
            </w:tcBorders>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风暴结构分析</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SS</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18</w:t>
            </w:r>
          </w:p>
        </w:tc>
        <w:tc>
          <w:tcPr>
            <w:tcW w:w="0" w:type="auto"/>
            <w:vMerge/>
            <w:tcBorders>
              <w:top w:val="nil"/>
              <w:bottom w:val="nil"/>
            </w:tcBorders>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中尺度气旋</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M</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19</w:t>
            </w:r>
          </w:p>
        </w:tc>
        <w:tc>
          <w:tcPr>
            <w:tcW w:w="0" w:type="auto"/>
            <w:vMerge/>
            <w:tcBorders>
              <w:top w:val="nil"/>
              <w:bottom w:val="nil"/>
            </w:tcBorders>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龙卷涡旋特征</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TVS</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20</w:t>
            </w:r>
          </w:p>
        </w:tc>
        <w:tc>
          <w:tcPr>
            <w:tcW w:w="0" w:type="auto"/>
            <w:vMerge/>
            <w:tcBorders>
              <w:top w:val="nil"/>
              <w:bottom w:val="nil"/>
            </w:tcBorders>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粒子相态识别</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HCL</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21</w:t>
            </w:r>
          </w:p>
        </w:tc>
        <w:tc>
          <w:tcPr>
            <w:tcW w:w="0" w:type="auto"/>
            <w:vMerge/>
            <w:tcBorders>
              <w:top w:val="nil"/>
              <w:bottom w:val="nil"/>
            </w:tcBorders>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融化层识别</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ML</w:t>
            </w:r>
          </w:p>
        </w:tc>
      </w:tr>
      <w:tr>
        <w:tblPrEx>
          <w:tblW w:w="8315" w:type="dxa"/>
          <w:tblInd w:w="0" w:type="dxa"/>
          <w:tblLook w:val="04A0"/>
        </w:tblPrEx>
        <w:tc>
          <w:tcPr>
            <w:tcW w:w="0" w:type="auto"/>
            <w:vAlign w:val="center"/>
          </w:tcPr>
          <w:p w:rsidR="00402E54">
            <w:pPr>
              <w:pStyle w:val="NoSpacing"/>
              <w:keepNext/>
              <w:spacing w:line="240" w:lineRule="auto"/>
              <w:jc w:val="center"/>
              <w:rPr>
                <w:rFonts w:hint="eastAsia"/>
                <w:lang w:eastAsia="en-US"/>
              </w:rPr>
            </w:pPr>
            <w:r>
              <w:rPr>
                <w:rFonts w:hint="eastAsia"/>
                <w:lang w:eastAsia="en-US"/>
              </w:rPr>
              <w:t>22</w:t>
            </w:r>
          </w:p>
        </w:tc>
        <w:tc>
          <w:tcPr>
            <w:tcW w:w="0" w:type="auto"/>
            <w:vMerge/>
            <w:tcBorders>
              <w:top w:val="nil"/>
              <w:bottom w:val="nil"/>
            </w:tcBorders>
            <w:vAlign w:val="center"/>
          </w:tcPr>
          <w:p w:rsidR="00402E54">
            <w:pPr>
              <w:pStyle w:val="NoSpacing"/>
              <w:keepNext/>
              <w:spacing w:line="240" w:lineRule="auto"/>
              <w:jc w:val="center"/>
              <w:rPr>
                <w:rFonts w:hint="eastAsia"/>
                <w:lang w:eastAsia="en-US"/>
              </w:rPr>
            </w:pPr>
          </w:p>
        </w:tc>
        <w:tc>
          <w:tcPr>
            <w:tcW w:w="0" w:type="auto"/>
            <w:vAlign w:val="center"/>
          </w:tcPr>
          <w:p w:rsidR="00402E54">
            <w:pPr>
              <w:pStyle w:val="NoSpacing"/>
              <w:keepNext/>
              <w:spacing w:line="240" w:lineRule="auto"/>
              <w:jc w:val="center"/>
              <w:rPr>
                <w:rFonts w:hint="eastAsia"/>
                <w:lang w:eastAsia="en-US"/>
              </w:rPr>
            </w:pPr>
            <w:r>
              <w:rPr>
                <w:rFonts w:hint="eastAsia"/>
                <w:lang w:eastAsia="en-US"/>
              </w:rPr>
              <w:t>雷暴大风</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TS</w:t>
            </w:r>
          </w:p>
        </w:tc>
      </w:tr>
      <w:tr>
        <w:tblPrEx>
          <w:tblW w:w="8315" w:type="dxa"/>
          <w:tblInd w:w="0" w:type="dxa"/>
          <w:tblLook w:val="04A0"/>
        </w:tblPrEx>
        <w:tc>
          <w:tcPr>
            <w:tcW w:w="799" w:type="dxa"/>
            <w:vAlign w:val="center"/>
          </w:tcPr>
          <w:p w:rsidR="00402E54">
            <w:pPr>
              <w:pStyle w:val="NoSpacing"/>
              <w:keepNext/>
              <w:spacing w:line="240" w:lineRule="auto"/>
              <w:jc w:val="center"/>
              <w:rPr>
                <w:rFonts w:hint="eastAsia"/>
                <w:lang w:eastAsia="en-US"/>
              </w:rPr>
            </w:pPr>
            <w:r>
              <w:rPr>
                <w:rFonts w:hint="eastAsia"/>
                <w:lang w:eastAsia="en-US"/>
              </w:rPr>
              <w:t>23</w:t>
            </w:r>
          </w:p>
        </w:tc>
        <w:tc>
          <w:tcPr>
            <w:tcW w:w="1587" w:type="dxa"/>
            <w:vMerge/>
            <w:tcBorders>
              <w:top w:val="nil"/>
            </w:tcBorders>
            <w:vAlign w:val="center"/>
          </w:tcPr>
          <w:p w:rsidR="00402E54">
            <w:pPr>
              <w:pStyle w:val="NoSpacing"/>
              <w:keepNext/>
              <w:spacing w:line="240" w:lineRule="auto"/>
              <w:jc w:val="center"/>
              <w:rPr>
                <w:rFonts w:hint="eastAsia"/>
                <w:lang w:eastAsia="en-US"/>
              </w:rPr>
            </w:pPr>
          </w:p>
        </w:tc>
        <w:tc>
          <w:tcPr>
            <w:tcW w:w="4342" w:type="dxa"/>
            <w:vAlign w:val="center"/>
          </w:tcPr>
          <w:p w:rsidR="00402E54">
            <w:pPr>
              <w:pStyle w:val="NoSpacing"/>
              <w:keepNext/>
              <w:spacing w:line="240" w:lineRule="auto"/>
              <w:jc w:val="center"/>
              <w:rPr>
                <w:rFonts w:hint="eastAsia"/>
                <w:lang w:eastAsia="en-US"/>
              </w:rPr>
            </w:pPr>
            <w:r>
              <w:rPr>
                <w:rFonts w:hint="eastAsia"/>
                <w:lang w:eastAsia="en-US"/>
              </w:rPr>
              <w:t>双偏振定量降水估测</w:t>
            </w:r>
          </w:p>
        </w:tc>
        <w:tc>
          <w:tcPr>
            <w:tcW w:w="1587" w:type="dxa"/>
            <w:vAlign w:val="center"/>
          </w:tcPr>
          <w:p w:rsidR="00402E54">
            <w:pPr>
              <w:pStyle w:val="NoSpacing"/>
              <w:keepNext/>
              <w:spacing w:line="240" w:lineRule="auto"/>
              <w:jc w:val="center"/>
              <w:rPr>
                <w:rFonts w:hint="eastAsia"/>
                <w:lang w:eastAsia="en-US"/>
              </w:rPr>
            </w:pPr>
            <w:r>
              <w:rPr>
                <w:rFonts w:hint="eastAsia"/>
                <w:lang w:eastAsia="en-US"/>
              </w:rPr>
              <w:t>QPE</w:t>
            </w:r>
          </w:p>
        </w:tc>
      </w:tr>
    </w:tbl>
    <w:p w:rsidR="00402E54">
      <w:pPr>
        <w:pStyle w:val="Heading4"/>
        <w:spacing w:line="360" w:lineRule="auto"/>
        <w:ind w:firstLine="560" w:firstLineChars="200"/>
        <w:rPr>
          <w:rFonts w:ascii="仿宋_GB2312" w:eastAsia="仿宋_GB2312" w:hAnsi="仿宋_GB2312" w:cs="仿宋_GB2312" w:hint="eastAsia"/>
          <w:b/>
          <w:bCs/>
          <w:color w:val="auto"/>
        </w:rPr>
      </w:pPr>
      <w:r>
        <w:rPr>
          <w:rFonts w:ascii="仿宋_GB2312" w:eastAsia="仿宋_GB2312" w:hAnsi="仿宋_GB2312" w:cs="仿宋_GB2312" w:hint="eastAsia"/>
          <w:b/>
          <w:bCs/>
          <w:color w:val="auto"/>
        </w:rPr>
        <w:t>3.10.2软件产品功能要求</w:t>
      </w:r>
    </w:p>
    <w:p w:rsidR="00402E54">
      <w:pPr>
        <w:spacing w:line="360" w:lineRule="auto"/>
        <w:ind w:firstLine="560" w:firstLineChars="200"/>
        <w:outlineLvl w:val="4"/>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3.10.2.1单站软件产品功能</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产品显示：平面位置产品、距离高度产品、等高</w:t>
      </w:r>
      <w:r>
        <w:rPr>
          <w:rFonts w:ascii="仿宋_GB2312" w:eastAsia="仿宋_GB2312" w:hAnsi="仿宋_GB2312" w:cs="仿宋_GB2312" w:hint="eastAsia"/>
          <w:sz w:val="28"/>
          <w:szCs w:val="28"/>
        </w:rPr>
        <w:t>面位置</w:t>
      </w:r>
      <w:r>
        <w:rPr>
          <w:rFonts w:ascii="仿宋_GB2312" w:eastAsia="仿宋_GB2312" w:hAnsi="仿宋_GB2312" w:cs="仿宋_GB2312" w:hint="eastAsia"/>
          <w:sz w:val="28"/>
          <w:szCs w:val="28"/>
        </w:rPr>
        <w:t>产品、二次产品等显示功能。</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分屏显示：二分屏、四分屏等分屏显示功能、支持光标联动信息显示。</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垂直剖面：基本产品任意垂直剖面显示功能，支持折线剖面，可同时显示多个产品，可保存图像。</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最大值显示：</w:t>
      </w:r>
      <w:r>
        <w:rPr>
          <w:rFonts w:ascii="仿宋_GB2312" w:eastAsia="仿宋_GB2312" w:hAnsi="仿宋_GB2312" w:cs="仿宋_GB2312" w:hint="eastAsia"/>
          <w:sz w:val="28"/>
          <w:szCs w:val="28"/>
        </w:rPr>
        <w:t>体扫各层</w:t>
      </w:r>
      <w:r>
        <w:rPr>
          <w:rFonts w:ascii="仿宋_GB2312" w:eastAsia="仿宋_GB2312" w:hAnsi="仿宋_GB2312" w:cs="仿宋_GB2312" w:hint="eastAsia"/>
          <w:sz w:val="28"/>
          <w:szCs w:val="28"/>
        </w:rPr>
        <w:t>反射率垂直、东西、南北三个方向最大值可投影显示。</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图形缩放、拖曳：产品图像可放大缩小，拖曳移动。</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图像保存：产品图像可保存为图片格式，分辨率可调。</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动态展示：支持产品时序播放、</w:t>
      </w:r>
      <w:r>
        <w:rPr>
          <w:rFonts w:ascii="仿宋_GB2312" w:eastAsia="仿宋_GB2312" w:hAnsi="仿宋_GB2312" w:cs="仿宋_GB2312" w:hint="eastAsia"/>
          <w:sz w:val="28"/>
          <w:szCs w:val="28"/>
        </w:rPr>
        <w:t>动图制作</w:t>
      </w:r>
      <w:r>
        <w:rPr>
          <w:rFonts w:ascii="仿宋_GB2312" w:eastAsia="仿宋_GB2312" w:hAnsi="仿宋_GB2312" w:cs="仿宋_GB2312" w:hint="eastAsia"/>
          <w:sz w:val="28"/>
          <w:szCs w:val="28"/>
        </w:rPr>
        <w:t>。</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地图加载：产品显示可加载离线地图文件，同时应支持API接口获取在线瓦片，底图包括但不限于地图、地形、影像，支持各级界线、名称显隐。</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测距功能：产品显示界面可显示两点间距离、折线距离。</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游标引导：游标所在点的经纬度、方位、距离、高度、产品数值、地理位置等信息显示。</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产品色标：提供默认配色，支持自定义配色。</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阈值过滤：显示阈值范围内数据，过滤超限数据；可单一范围显隐；可调整产品透明度。</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自动刷新：可启停的自动显示最新产品数据。</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状态监控：包括数据接收、产品制作、产品传输状态监控。</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数据归档：本地或异地产品数据归档，支持定时清理。</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数据上传：产品数据多节点上传，支持恢复网络后自动补传、手动补传。</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算法参数：算法参数可本地化调整。</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算法接口：支持外部算法接入，使用统一数据接口调用。</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系统日志：包括软件运行日志、数据接收日志、产品生成日志、数据上传日志、告警日志、预警日志。</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日志查询：可按日期、类型、关键词等方式查询系统日志。</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多用户并发：每个产品生成终端应至少能够满足30位用户同时访问。</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数据库接口：可从</w:t>
      </w:r>
      <w:r>
        <w:rPr>
          <w:rFonts w:ascii="仿宋_GB2312" w:eastAsia="仿宋_GB2312" w:hAnsi="仿宋_GB2312" w:cs="仿宋_GB2312" w:hint="eastAsia"/>
          <w:sz w:val="28"/>
          <w:szCs w:val="28"/>
        </w:rPr>
        <w:t>天擎等数据库</w:t>
      </w:r>
      <w:r>
        <w:rPr>
          <w:rFonts w:ascii="仿宋_GB2312" w:eastAsia="仿宋_GB2312" w:hAnsi="仿宋_GB2312" w:cs="仿宋_GB2312" w:hint="eastAsia"/>
          <w:sz w:val="28"/>
          <w:szCs w:val="28"/>
        </w:rPr>
        <w:t>的接口获取雷达基数</w:t>
      </w:r>
      <w:r>
        <w:rPr>
          <w:rFonts w:ascii="仿宋_GB2312" w:eastAsia="仿宋_GB2312" w:hAnsi="仿宋_GB2312" w:cs="仿宋_GB2312" w:hint="eastAsia"/>
          <w:sz w:val="28"/>
          <w:szCs w:val="28"/>
        </w:rPr>
        <w:t>据作为</w:t>
      </w:r>
      <w:r>
        <w:rPr>
          <w:rFonts w:ascii="仿宋_GB2312" w:eastAsia="仿宋_GB2312" w:hAnsi="仿宋_GB2312" w:cs="仿宋_GB2312" w:hint="eastAsia"/>
          <w:sz w:val="28"/>
          <w:szCs w:val="28"/>
        </w:rPr>
        <w:t>数据源。</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快捷操作：可通过键盘进行产品切换、时间切换、仰角层切换等快捷操作。</w:t>
      </w:r>
    </w:p>
    <w:p w:rsidR="00402E54">
      <w:pPr>
        <w:pStyle w:val="BodyTextIndent"/>
        <w:numPr>
          <w:ilvl w:val="0"/>
          <w:numId w:val="4"/>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关注点标记：设定不同类型的关注点，可设置备注信息并保存；可单选、多选、分类选择叠加在产品上进行显示；可设定关注点预警范围。支持关注</w:t>
      </w:r>
      <w:r>
        <w:rPr>
          <w:rFonts w:ascii="仿宋_GB2312" w:eastAsia="仿宋_GB2312" w:hAnsi="仿宋_GB2312" w:cs="仿宋_GB2312" w:hint="eastAsia"/>
          <w:sz w:val="28"/>
          <w:szCs w:val="28"/>
        </w:rPr>
        <w:t>点信息</w:t>
      </w:r>
      <w:r>
        <w:rPr>
          <w:rFonts w:ascii="仿宋_GB2312" w:eastAsia="仿宋_GB2312" w:hAnsi="仿宋_GB2312" w:cs="仿宋_GB2312" w:hint="eastAsia"/>
          <w:sz w:val="28"/>
          <w:szCs w:val="28"/>
        </w:rPr>
        <w:t>导入导出。</w:t>
      </w:r>
    </w:p>
    <w:p w:rsidR="00402E54">
      <w:pPr>
        <w:pStyle w:val="BodyTextIndent"/>
        <w:adjustRightInd w:val="0"/>
        <w:snapToGrid w:val="0"/>
        <w:spacing w:line="360" w:lineRule="auto"/>
        <w:ind w:left="0" w:firstLine="560" w:leftChars="0" w:firstLineChars="200"/>
        <w:outlineLvl w:val="4"/>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3.10.2.2 相控阵多雷达组网智能分析与应用系统软件产品功能</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具备智能协同观测功能及统一接口，在网雷达采用统一控制接口、通信协议及数据格式，接口标准符合相关规范。</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可与综合处理单元、集中存储单元及远程控制平台无缝对接，保障指令传输和数据交互稳定兼容。</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支持通过远程控制平台对所有在网雷达开展集中统一控制与</w:t>
      </w:r>
      <w:r>
        <w:rPr>
          <w:rFonts w:ascii="仿宋_GB2312" w:eastAsia="仿宋_GB2312" w:hAnsi="仿宋_GB2312" w:cs="仿宋_GB2312" w:hint="eastAsia"/>
          <w:sz w:val="28"/>
          <w:szCs w:val="28"/>
        </w:rPr>
        <w:t>协同调度。</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能够自动分配探测区域、调整扫描策略，规避探测盲区与重复探测情况。</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提供多部相控阵雷达组</w:t>
      </w:r>
      <w:r>
        <w:rPr>
          <w:rFonts w:ascii="仿宋_GB2312" w:eastAsia="仿宋_GB2312" w:hAnsi="仿宋_GB2312" w:cs="仿宋_GB2312" w:hint="eastAsia"/>
          <w:sz w:val="28"/>
          <w:szCs w:val="28"/>
        </w:rPr>
        <w:t>网产品</w:t>
      </w:r>
      <w:r>
        <w:rPr>
          <w:rFonts w:ascii="仿宋_GB2312" w:eastAsia="仿宋_GB2312" w:hAnsi="仿宋_GB2312" w:cs="仿宋_GB2312" w:hint="eastAsia"/>
          <w:sz w:val="28"/>
          <w:szCs w:val="28"/>
        </w:rPr>
        <w:t>系统，且根据用户需求提供至少 1 个应用场景应用。</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具备基于人工智能技术的天气雷达三维回波外推和降水外推产品。</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AI 外推算法使用不少于 3 年历史雷达标准数据</w:t>
      </w:r>
      <w:r>
        <w:rPr>
          <w:rFonts w:ascii="仿宋_GB2312" w:eastAsia="仿宋_GB2312" w:hAnsi="仿宋_GB2312" w:cs="仿宋_GB2312" w:hint="eastAsia"/>
          <w:sz w:val="28"/>
          <w:szCs w:val="28"/>
        </w:rPr>
        <w:t>集完成</w:t>
      </w:r>
      <w:r>
        <w:rPr>
          <w:rFonts w:ascii="仿宋_GB2312" w:eastAsia="仿宋_GB2312" w:hAnsi="仿宋_GB2312" w:cs="仿宋_GB2312" w:hint="eastAsia"/>
          <w:sz w:val="28"/>
          <w:szCs w:val="28"/>
        </w:rPr>
        <w:t>训练与验证，保证外推准确率与时序连续性。</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产品输出格式可与省级气象业务平台相互兼容。</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依托云南省气象局</w:t>
      </w:r>
      <w:r>
        <w:rPr>
          <w:rFonts w:ascii="仿宋_GB2312" w:eastAsia="仿宋_GB2312" w:hAnsi="仿宋_GB2312" w:cs="仿宋_GB2312" w:hint="eastAsia"/>
          <w:sz w:val="28"/>
          <w:szCs w:val="28"/>
        </w:rPr>
        <w:t>智能算力资源</w:t>
      </w:r>
      <w:r>
        <w:rPr>
          <w:rFonts w:ascii="仿宋_GB2312" w:eastAsia="仿宋_GB2312" w:hAnsi="仿宋_GB2312" w:cs="仿宋_GB2312" w:hint="eastAsia"/>
          <w:sz w:val="28"/>
          <w:szCs w:val="28"/>
        </w:rPr>
        <w:t>，无缝对接云南省气象局智能分析底座和智能驱动框架，基于单站雷达探测数据、组网拼图数据和雷达外推产品，面向雷达业务进行流程设计；</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利用雷达业务算法，构建多种雷达业务智能体，具备雷达业务产品智能分析、灾害天气（短时强降水、雷暴大风、冰雹等）事前智能感知、灾害天气落区智能</w:t>
      </w:r>
      <w:r>
        <w:rPr>
          <w:rFonts w:ascii="仿宋_GB2312" w:eastAsia="仿宋_GB2312" w:hAnsi="仿宋_GB2312" w:cs="仿宋_GB2312" w:hint="eastAsia"/>
          <w:sz w:val="28"/>
          <w:szCs w:val="28"/>
        </w:rPr>
        <w:t>研</w:t>
      </w:r>
      <w:r>
        <w:rPr>
          <w:rFonts w:ascii="仿宋_GB2312" w:eastAsia="仿宋_GB2312" w:hAnsi="仿宋_GB2312" w:cs="仿宋_GB2312" w:hint="eastAsia"/>
          <w:sz w:val="28"/>
          <w:szCs w:val="28"/>
        </w:rPr>
        <w:t>判、灾害天气过程事中综合研判、灾害天气过程事后智能复盘等功能，实现智能交互分析和智能驱动，</w:t>
      </w:r>
      <w:r>
        <w:rPr>
          <w:rFonts w:ascii="仿宋_GB2312" w:eastAsia="仿宋_GB2312" w:hAnsi="仿宋_GB2312" w:cs="仿宋_GB2312" w:hint="eastAsia"/>
          <w:sz w:val="28"/>
          <w:szCs w:val="28"/>
        </w:rPr>
        <w:t>支撑省</w:t>
      </w:r>
      <w:r>
        <w:rPr>
          <w:rFonts w:ascii="仿宋_GB2312" w:eastAsia="仿宋_GB2312" w:hAnsi="仿宋_GB2312" w:cs="仿宋_GB2312" w:hint="eastAsia"/>
          <w:sz w:val="28"/>
          <w:szCs w:val="28"/>
        </w:rPr>
        <w:t>市县三级雷达业务的自动化辅助。</w:t>
      </w:r>
    </w:p>
    <w:p w:rsidR="00402E54">
      <w:pPr>
        <w:pStyle w:val="BodyTextIndent"/>
        <w:numPr>
          <w:ilvl w:val="0"/>
          <w:numId w:val="5"/>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软件成果以组件化开发，支持面向现有业务平台的组件集成。</w:t>
      </w:r>
    </w:p>
    <w:p w:rsidR="00402E54">
      <w:pPr>
        <w:pStyle w:val="BodyTextIndent"/>
        <w:adjustRightInd w:val="0"/>
        <w:snapToGrid w:val="0"/>
        <w:spacing w:line="360" w:lineRule="auto"/>
        <w:ind w:left="0" w:firstLine="560" w:leftChars="0" w:firstLineChars="200"/>
        <w:outlineLvl w:val="3"/>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3.10.3 软件运行环境要求</w:t>
      </w:r>
    </w:p>
    <w:p w:rsidR="00402E54">
      <w:pPr>
        <w:pStyle w:val="BodyTextIndent"/>
        <w:numPr>
          <w:ilvl w:val="0"/>
          <w:numId w:val="6"/>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每部雷达应至少配置4台独立控制终端，终端数据处理能力应满足产品制作整体耗时小于雷达最短</w:t>
      </w:r>
      <w:r>
        <w:rPr>
          <w:rFonts w:ascii="仿宋_GB2312" w:eastAsia="仿宋_GB2312" w:hAnsi="仿宋_GB2312" w:cs="仿宋_GB2312" w:hint="eastAsia"/>
          <w:sz w:val="28"/>
          <w:szCs w:val="28"/>
        </w:rPr>
        <w:t>体扫用</w:t>
      </w:r>
      <w:r>
        <w:rPr>
          <w:rFonts w:ascii="仿宋_GB2312" w:eastAsia="仿宋_GB2312" w:hAnsi="仿宋_GB2312" w:cs="仿宋_GB2312" w:hint="eastAsia"/>
          <w:sz w:val="28"/>
          <w:szCs w:val="28"/>
        </w:rPr>
        <w:t>时，避免造成数据积压。每部雷达配置一台存储服务器，可用容量不低于130TB，用于雷达</w:t>
      </w:r>
      <w:r>
        <w:rPr>
          <w:rFonts w:ascii="仿宋_GB2312" w:eastAsia="仿宋_GB2312" w:hAnsi="仿宋_GB2312" w:cs="仿宋_GB2312" w:hint="eastAsia"/>
          <w:sz w:val="28"/>
          <w:szCs w:val="28"/>
        </w:rPr>
        <w:t>数</w:t>
      </w:r>
      <w:r>
        <w:rPr>
          <w:rFonts w:ascii="仿宋_GB2312" w:eastAsia="仿宋_GB2312" w:hAnsi="仿宋_GB2312" w:cs="仿宋_GB2312" w:hint="eastAsia"/>
          <w:sz w:val="28"/>
          <w:szCs w:val="28"/>
        </w:rPr>
        <w:t>据本地</w:t>
      </w:r>
      <w:r>
        <w:rPr>
          <w:rFonts w:ascii="仿宋_GB2312" w:eastAsia="仿宋_GB2312" w:hAnsi="仿宋_GB2312" w:cs="仿宋_GB2312" w:hint="eastAsia"/>
          <w:sz w:val="28"/>
          <w:szCs w:val="28"/>
        </w:rPr>
        <w:t>存储。</w:t>
      </w:r>
    </w:p>
    <w:p w:rsidR="00402E54">
      <w:pPr>
        <w:pStyle w:val="BodyTextIndent"/>
        <w:numPr>
          <w:ilvl w:val="0"/>
          <w:numId w:val="6"/>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相控阵多雷达组</w:t>
      </w:r>
      <w:r>
        <w:rPr>
          <w:rFonts w:ascii="仿宋_GB2312" w:eastAsia="仿宋_GB2312" w:hAnsi="仿宋_GB2312" w:cs="仿宋_GB2312" w:hint="eastAsia"/>
          <w:sz w:val="28"/>
          <w:szCs w:val="28"/>
        </w:rPr>
        <w:t>网产品</w:t>
      </w:r>
      <w:r>
        <w:rPr>
          <w:rFonts w:ascii="仿宋_GB2312" w:eastAsia="仿宋_GB2312" w:hAnsi="仿宋_GB2312" w:cs="仿宋_GB2312" w:hint="eastAsia"/>
          <w:sz w:val="28"/>
          <w:szCs w:val="28"/>
        </w:rPr>
        <w:t>高速缓冲存储1套，可用容量不低于80TB；组</w:t>
      </w:r>
      <w:r>
        <w:rPr>
          <w:rFonts w:ascii="仿宋_GB2312" w:eastAsia="仿宋_GB2312" w:hAnsi="仿宋_GB2312" w:cs="仿宋_GB2312" w:hint="eastAsia"/>
          <w:sz w:val="28"/>
          <w:szCs w:val="28"/>
        </w:rPr>
        <w:t>网产品</w:t>
      </w:r>
      <w:r>
        <w:rPr>
          <w:rFonts w:ascii="仿宋_GB2312" w:eastAsia="仿宋_GB2312" w:hAnsi="仿宋_GB2312" w:cs="仿宋_GB2312" w:hint="eastAsia"/>
          <w:sz w:val="28"/>
          <w:szCs w:val="28"/>
        </w:rPr>
        <w:t>存储1套，可用容量不少于400TB；相控阵雷达数据高速传输与流量分发设备2台，吞吐量不低于20G。</w:t>
      </w:r>
    </w:p>
    <w:p w:rsidR="00402E54">
      <w:pPr>
        <w:pStyle w:val="BodyTextIndent"/>
        <w:numPr>
          <w:ilvl w:val="0"/>
          <w:numId w:val="6"/>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应支持国产化操作系统。</w:t>
      </w:r>
    </w:p>
    <w:p w:rsidR="00402E54">
      <w:pPr>
        <w:pStyle w:val="BodyTextIndent"/>
        <w:numPr>
          <w:ilvl w:val="0"/>
          <w:numId w:val="6"/>
        </w:numPr>
        <w:adjustRightInd w:val="0"/>
        <w:snapToGrid w:val="0"/>
        <w:spacing w:line="360" w:lineRule="auto"/>
        <w:ind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基于云南省气象局</w:t>
      </w:r>
      <w:r>
        <w:rPr>
          <w:rFonts w:ascii="仿宋_GB2312" w:eastAsia="仿宋_GB2312" w:hAnsi="仿宋_GB2312" w:cs="仿宋_GB2312" w:hint="eastAsia"/>
          <w:sz w:val="28"/>
          <w:szCs w:val="28"/>
        </w:rPr>
        <w:t>智能算力环境</w:t>
      </w:r>
      <w:r>
        <w:rPr>
          <w:rFonts w:ascii="仿宋_GB2312" w:eastAsia="仿宋_GB2312" w:hAnsi="仿宋_GB2312" w:cs="仿宋_GB2312" w:hint="eastAsia"/>
          <w:sz w:val="28"/>
          <w:szCs w:val="28"/>
        </w:rPr>
        <w:t>进行部署，支持国产化硬件环境（海光、ARM等框架）运行。</w:t>
      </w:r>
    </w:p>
    <w:p w:rsidR="00402E54">
      <w:pPr>
        <w:pStyle w:val="BodyTextIndent"/>
        <w:adjustRightInd w:val="0"/>
        <w:snapToGrid w:val="0"/>
        <w:spacing w:line="360" w:lineRule="auto"/>
        <w:ind w:left="0" w:firstLine="560" w:leftChars="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3.11 其他要求</w:t>
      </w:r>
    </w:p>
    <w:p w:rsidR="00402E54">
      <w:pPr>
        <w:pStyle w:val="BodyTextIndent"/>
        <w:adjustRightInd w:val="0"/>
        <w:snapToGrid w:val="0"/>
        <w:spacing w:line="360" w:lineRule="auto"/>
        <w:ind w:left="400"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1.具有远程控制功能，可通过气象部门内网（局域网）和公网（广域网）控制远程开关机、观测模式切换等。</w:t>
      </w:r>
    </w:p>
    <w:p w:rsidR="00402E54">
      <w:pPr>
        <w:pStyle w:val="BodyTextIndent"/>
        <w:adjustRightInd w:val="0"/>
        <w:snapToGrid w:val="0"/>
        <w:spacing w:line="360" w:lineRule="auto"/>
        <w:ind w:left="400" w:leftChars="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2.具有协同观测控制能力。</w:t>
      </w:r>
    </w:p>
    <w:p w:rsidR="00402E54">
      <w:pPr>
        <w:pStyle w:val="BodyTextIndent"/>
        <w:adjustRightInd w:val="0"/>
        <w:snapToGrid w:val="0"/>
        <w:spacing w:line="360" w:lineRule="auto"/>
        <w:ind w:left="0" w:firstLine="560" w:leftChars="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3.12 外观、尺寸及接口等要求</w:t>
      </w:r>
    </w:p>
    <w:p w:rsidR="00402E54">
      <w:pPr>
        <w:pStyle w:val="BodyTextIndent"/>
        <w:adjustRightInd w:val="0"/>
        <w:snapToGrid w:val="0"/>
        <w:spacing w:line="360" w:lineRule="auto"/>
        <w:ind w:left="0" w:firstLine="560" w:leftChars="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投标方须提供承诺函。具体要求如下：</w:t>
      </w:r>
    </w:p>
    <w:p w:rsidR="00402E54">
      <w:pPr>
        <w:numPr>
          <w:ilvl w:val="12"/>
          <w:numId w:val="0"/>
        </w:numPr>
        <w:spacing w:line="360" w:lineRule="auto"/>
        <w:ind w:firstLine="560" w:firstLineChars="200"/>
        <w:outlineLvl w:val="3"/>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3.12.1系统组成</w:t>
      </w:r>
    </w:p>
    <w:p w:rsidR="00402E54">
      <w:pPr>
        <w:spacing w:line="360" w:lineRule="auto"/>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X</w:t>
      </w:r>
      <w:r>
        <w:rPr>
          <w:rFonts w:ascii="仿宋_GB2312" w:eastAsia="仿宋_GB2312" w:hAnsi="仿宋_GB2312" w:cs="仿宋_GB2312" w:hint="eastAsia"/>
          <w:sz w:val="28"/>
          <w:szCs w:val="28"/>
        </w:rPr>
        <w:t>波段双</w:t>
      </w:r>
      <w:r>
        <w:rPr>
          <w:rFonts w:ascii="仿宋_GB2312" w:eastAsia="仿宋_GB2312" w:hAnsi="仿宋_GB2312" w:cs="仿宋_GB2312" w:hint="eastAsia"/>
          <w:sz w:val="28"/>
          <w:szCs w:val="28"/>
        </w:rPr>
        <w:t>线偏振一维平面相控阵天气雷达系统包括：3部X</w:t>
      </w:r>
      <w:r>
        <w:rPr>
          <w:rFonts w:ascii="仿宋_GB2312" w:eastAsia="仿宋_GB2312" w:hAnsi="仿宋_GB2312" w:cs="仿宋_GB2312" w:hint="eastAsia"/>
          <w:sz w:val="28"/>
          <w:szCs w:val="28"/>
        </w:rPr>
        <w:t>波段双</w:t>
      </w:r>
      <w:r>
        <w:rPr>
          <w:rFonts w:ascii="仿宋_GB2312" w:eastAsia="仿宋_GB2312" w:hAnsi="仿宋_GB2312" w:cs="仿宋_GB2312" w:hint="eastAsia"/>
          <w:sz w:val="28"/>
          <w:szCs w:val="28"/>
        </w:rPr>
        <w:t>线偏振一维平面相控阵天气雷达（单部包括天线罩、天线、伺服、数字收发单元、标定单元、数字波束控制与合成单元、信号处理单元、监控与显示单元、产品终端、综合机柜、附属设备和配套软件等）、X波段天气雷达测试仪器、X波段自动金属球标定设备和相控阵多雷达组网智能分析与应用系统软硬件。</w:t>
      </w:r>
    </w:p>
    <w:p w:rsidR="00402E54">
      <w:pPr>
        <w:numPr>
          <w:ilvl w:val="12"/>
          <w:numId w:val="0"/>
        </w:numPr>
        <w:spacing w:line="360" w:lineRule="auto"/>
        <w:ind w:firstLine="560" w:firstLineChars="200"/>
        <w:outlineLvl w:val="3"/>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3.12.2总体结构</w:t>
      </w:r>
    </w:p>
    <w:p w:rsidR="00402E54">
      <w:pPr>
        <w:spacing w:line="360" w:lineRule="auto"/>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X</w:t>
      </w:r>
      <w:r>
        <w:rPr>
          <w:rFonts w:ascii="仿宋_GB2312" w:eastAsia="仿宋_GB2312" w:hAnsi="仿宋_GB2312" w:cs="仿宋_GB2312" w:hint="eastAsia"/>
          <w:sz w:val="28"/>
          <w:szCs w:val="28"/>
        </w:rPr>
        <w:t>波段双</w:t>
      </w:r>
      <w:r>
        <w:rPr>
          <w:rFonts w:ascii="仿宋_GB2312" w:eastAsia="仿宋_GB2312" w:hAnsi="仿宋_GB2312" w:cs="仿宋_GB2312" w:hint="eastAsia"/>
          <w:sz w:val="28"/>
          <w:szCs w:val="28"/>
        </w:rPr>
        <w:t>线偏振一维平面相控阵天气雷达在结构上分为本地系统</w:t>
      </w:r>
      <w:r>
        <w:rPr>
          <w:rFonts w:ascii="仿宋_GB2312" w:eastAsia="仿宋_GB2312" w:hAnsi="仿宋_GB2312" w:cs="仿宋_GB2312" w:hint="eastAsia"/>
          <w:sz w:val="28"/>
          <w:szCs w:val="28"/>
        </w:rPr>
        <w:t>和远程系统。图1为雷达系统结构框图。</w:t>
      </w:r>
    </w:p>
    <w:p w:rsidR="00402E54">
      <w:pPr>
        <w:spacing w:line="360" w:lineRule="auto"/>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雷达本地</w:t>
      </w:r>
      <w:r>
        <w:rPr>
          <w:rFonts w:ascii="仿宋_GB2312" w:eastAsia="仿宋_GB2312" w:hAnsi="仿宋_GB2312" w:cs="仿宋_GB2312" w:hint="eastAsia"/>
          <w:sz w:val="28"/>
          <w:szCs w:val="28"/>
        </w:rPr>
        <w:t>系统主要包含天线罩、天线、伺服、数字收发单元、数字波束控制与合成单元、标定单元、信号处理单元和监控与显示单元。其中，数字收发单元、数字波束控制与合成单元、标定单元负责雷达的波束控制和信号收发，其它部分负责雷达天线转动控制、信号处理和状态监控。终端由通用计算机（或工作站）及显示器组成。其结构设计符合通用商业产品的设计标准。</w:t>
      </w:r>
    </w:p>
    <w:p w:rsidR="00402E54">
      <w:pPr>
        <w:jc w:val="center"/>
        <w:rPr>
          <w:rFonts w:ascii="Calibri" w:hAnsi="Calibri"/>
        </w:rPr>
      </w:pPr>
      <w:r>
        <w:rPr>
          <w:rFonts w:ascii="Calibri" w:hAnsi="Calibri"/>
          <w:noProof/>
        </w:rPr>
        <w:drawing>
          <wp:inline distT="0" distB="0" distL="0" distR="0">
            <wp:extent cx="4643755" cy="2790825"/>
            <wp:effectExtent l="0" t="0" r="0" b="0"/>
            <wp:docPr id="14445099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09958" name="图片 2"/>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4643755" cy="2790825"/>
                    </a:xfrm>
                    <a:prstGeom prst="rect">
                      <a:avLst/>
                    </a:prstGeom>
                    <a:noFill/>
                    <a:ln>
                      <a:noFill/>
                    </a:ln>
                  </pic:spPr>
                </pic:pic>
              </a:graphicData>
            </a:graphic>
          </wp:inline>
        </w:drawing>
      </w:r>
    </w:p>
    <w:p w:rsidR="00402E54">
      <w:pPr>
        <w:jc w:val="center"/>
        <w:rPr>
          <w:rFonts w:ascii="宋体" w:eastAsia="宋体" w:hAnsi="宋体" w:cs="宋体" w:hint="eastAsia"/>
        </w:rPr>
      </w:pPr>
      <w:r>
        <w:rPr>
          <w:rFonts w:ascii="宋体" w:eastAsia="宋体" w:hAnsi="宋体" w:cs="宋体" w:hint="eastAsia"/>
          <w:sz w:val="24"/>
          <w:szCs w:val="24"/>
        </w:rPr>
        <w:t>图1雷达系统结构框图</w:t>
      </w:r>
    </w:p>
    <w:p w:rsidR="00402E54">
      <w:pPr>
        <w:jc w:val="center"/>
        <w:rPr>
          <w:rFonts w:ascii="仿宋_GB2312" w:hAnsi="Calibri"/>
          <w:szCs w:val="28"/>
        </w:rPr>
      </w:pPr>
      <w:r>
        <w:rPr>
          <w:noProof/>
        </w:rPr>
        <w:drawing>
          <wp:inline distT="0" distB="0" distL="114300" distR="114300">
            <wp:extent cx="5564505" cy="4241165"/>
            <wp:effectExtent l="0" t="0" r="13335" b="1079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xmlns:r="http://schemas.openxmlformats.org/officeDocument/2006/relationships" r:embed="rId7"/>
                    <a:stretch>
                      <a:fillRect/>
                    </a:stretch>
                  </pic:blipFill>
                  <pic:spPr>
                    <a:xfrm>
                      <a:off x="0" y="0"/>
                      <a:ext cx="5564505" cy="4241165"/>
                    </a:xfrm>
                    <a:prstGeom prst="rect">
                      <a:avLst/>
                    </a:prstGeom>
                    <a:noFill/>
                    <a:ln>
                      <a:noFill/>
                    </a:ln>
                  </pic:spPr>
                </pic:pic>
              </a:graphicData>
            </a:graphic>
          </wp:inline>
        </w:drawing>
      </w:r>
    </w:p>
    <w:p w:rsidR="00402E54">
      <w:pPr>
        <w:jc w:val="center"/>
        <w:rPr>
          <w:rFonts w:ascii="仿宋_GB2312" w:hAnsi="Calibri"/>
          <w:szCs w:val="28"/>
        </w:rPr>
      </w:pPr>
      <w:r>
        <w:rPr>
          <w:rFonts w:ascii="仿宋_GB2312" w:hAnsi="Calibri" w:hint="eastAsia"/>
          <w:sz w:val="24"/>
          <w:szCs w:val="28"/>
        </w:rPr>
        <w:t>图</w:t>
      </w:r>
      <w:r>
        <w:rPr>
          <w:rFonts w:ascii="仿宋_GB2312" w:hAnsi="Calibri" w:hint="eastAsia"/>
          <w:sz w:val="24"/>
          <w:szCs w:val="28"/>
        </w:rPr>
        <w:t>2</w:t>
      </w:r>
      <w:r>
        <w:rPr>
          <w:rFonts w:ascii="仿宋_GB2312" w:hAnsi="Calibri" w:hint="eastAsia"/>
          <w:sz w:val="24"/>
          <w:szCs w:val="28"/>
        </w:rPr>
        <w:t>多雷达组网拓扑图</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远程系统主要为远程终端，通过网络通信进行数据传输和雷达控制，可安装在用户要求的任意场所。</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本地监控与显示单元和远程终端之间采用标准的TCP/IP网络协议和RJ45硬件接口或光纤连接。</w:t>
      </w:r>
    </w:p>
    <w:p w:rsidR="00402E54">
      <w:pPr>
        <w:numPr>
          <w:ilvl w:val="12"/>
          <w:numId w:val="0"/>
        </w:numPr>
        <w:ind w:firstLine="560" w:firstLineChars="200"/>
        <w:outlineLvl w:val="3"/>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3.12.3功能要求</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3.12.3.1功能要求概述</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X</w:t>
      </w:r>
      <w:r>
        <w:rPr>
          <w:rFonts w:ascii="仿宋_GB2312" w:eastAsia="仿宋_GB2312" w:hAnsi="仿宋_GB2312" w:cs="仿宋_GB2312" w:hint="eastAsia"/>
          <w:sz w:val="28"/>
          <w:szCs w:val="28"/>
        </w:rPr>
        <w:t>波段双</w:t>
      </w:r>
      <w:r>
        <w:rPr>
          <w:rFonts w:ascii="仿宋_GB2312" w:eastAsia="仿宋_GB2312" w:hAnsi="仿宋_GB2312" w:cs="仿宋_GB2312" w:hint="eastAsia"/>
          <w:sz w:val="28"/>
          <w:szCs w:val="28"/>
        </w:rPr>
        <w:t>线偏振一维平面相控阵天气雷达采用双线偏振</w:t>
      </w:r>
      <w:r>
        <w:rPr>
          <w:rFonts w:ascii="仿宋_GB2312" w:eastAsia="仿宋_GB2312" w:hAnsi="仿宋_GB2312" w:cs="仿宋_GB2312" w:hint="eastAsia"/>
          <w:sz w:val="28"/>
          <w:szCs w:val="28"/>
        </w:rPr>
        <w:t>同发同收全相</w:t>
      </w:r>
      <w:r>
        <w:rPr>
          <w:rFonts w:ascii="仿宋_GB2312" w:eastAsia="仿宋_GB2312" w:hAnsi="仿宋_GB2312" w:cs="仿宋_GB2312" w:hint="eastAsia"/>
          <w:sz w:val="28"/>
          <w:szCs w:val="28"/>
        </w:rPr>
        <w:t>参体制。应包括</w:t>
      </w:r>
      <w:r>
        <w:rPr>
          <w:rFonts w:ascii="仿宋_GB2312" w:eastAsia="仿宋_GB2312" w:hAnsi="仿宋_GB2312" w:cs="仿宋_GB2312" w:hint="eastAsia"/>
          <w:sz w:val="28"/>
          <w:szCs w:val="28"/>
        </w:rPr>
        <w:t>双发双收方</w:t>
      </w:r>
      <w:r>
        <w:rPr>
          <w:rFonts w:ascii="仿宋_GB2312" w:eastAsia="仿宋_GB2312" w:hAnsi="仿宋_GB2312" w:cs="仿宋_GB2312" w:hint="eastAsia"/>
          <w:sz w:val="28"/>
          <w:szCs w:val="28"/>
        </w:rPr>
        <w:t>式，即同时发射水平、垂直线偏振波，同时接收水平、垂直线偏振波。</w:t>
      </w:r>
      <w:r>
        <w:rPr>
          <w:rFonts w:ascii="仿宋_GB2312" w:eastAsia="仿宋_GB2312" w:hAnsi="仿宋_GB2312" w:cs="仿宋_GB2312" w:hint="eastAsia"/>
          <w:sz w:val="28"/>
          <w:szCs w:val="28"/>
        </w:rPr>
        <w:t>单发双</w:t>
      </w:r>
      <w:r>
        <w:rPr>
          <w:rFonts w:ascii="仿宋_GB2312" w:eastAsia="仿宋_GB2312" w:hAnsi="仿宋_GB2312" w:cs="仿宋_GB2312" w:hint="eastAsia"/>
          <w:sz w:val="28"/>
          <w:szCs w:val="28"/>
        </w:rPr>
        <w:t>收方式，即发射水平线偏振波，同时接收水平、垂直线偏振波；或发射垂直线偏振波，同时接收水平、垂直线偏振波。交替发射，同时接收。</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雷达应具有自动或人工干预检测和标定功能，并可根据标定结果对探测数据进行必要的修正以保证其准确性。</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X</w:t>
      </w:r>
      <w:r>
        <w:rPr>
          <w:rFonts w:ascii="仿宋_GB2312" w:eastAsia="仿宋_GB2312" w:hAnsi="仿宋_GB2312" w:cs="仿宋_GB2312" w:hint="eastAsia"/>
          <w:sz w:val="28"/>
          <w:szCs w:val="28"/>
        </w:rPr>
        <w:t>波段双</w:t>
      </w:r>
      <w:r>
        <w:rPr>
          <w:rFonts w:ascii="仿宋_GB2312" w:eastAsia="仿宋_GB2312" w:hAnsi="仿宋_GB2312" w:cs="仿宋_GB2312" w:hint="eastAsia"/>
          <w:sz w:val="28"/>
          <w:szCs w:val="28"/>
        </w:rPr>
        <w:t>线偏振一维平面相控阵天气雷达采用全固态数字收发单元、大动态数字接收机、低副瓣数字波束平面相控阵天线、实时图像显示等技术，具有高灵敏度、高可靠性、使用维护方便等特点。系统可连续自动运行，能在预置的扫描策略控制下覆盖指定体积空间以获得探测数据。雷达可根据标定结果对探测数据进行必要的修正以保证其准确性，并具备下列功能：</w:t>
      </w:r>
    </w:p>
    <w:p w:rsidR="00402E54">
      <w:pPr>
        <w:numPr>
          <w:ilvl w:val="0"/>
          <w:numId w:val="7"/>
        </w:num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产生微波脉冲信号并以双线偏振的形式发射的功能</w:t>
      </w:r>
    </w:p>
    <w:p w:rsidR="00402E54">
      <w:pPr>
        <w:numPr>
          <w:ilvl w:val="0"/>
          <w:numId w:val="7"/>
        </w:num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以双线偏振的形式接收，对气象回波进行处理，产生高质量数据的功能</w:t>
      </w:r>
    </w:p>
    <w:p w:rsidR="00402E54">
      <w:pPr>
        <w:numPr>
          <w:ilvl w:val="0"/>
          <w:numId w:val="7"/>
        </w:num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在线和离线标定功能（包含脉压得益、脉压损失、</w:t>
      </w:r>
      <w:r>
        <w:rPr>
          <w:rFonts w:ascii="仿宋_GB2312" w:eastAsia="仿宋_GB2312" w:hAnsi="仿宋_GB2312" w:cs="仿宋_GB2312" w:hint="eastAsia"/>
          <w:sz w:val="28"/>
          <w:szCs w:val="28"/>
        </w:rPr>
        <w:t>幅相校正</w:t>
      </w:r>
      <w:r>
        <w:rPr>
          <w:rFonts w:ascii="仿宋_GB2312" w:eastAsia="仿宋_GB2312" w:hAnsi="仿宋_GB2312" w:cs="仿宋_GB2312" w:hint="eastAsia"/>
          <w:sz w:val="28"/>
          <w:szCs w:val="28"/>
        </w:rPr>
        <w:t>等），实现关键参数的监测与校正</w:t>
      </w:r>
    </w:p>
    <w:p w:rsidR="00402E54">
      <w:pPr>
        <w:numPr>
          <w:ilvl w:val="0"/>
          <w:numId w:val="7"/>
        </w:num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自动故障检测和告警功能</w:t>
      </w:r>
    </w:p>
    <w:p w:rsidR="00402E54">
      <w:pPr>
        <w:numPr>
          <w:ilvl w:val="0"/>
          <w:numId w:val="7"/>
        </w:num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在本地和远程系统间自动实时传输数据和接收其指令的功能</w:t>
      </w:r>
    </w:p>
    <w:p w:rsidR="00402E54">
      <w:pPr>
        <w:numPr>
          <w:ilvl w:val="0"/>
          <w:numId w:val="7"/>
        </w:num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远程控制与实时监测功能</w:t>
      </w:r>
    </w:p>
    <w:p w:rsidR="00402E54">
      <w:pPr>
        <w:numPr>
          <w:ilvl w:val="0"/>
          <w:numId w:val="7"/>
        </w:num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组网协同控制功能，能够通过网络发送指令控制并调整雷达扫描策略</w:t>
      </w:r>
    </w:p>
    <w:p w:rsidR="00402E54">
      <w:pPr>
        <w:numPr>
          <w:ilvl w:val="0"/>
          <w:numId w:val="7"/>
        </w:num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通过参数设置实现基于径向的扫描策略</w:t>
      </w:r>
    </w:p>
    <w:p w:rsidR="00402E54">
      <w:pPr>
        <w:numPr>
          <w:ilvl w:val="0"/>
          <w:numId w:val="7"/>
        </w:numP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能够按照要求的格式存储至少4min每个接收通道波束合成前和合成后的I/Q数据</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3.12.3.2天线功能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采用双线偏振平面相控阵天线，用于辐射微波能量和接收目标后向散射的微波信号。天线采用有源形式，天线与分布式数字收发单元相连接，通过控制各个信号通道幅度和相位，实现波束在垂直方向上的电子扫描，覆盖-2°～+60°扫描范围。</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3.12.3.3伺服功能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方位方向采用机械扫描，方位控制选用数字式伺服系统，高精度伺服电机驱动，实现360°连续旋转扫描。雷达应支持平面位置扫描、体积扫描、扇形扫描、定点扫描等多种扫描方式，各种扫描方式均由软件控制完成。俯仰方向机械转动采用电机驱动，伺服应具备使天线阵面法向在俯仰0°～90°转动和定位的能力。</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3.12.3.4数字收发单元功能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数字收发单元采用全固态体制，完成发射信号由数字信号到模拟信号的转换，并进行上变频和功率放大；完成接收信号低噪声放大、下变频、滤波及数字采集等功能。</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3.12.3.5发射单元功能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雷达采用分布式发射结构，每一个发射单元与对应天线单元相连接，通过有源方式在空间进行功率合成。雷达发射单元主要由上变频链路、功率放大器、收发开关、电源、故障检测及保护电路组成，用于产生雷达系统所需要的大功率射频信号。</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雷达发射单元采用全固态放大链功率合成的方式，将激励信号通过功率放大后，输出大功率微波信号。分布式发射单元输出的微波功率信号送入天线的每一个辐射单元，由天线向空间辐射；接收雷达监</w:t>
      </w:r>
      <w:r>
        <w:rPr>
          <w:rFonts w:ascii="仿宋_GB2312" w:eastAsia="仿宋_GB2312" w:hAnsi="仿宋_GB2312" w:cs="仿宋_GB2312" w:hint="eastAsia"/>
          <w:sz w:val="28"/>
          <w:szCs w:val="28"/>
        </w:rPr>
        <w:t>控单元的控制指令，完成对发射单元的各种控制，并向监控单元反馈发射单元的工作状态和故障信息。</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3.12.3.6接收单元功能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雷达采用分布式接收结构，每一个接收单元与相对应天线单元相连接。接收单元主要完成回波信号的低噪声放大、滤波、下变频和数字中频采样；接收雷达监控单元的控制指令，完成对接收单元的各种控制，并向监控单元反馈接收单元的工作状态和故障信息。</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3.12.3.7数字波束控制与合成功能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数字波束控制与合成单元可根据终端指令控制每个收发单元的幅度和相位，使波束在工作范围内精准指向；幅度/相位控制应支持多种加权模式，使雷达的收发旁瓣受控，适用于不同场合；具备同时多波束接收能力，并可完成接收多波束数字合成。具备空间</w:t>
      </w:r>
      <w:r>
        <w:rPr>
          <w:rFonts w:ascii="仿宋_GB2312" w:eastAsia="仿宋_GB2312" w:hAnsi="仿宋_GB2312" w:cs="仿宋_GB2312" w:hint="eastAsia"/>
          <w:sz w:val="28"/>
          <w:szCs w:val="28"/>
        </w:rPr>
        <w:t>波束捷变功能</w:t>
      </w:r>
      <w:r>
        <w:rPr>
          <w:rFonts w:ascii="仿宋_GB2312" w:eastAsia="仿宋_GB2312" w:hAnsi="仿宋_GB2312" w:cs="仿宋_GB2312" w:hint="eastAsia"/>
          <w:sz w:val="28"/>
          <w:szCs w:val="28"/>
        </w:rPr>
        <w:t>。所有单元的波束控制与合成都应该是独立的。</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波束控制和合成在数字域上完成，并应具备</w:t>
      </w:r>
      <w:r>
        <w:rPr>
          <w:rFonts w:ascii="仿宋_GB2312" w:eastAsia="仿宋_GB2312" w:hAnsi="仿宋_GB2312" w:cs="仿宋_GB2312" w:hint="eastAsia"/>
          <w:sz w:val="28"/>
          <w:szCs w:val="28"/>
        </w:rPr>
        <w:t>宽发窄收和窄发窄收</w:t>
      </w:r>
      <w:r>
        <w:rPr>
          <w:rFonts w:ascii="仿宋_GB2312" w:eastAsia="仿宋_GB2312" w:hAnsi="仿宋_GB2312" w:cs="仿宋_GB2312" w:hint="eastAsia"/>
          <w:sz w:val="28"/>
          <w:szCs w:val="28"/>
        </w:rPr>
        <w:t>能力。</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能够对每个单元的</w:t>
      </w:r>
      <w:r>
        <w:rPr>
          <w:rFonts w:ascii="仿宋_GB2312" w:eastAsia="仿宋_GB2312" w:hAnsi="仿宋_GB2312" w:cs="仿宋_GB2312" w:hint="eastAsia"/>
          <w:sz w:val="28"/>
          <w:szCs w:val="28"/>
        </w:rPr>
        <w:t>幅相测量</w:t>
      </w:r>
      <w:r>
        <w:rPr>
          <w:rFonts w:ascii="仿宋_GB2312" w:eastAsia="仿宋_GB2312" w:hAnsi="仿宋_GB2312" w:cs="仿宋_GB2312" w:hint="eastAsia"/>
          <w:sz w:val="28"/>
          <w:szCs w:val="28"/>
        </w:rPr>
        <w:t>值进行处理，并能够记录和输出订正前和订正后的数据。</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能够对</w:t>
      </w:r>
      <w:r>
        <w:rPr>
          <w:rFonts w:ascii="仿宋_GB2312" w:eastAsia="仿宋_GB2312" w:hAnsi="仿宋_GB2312" w:cs="仿宋_GB2312" w:hint="eastAsia"/>
          <w:sz w:val="28"/>
          <w:szCs w:val="28"/>
        </w:rPr>
        <w:t>宽发导致</w:t>
      </w:r>
      <w:r>
        <w:rPr>
          <w:rFonts w:ascii="仿宋_GB2312" w:eastAsia="仿宋_GB2312" w:hAnsi="仿宋_GB2312" w:cs="仿宋_GB2312" w:hint="eastAsia"/>
          <w:sz w:val="28"/>
          <w:szCs w:val="28"/>
        </w:rPr>
        <w:t>的发射天线方向图变化进行订正。</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3.12.3.8信号处理功能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信号处理单元具有多普勒和双线偏振信号的处理能力。信号处理主要包括脉冲压缩处理、积分处理、脉冲对处理（PPP）和快速傅里叶变换（FFT），可输出强度Z（滤波前和滤波后）、径向速度V、速度</w:t>
      </w:r>
      <w:r>
        <w:rPr>
          <w:rFonts w:ascii="仿宋_GB2312" w:eastAsia="仿宋_GB2312" w:hAnsi="仿宋_GB2312" w:cs="仿宋_GB2312" w:hint="eastAsia"/>
          <w:sz w:val="28"/>
          <w:szCs w:val="28"/>
        </w:rPr>
        <w:t>谱宽W、差分反射率因子ZDR、差分传播相移ΦDP、差分传播相移率KDP、相关系数ρhv和信噪比SNR等数据，同时具有速度退模糊和距离退折叠的能力。该模块还能向终端提供观测数据和状态信息等。</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信号处理单元对信号强度的估算，在距离上采用可由用户选择</w:t>
      </w:r>
      <w:r>
        <w:rPr>
          <w:rFonts w:ascii="仿宋_GB2312" w:eastAsia="仿宋_GB2312" w:hAnsi="仿宋_GB2312" w:cs="仿宋_GB2312" w:hint="eastAsia"/>
          <w:sz w:val="28"/>
          <w:szCs w:val="28"/>
        </w:rPr>
        <w:t>的按库累积</w:t>
      </w:r>
      <w:r>
        <w:rPr>
          <w:rFonts w:ascii="仿宋_GB2312" w:eastAsia="仿宋_GB2312" w:hAnsi="仿宋_GB2312" w:cs="仿宋_GB2312" w:hint="eastAsia"/>
          <w:sz w:val="28"/>
          <w:szCs w:val="28"/>
        </w:rPr>
        <w:t>平均，在方位角上采用累积平均。径向速度、速度谱宽的估算采用PPP、FFT或其他等效算法，并可使用双重</w:t>
      </w:r>
      <w:r>
        <w:rPr>
          <w:rFonts w:ascii="仿宋_GB2312" w:eastAsia="仿宋_GB2312" w:hAnsi="仿宋_GB2312" w:cs="仿宋_GB2312" w:hint="eastAsia"/>
          <w:sz w:val="28"/>
          <w:szCs w:val="28"/>
        </w:rPr>
        <w:t>频</w:t>
      </w:r>
      <w:r>
        <w:rPr>
          <w:rFonts w:ascii="仿宋_GB2312" w:eastAsia="仿宋_GB2312" w:hAnsi="仿宋_GB2312" w:cs="仿宋_GB2312" w:hint="eastAsia"/>
          <w:sz w:val="28"/>
          <w:szCs w:val="28"/>
        </w:rPr>
        <w:t>进行扫描。具有地物、电磁干扰、风电场等非气象回波识别和抑制的能力。</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3.12.3.9雷达标定功能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系统应具备专用性能参数测试平台，通过机内外仪表等设备开展系统主要参数指标的自动测试及标定的功能。标定功能按照在线标定、离线标定两类进行设计</w:t>
      </w:r>
      <w:bookmarkStart w:id="60" w:name="_Hlk14795891"/>
      <w:r>
        <w:rPr>
          <w:rFonts w:ascii="仿宋_GB2312" w:eastAsia="仿宋_GB2312" w:hAnsi="仿宋_GB2312" w:cs="仿宋_GB2312" w:hint="eastAsia"/>
          <w:sz w:val="28"/>
          <w:szCs w:val="28"/>
        </w:rPr>
        <w:t>。雷达根据预先设置的测试程序，自动完成各项参数的测试和结果存储。</w:t>
      </w:r>
      <w:bookmarkEnd w:id="60"/>
      <w:r>
        <w:rPr>
          <w:rFonts w:ascii="仿宋_GB2312" w:eastAsia="仿宋_GB2312" w:hAnsi="仿宋_GB2312" w:cs="仿宋_GB2312" w:hint="eastAsia"/>
          <w:sz w:val="28"/>
          <w:szCs w:val="28"/>
        </w:rPr>
        <w:t>标定结果设有独立告警门限并在记录文件中保存，在</w:t>
      </w:r>
      <w:r>
        <w:rPr>
          <w:rFonts w:ascii="仿宋_GB2312" w:eastAsia="仿宋_GB2312" w:hAnsi="仿宋_GB2312" w:cs="仿宋_GB2312" w:hint="eastAsia"/>
          <w:sz w:val="28"/>
          <w:szCs w:val="28"/>
        </w:rPr>
        <w:t>本地可</w:t>
      </w:r>
      <w:r>
        <w:rPr>
          <w:rFonts w:ascii="仿宋_GB2312" w:eastAsia="仿宋_GB2312" w:hAnsi="仿宋_GB2312" w:cs="仿宋_GB2312" w:hint="eastAsia"/>
          <w:sz w:val="28"/>
          <w:szCs w:val="28"/>
        </w:rPr>
        <w:t>保存不少于6个月的数据，并可在固定目录下查看历史标定记录。</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3.12.3.10在线标定功能</w:t>
      </w:r>
    </w:p>
    <w:p w:rsidR="00402E54">
      <w:pPr>
        <w:numPr>
          <w:ilvl w:val="1"/>
          <w:numId w:val="0"/>
        </w:num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1.收发单元标定</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每个收发单元具备收发</w:t>
      </w:r>
      <w:r>
        <w:rPr>
          <w:rFonts w:ascii="仿宋_GB2312" w:eastAsia="仿宋_GB2312" w:hAnsi="仿宋_GB2312" w:cs="仿宋_GB2312" w:hint="eastAsia"/>
          <w:sz w:val="28"/>
          <w:szCs w:val="28"/>
        </w:rPr>
        <w:t>幅相测试</w:t>
      </w:r>
      <w:r>
        <w:rPr>
          <w:rFonts w:ascii="仿宋_GB2312" w:eastAsia="仿宋_GB2312" w:hAnsi="仿宋_GB2312" w:cs="仿宋_GB2312" w:hint="eastAsia"/>
          <w:sz w:val="28"/>
          <w:szCs w:val="28"/>
        </w:rPr>
        <w:t>能力，标定周期可任意设置，做完一次包含所有单元标定的时间不超过6min（增强型）。</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收发单元在线标定</w:t>
      </w:r>
      <w:r>
        <w:rPr>
          <w:rFonts w:ascii="仿宋_GB2312" w:eastAsia="仿宋_GB2312" w:hAnsi="仿宋_GB2312" w:cs="仿宋_GB2312" w:hint="eastAsia"/>
          <w:sz w:val="28"/>
          <w:szCs w:val="28"/>
        </w:rPr>
        <w:t>项包括</w:t>
      </w:r>
      <w:r>
        <w:rPr>
          <w:rFonts w:ascii="仿宋_GB2312" w:eastAsia="仿宋_GB2312" w:hAnsi="仿宋_GB2312" w:cs="仿宋_GB2312" w:hint="eastAsia"/>
          <w:sz w:val="28"/>
          <w:szCs w:val="28"/>
        </w:rPr>
        <w:t>但不限于发射峰值功率、接收噪声系数、相位噪声等。</w:t>
      </w:r>
    </w:p>
    <w:p w:rsidR="00402E54">
      <w:pPr>
        <w:numPr>
          <w:ilvl w:val="1"/>
          <w:numId w:val="0"/>
        </w:num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2.系统标定</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系统在线标定应能够使用每个收发单元的测试数据通过特定算</w:t>
      </w:r>
      <w:r>
        <w:rPr>
          <w:rFonts w:ascii="仿宋_GB2312" w:eastAsia="仿宋_GB2312" w:hAnsi="仿宋_GB2312" w:cs="仿宋_GB2312" w:hint="eastAsia"/>
          <w:sz w:val="28"/>
          <w:szCs w:val="28"/>
        </w:rPr>
        <w:t>法形成系统标定结果，标定项目包括但不限于发射峰值功率、接收噪声系数、接收动态范围、系统相位噪声、回波强度、滤波前后功率比、径向速度、差分反射率因子、差分传播相移、通道</w:t>
      </w:r>
      <w:r>
        <w:rPr>
          <w:rFonts w:ascii="仿宋_GB2312" w:eastAsia="仿宋_GB2312" w:hAnsi="仿宋_GB2312" w:cs="仿宋_GB2312" w:hint="eastAsia"/>
          <w:sz w:val="28"/>
          <w:szCs w:val="28"/>
        </w:rPr>
        <w:t>间幅相</w:t>
      </w:r>
      <w:r>
        <w:rPr>
          <w:rFonts w:ascii="仿宋_GB2312" w:eastAsia="仿宋_GB2312" w:hAnsi="仿宋_GB2312" w:cs="仿宋_GB2312" w:hint="eastAsia"/>
          <w:sz w:val="28"/>
          <w:szCs w:val="28"/>
        </w:rPr>
        <w:t>一致性、标定常数等。雷达可依据标定结果自动修正偏差，提高雷达探测准确度。</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3.12.3.11离线标定功能</w:t>
      </w:r>
    </w:p>
    <w:p w:rsidR="00402E54">
      <w:pPr>
        <w:numPr>
          <w:ilvl w:val="1"/>
          <w:numId w:val="0"/>
        </w:num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1.收发单元标定</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收发单元离线标定</w:t>
      </w:r>
      <w:r>
        <w:rPr>
          <w:rFonts w:ascii="仿宋_GB2312" w:eastAsia="仿宋_GB2312" w:hAnsi="仿宋_GB2312" w:cs="仿宋_GB2312" w:hint="eastAsia"/>
          <w:sz w:val="28"/>
          <w:szCs w:val="28"/>
        </w:rPr>
        <w:t>项包括</w:t>
      </w:r>
      <w:r>
        <w:rPr>
          <w:rFonts w:ascii="仿宋_GB2312" w:eastAsia="仿宋_GB2312" w:hAnsi="仿宋_GB2312" w:cs="仿宋_GB2312" w:hint="eastAsia"/>
          <w:sz w:val="28"/>
          <w:szCs w:val="28"/>
        </w:rPr>
        <w:t>但不限于发射脉冲宽度、发射峰值功率、发射信号相位、发射脉冲射频频谱、发射输出极限改善因子、接收噪声系数、最小可测功率、接收动态范围、相位噪声等。</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根据离线标定结果订正在线标定误差。</w:t>
      </w:r>
    </w:p>
    <w:p w:rsidR="00402E54">
      <w:pPr>
        <w:numPr>
          <w:ilvl w:val="1"/>
          <w:numId w:val="0"/>
        </w:num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2.系统标定</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系统离线标定主要采用远场方式，根据离线标定结果订正在线标定误差。标定</w:t>
      </w:r>
      <w:r>
        <w:rPr>
          <w:rFonts w:ascii="仿宋_GB2312" w:eastAsia="仿宋_GB2312" w:hAnsi="仿宋_GB2312" w:cs="仿宋_GB2312" w:hint="eastAsia"/>
          <w:sz w:val="28"/>
          <w:szCs w:val="28"/>
        </w:rPr>
        <w:t>项包括</w:t>
      </w:r>
      <w:r>
        <w:rPr>
          <w:rFonts w:ascii="仿宋_GB2312" w:eastAsia="仿宋_GB2312" w:hAnsi="仿宋_GB2312" w:cs="仿宋_GB2312" w:hint="eastAsia"/>
          <w:sz w:val="28"/>
          <w:szCs w:val="28"/>
        </w:rPr>
        <w:t>但不限于天线波束指向误差、发射脉冲宽度、全相参等效全向辐射功率（EIRP）、发射脉冲射频频谱、发射输出极限改善因子、全相参增益与噪声温度比（G/T）、最小可测功率、接收动态范围、脉冲压缩主副瓣比、系统相位噪声、地物对消能力、回波强度、径向速度、差分反射率因子、差分传播相移等。主要测试项目及测试方法包括：</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（1）天线波束指向误差：采用太阳作为信号源或使用等效方法检查天线波束指向误差。</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（2）发射脉冲宽度、全相参等效全向辐射功率（EIRP）、发射脉冲射频频谱、发射输出极限改善因子、全相参G/T、最小可测功率、</w:t>
      </w:r>
      <w:r>
        <w:rPr>
          <w:rFonts w:ascii="仿宋_GB2312" w:eastAsia="仿宋_GB2312" w:hAnsi="仿宋_GB2312" w:cs="仿宋_GB2312" w:hint="eastAsia"/>
          <w:sz w:val="28"/>
          <w:szCs w:val="28"/>
        </w:rPr>
        <w:t>接收动态范围、脉冲压缩主副瓣比、系统相位噪声、回波强度、径向速度、差分反射率因子、差分传播相移：使用专用测量设备。</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（3）地物对消能力：比较对消前和对消后的回波强度，检查系统对实际地物的抑制能力。</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（4）金属球自动标定：使用标准反射金属球对回波强度、差分反射率因子、差分传播相移、相关系数进行标定。</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（5）天顶法：采用小雨滴作为球形散射体检查两个极化的一致性。</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（6）具备自动性能参数测试功能（机内、机外）。</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（7）自动生成月、</w:t>
      </w:r>
      <w:r>
        <w:rPr>
          <w:rFonts w:ascii="仿宋_GB2312" w:eastAsia="仿宋_GB2312" w:hAnsi="仿宋_GB2312" w:cs="仿宋_GB2312" w:hint="eastAsia"/>
          <w:sz w:val="28"/>
          <w:szCs w:val="28"/>
        </w:rPr>
        <w:t>年维护</w:t>
      </w:r>
      <w:r>
        <w:rPr>
          <w:rFonts w:ascii="仿宋_GB2312" w:eastAsia="仿宋_GB2312" w:hAnsi="仿宋_GB2312" w:cs="仿宋_GB2312" w:hint="eastAsia"/>
          <w:sz w:val="28"/>
          <w:szCs w:val="28"/>
        </w:rPr>
        <w:t>标定和测试报告、报表，自动上传。</w:t>
      </w:r>
    </w:p>
    <w:p w:rsidR="00402E54">
      <w:pPr>
        <w:numPr>
          <w:ilvl w:val="1"/>
          <w:numId w:val="0"/>
        </w:numPr>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3.12.3.12监控与显示功能</w:t>
      </w:r>
    </w:p>
    <w:p w:rsidR="00402E54">
      <w:pPr>
        <w:keepNext/>
        <w:keepLines/>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雷达及附属设备监测应具备以下功能：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1.具备本地和远程在线监测，显示雷达自动测试结果，并上</w:t>
      </w:r>
      <w:r>
        <w:rPr>
          <w:rFonts w:ascii="仿宋_GB2312" w:eastAsia="仿宋_GB2312" w:hAnsi="仿宋_GB2312" w:cs="仿宋_GB2312" w:hint="eastAsia"/>
          <w:sz w:val="28"/>
          <w:szCs w:val="28"/>
        </w:rPr>
        <w:t>传基础</w:t>
      </w:r>
      <w:r>
        <w:rPr>
          <w:rFonts w:ascii="仿宋_GB2312" w:eastAsia="仿宋_GB2312" w:hAnsi="仿宋_GB2312" w:cs="仿宋_GB2312" w:hint="eastAsia"/>
          <w:sz w:val="28"/>
          <w:szCs w:val="28"/>
        </w:rPr>
        <w:t>参数的能力，其中基础参数包括但不限于：雷达静态参数、雷达运行模式参数、雷达在线标定参数等。</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2.完整记录适配参数变更、软件更迭等信息。</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3.雷达机内测试设备应实时监测对雷达工作有影响的因素，并根据影响情况分为有影响和严重影响两类，分别对应于一般告警和自动停机告警两种，并自动存储、上传工作状态和告警信息。</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4.对雷达运行环境状态参数进行在线采集、监测、显示、记录并上传，上传参数包括但不限于天线阵面温度、底座温度。</w:t>
      </w:r>
    </w:p>
    <w:p w:rsidR="00402E54">
      <w:pPr>
        <w:keepNext/>
        <w:keepLines/>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3.12.3.13远程控制功能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1.具备本地、远程监视和遥控能力，包括但不限于控制开关机、观测模式切换、查看标定结果、修改适配参数等。</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2.具有软件远程升级功能，并具有雷达运行与维护的</w:t>
      </w:r>
      <w:r>
        <w:rPr>
          <w:rFonts w:ascii="仿宋_GB2312" w:eastAsia="仿宋_GB2312" w:hAnsi="仿宋_GB2312" w:cs="仿宋_GB2312" w:hint="eastAsia"/>
          <w:sz w:val="28"/>
          <w:szCs w:val="28"/>
        </w:rPr>
        <w:t>远程支持</w:t>
      </w:r>
      <w:r>
        <w:rPr>
          <w:rFonts w:ascii="仿宋_GB2312" w:eastAsia="仿宋_GB2312" w:hAnsi="仿宋_GB2312" w:cs="仿宋_GB2312" w:hint="eastAsia"/>
          <w:sz w:val="28"/>
          <w:szCs w:val="28"/>
        </w:rPr>
        <w:t>能力，测试</w:t>
      </w:r>
      <w:r>
        <w:rPr>
          <w:rFonts w:ascii="仿宋_GB2312" w:eastAsia="仿宋_GB2312" w:hAnsi="仿宋_GB2312" w:cs="仿宋_GB2312" w:hint="eastAsia"/>
          <w:sz w:val="28"/>
          <w:szCs w:val="28"/>
        </w:rPr>
        <w:t>项包括</w:t>
      </w:r>
      <w:r>
        <w:rPr>
          <w:rFonts w:ascii="仿宋_GB2312" w:eastAsia="仿宋_GB2312" w:hAnsi="仿宋_GB2312" w:cs="仿宋_GB2312" w:hint="eastAsia"/>
          <w:sz w:val="28"/>
          <w:szCs w:val="28"/>
        </w:rPr>
        <w:t>但不限于伺服角度控制误差、天线波束指向误差、发射峰值功率、接收噪声系数、接收动态范围、脉冲压缩主副瓣比、系统相位噪声、滤波前后功率比、回波强度、径向速度、差分反射率因子、差分传播相移等。</w:t>
      </w:r>
    </w:p>
    <w:p w:rsidR="00402E54">
      <w:pPr>
        <w:keepNext/>
        <w:keepLines/>
        <w:ind w:firstLine="560" w:firstLineChars="200"/>
        <w:outlineLvl w:val="4"/>
        <w:rPr>
          <w:rFonts w:ascii="仿宋_GB2312" w:eastAsia="仿宋_GB2312" w:hAnsi="仿宋_GB2312" w:cs="仿宋_GB2312" w:hint="eastAsia"/>
          <w:sz w:val="28"/>
          <w:szCs w:val="28"/>
        </w:rPr>
      </w:pPr>
      <w:bookmarkStart w:id="61" w:name="_Toc524551142"/>
      <w:r>
        <w:rPr>
          <w:rFonts w:ascii="仿宋_GB2312" w:eastAsia="仿宋_GB2312" w:hAnsi="仿宋_GB2312" w:cs="仿宋_GB2312" w:hint="eastAsia"/>
          <w:sz w:val="28"/>
          <w:szCs w:val="28"/>
        </w:rPr>
        <w:t>3.12.3.14</w:t>
      </w:r>
      <w:r>
        <w:rPr>
          <w:rFonts w:ascii="仿宋_GB2312" w:eastAsia="仿宋_GB2312" w:hAnsi="仿宋_GB2312" w:cs="仿宋_GB2312" w:hint="eastAsia"/>
          <w:sz w:val="28"/>
          <w:szCs w:val="28"/>
        </w:rPr>
        <w:t>设备级质控及</w:t>
      </w:r>
      <w:r>
        <w:rPr>
          <w:rFonts w:ascii="仿宋_GB2312" w:eastAsia="仿宋_GB2312" w:hAnsi="仿宋_GB2312" w:cs="仿宋_GB2312" w:hint="eastAsia"/>
          <w:sz w:val="28"/>
          <w:szCs w:val="28"/>
        </w:rPr>
        <w:t>气象产品显示</w:t>
      </w:r>
      <w:bookmarkEnd w:id="61"/>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对基数据进行</w:t>
      </w:r>
      <w:r>
        <w:rPr>
          <w:rFonts w:ascii="仿宋_GB2312" w:eastAsia="仿宋_GB2312" w:hAnsi="仿宋_GB2312" w:cs="仿宋_GB2312" w:hint="eastAsia"/>
          <w:sz w:val="28"/>
          <w:szCs w:val="28"/>
        </w:rPr>
        <w:t>设备级质</w:t>
      </w:r>
      <w:r>
        <w:rPr>
          <w:rFonts w:ascii="仿宋_GB2312" w:eastAsia="仿宋_GB2312" w:hAnsi="仿宋_GB2312" w:cs="仿宋_GB2312" w:hint="eastAsia"/>
          <w:sz w:val="28"/>
          <w:szCs w:val="28"/>
        </w:rPr>
        <w:t>控，包括滤波、杂波校正因子（CCOR）门限、电磁干扰抑制、速度退模糊、距离退折叠、异常回波标记等。</w:t>
      </w:r>
      <w:bookmarkStart w:id="62" w:name="_Hlk19004266"/>
      <w:r>
        <w:rPr>
          <w:rFonts w:ascii="仿宋_GB2312" w:eastAsia="仿宋_GB2312" w:hAnsi="仿宋_GB2312" w:cs="仿宋_GB2312" w:hint="eastAsia"/>
          <w:sz w:val="28"/>
          <w:szCs w:val="28"/>
        </w:rPr>
        <w:t>质控前后的</w:t>
      </w:r>
      <w:r>
        <w:rPr>
          <w:rFonts w:ascii="仿宋_GB2312" w:eastAsia="仿宋_GB2312" w:hAnsi="仿宋_GB2312" w:cs="仿宋_GB2312" w:hint="eastAsia"/>
          <w:sz w:val="28"/>
          <w:szCs w:val="28"/>
        </w:rPr>
        <w:t>基数据都具备</w:t>
      </w:r>
      <w:r>
        <w:rPr>
          <w:rFonts w:ascii="仿宋_GB2312" w:eastAsia="仿宋_GB2312" w:hAnsi="仿宋_GB2312" w:cs="仿宋_GB2312" w:hint="eastAsia"/>
          <w:sz w:val="28"/>
          <w:szCs w:val="28"/>
        </w:rPr>
        <w:t>存储功能。</w:t>
      </w:r>
      <w:bookmarkEnd w:id="62"/>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雷达能够输出强度（Z）、速度（V）、谱宽（W）、差分反射率因子（ZDR）、差分传播相移（ΦDP）、差分传播相移率（KDP）、相关系数（ρhv）、信噪比（SNR）等基本量，在单发双收模式下能够输出退偏振比（LDR）。</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雷达通过图形、图像方式将产品提供给用户，做天气现象分析和预报使用。</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1）气象产品实时图形显示；</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2）具备对监测的所有参数显示及超限告警提示显示功能等；</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3）气象产品查询；</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4）鼠标位置显示，数值及产品信息显示；</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5）数据分层显示；</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6）多仰角、多要素同时显示功能；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7）游标显示（方位、距离、高度和数值等）；</w:t>
      </w:r>
    </w:p>
    <w:p w:rsidR="00402E54">
      <w:pPr>
        <w:keepNext/>
        <w:keepLines/>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8）强对流天气显示、报警；冰雹、雷暴大风、短时强降水等预警。</w:t>
      </w:r>
    </w:p>
    <w:p w:rsidR="00402E54">
      <w:pPr>
        <w:keepNext/>
        <w:keepLines/>
        <w:ind w:firstLine="560" w:firstLineChars="200"/>
        <w:outlineLvl w:val="4"/>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3.12.3.15授时功能</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能够通过卫星授时或网络授时定期校准时间，使雷达时间准确度优于1s。</w:t>
      </w:r>
    </w:p>
    <w:p w:rsidR="00402E54">
      <w:pPr>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3.13 单部雷达附属设备及技术参数</w:t>
      </w:r>
    </w:p>
    <w:p w:rsidR="00402E54">
      <w:pPr>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每部X</w:t>
      </w:r>
      <w:r>
        <w:rPr>
          <w:rFonts w:ascii="仿宋_GB2312" w:eastAsia="仿宋_GB2312" w:hAnsi="仿宋_GB2312" w:cs="仿宋_GB2312" w:hint="eastAsia"/>
          <w:sz w:val="28"/>
          <w:szCs w:val="28"/>
        </w:rPr>
        <w:t>波段双</w:t>
      </w:r>
      <w:r>
        <w:rPr>
          <w:rFonts w:ascii="仿宋_GB2312" w:eastAsia="仿宋_GB2312" w:hAnsi="仿宋_GB2312" w:cs="仿宋_GB2312" w:hint="eastAsia"/>
          <w:sz w:val="28"/>
          <w:szCs w:val="28"/>
        </w:rPr>
        <w:t>线偏振一维平面相控阵天气雷达配备一套附属设备，保障雷达运行。设备配置及技术参数见下表。</w:t>
      </w:r>
    </w:p>
    <w:tbl>
      <w:tblPr>
        <w:tblStyle w:val="TableNormal"/>
        <w:tblpPr w:leftFromText="180" w:rightFromText="180" w:vertAnchor="text" w:tblpXSpec="center" w:tblpY="1"/>
        <w:tblOverlap w:val="never"/>
        <w:tblW w:w="852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tblPr>
      <w:tblGrid>
        <w:gridCol w:w="534"/>
        <w:gridCol w:w="1029"/>
        <w:gridCol w:w="5787"/>
        <w:gridCol w:w="586"/>
        <w:gridCol w:w="586"/>
      </w:tblGrid>
      <w:tr>
        <w:tblPrEx>
          <w:tblW w:w="852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tblPrEx>
        <w:trPr>
          <w:tblHeader/>
        </w:trPr>
        <w:tc>
          <w:tcPr>
            <w:tcW w:w="534" w:type="dxa"/>
            <w:vAlign w:val="bottom"/>
          </w:tcPr>
          <w:p w:rsidR="00402E54">
            <w:pPr>
              <w:pStyle w:val="NoSpacing"/>
              <w:snapToGrid w:val="0"/>
              <w:jc w:val="center"/>
              <w:rPr>
                <w:rFonts w:hint="eastAsia"/>
                <w:b/>
                <w:spacing w:val="6"/>
              </w:rPr>
            </w:pPr>
            <w:r>
              <w:rPr>
                <w:b/>
                <w:spacing w:val="6"/>
              </w:rPr>
              <w:t>序号</w:t>
            </w:r>
          </w:p>
        </w:tc>
        <w:tc>
          <w:tcPr>
            <w:tcW w:w="1029" w:type="dxa"/>
            <w:vAlign w:val="bottom"/>
          </w:tcPr>
          <w:p w:rsidR="00402E54">
            <w:pPr>
              <w:pStyle w:val="NoSpacing"/>
              <w:snapToGrid w:val="0"/>
              <w:jc w:val="center"/>
              <w:rPr>
                <w:rFonts w:hint="eastAsia"/>
                <w:b/>
                <w:spacing w:val="6"/>
              </w:rPr>
            </w:pPr>
            <w:r>
              <w:rPr>
                <w:b/>
                <w:spacing w:val="6"/>
              </w:rPr>
              <w:t>产品大类</w:t>
            </w:r>
          </w:p>
        </w:tc>
        <w:tc>
          <w:tcPr>
            <w:tcW w:w="5788" w:type="dxa"/>
            <w:vAlign w:val="bottom"/>
          </w:tcPr>
          <w:p w:rsidR="00402E54">
            <w:pPr>
              <w:pStyle w:val="NoSpacing"/>
              <w:snapToGrid w:val="0"/>
              <w:jc w:val="center"/>
              <w:rPr>
                <w:rFonts w:hint="eastAsia"/>
                <w:b/>
                <w:spacing w:val="6"/>
              </w:rPr>
            </w:pPr>
            <w:r>
              <w:rPr>
                <w:b/>
                <w:spacing w:val="6"/>
              </w:rPr>
              <w:t>产品名称</w:t>
            </w:r>
            <w:r>
              <w:rPr>
                <w:rFonts w:hint="eastAsia"/>
                <w:b/>
                <w:spacing w:val="6"/>
              </w:rPr>
              <w:t>及参数</w:t>
            </w:r>
          </w:p>
        </w:tc>
        <w:tc>
          <w:tcPr>
            <w:tcW w:w="586" w:type="dxa"/>
            <w:vAlign w:val="bottom"/>
          </w:tcPr>
          <w:p w:rsidR="00402E54">
            <w:pPr>
              <w:pStyle w:val="NoSpacing"/>
              <w:snapToGrid w:val="0"/>
              <w:jc w:val="center"/>
              <w:rPr>
                <w:rFonts w:hint="eastAsia"/>
                <w:b/>
                <w:spacing w:val="6"/>
              </w:rPr>
            </w:pPr>
            <w:r>
              <w:rPr>
                <w:b/>
                <w:spacing w:val="6"/>
              </w:rPr>
              <w:t>数量</w:t>
            </w:r>
          </w:p>
        </w:tc>
        <w:tc>
          <w:tcPr>
            <w:tcW w:w="586" w:type="dxa"/>
            <w:vAlign w:val="bottom"/>
          </w:tcPr>
          <w:p w:rsidR="00402E54">
            <w:pPr>
              <w:pStyle w:val="NoSpacing"/>
              <w:snapToGrid w:val="0"/>
              <w:jc w:val="center"/>
              <w:rPr>
                <w:rFonts w:hint="eastAsia"/>
                <w:b/>
                <w:spacing w:val="6"/>
              </w:rPr>
            </w:pPr>
            <w:r>
              <w:rPr>
                <w:b/>
                <w:spacing w:val="6"/>
              </w:rPr>
              <w:t>单位</w:t>
            </w:r>
          </w:p>
        </w:tc>
      </w:tr>
      <w:tr>
        <w:tblPrEx>
          <w:tblW w:w="8522" w:type="dxa"/>
          <w:tblCellMar>
            <w:left w:w="0" w:type="dxa"/>
            <w:right w:w="0" w:type="dxa"/>
          </w:tblCellMar>
          <w:tblLook w:val="04A0"/>
        </w:tblPrEx>
        <w:tc>
          <w:tcPr>
            <w:tcW w:w="534" w:type="dxa"/>
            <w:vMerge w:val="restart"/>
            <w:tcBorders>
              <w:bottom w:val="nil"/>
            </w:tcBorders>
            <w:vAlign w:val="center"/>
          </w:tcPr>
          <w:p w:rsidR="00402E54">
            <w:pPr>
              <w:pStyle w:val="NoSpacing"/>
              <w:snapToGrid w:val="0"/>
              <w:spacing w:line="240" w:lineRule="auto"/>
              <w:jc w:val="center"/>
              <w:rPr>
                <w:rFonts w:hint="eastAsia"/>
              </w:rPr>
            </w:pPr>
            <w:r>
              <w:rPr>
                <w:position w:val="1"/>
              </w:rPr>
              <w:t>1</w:t>
            </w:r>
          </w:p>
        </w:tc>
        <w:tc>
          <w:tcPr>
            <w:tcW w:w="1029" w:type="dxa"/>
            <w:vMerge w:val="restart"/>
            <w:tcBorders>
              <w:bottom w:val="nil"/>
            </w:tcBorders>
            <w:vAlign w:val="center"/>
          </w:tcPr>
          <w:p w:rsidR="00402E54">
            <w:pPr>
              <w:pStyle w:val="NoSpacing"/>
              <w:snapToGrid w:val="0"/>
              <w:spacing w:line="240" w:lineRule="auto"/>
              <w:jc w:val="center"/>
              <w:rPr>
                <w:rFonts w:hint="eastAsia"/>
              </w:rPr>
            </w:pPr>
            <w:r>
              <w:rPr>
                <w:spacing w:val="-1"/>
              </w:rPr>
              <w:t>ups电源</w:t>
            </w:r>
          </w:p>
        </w:tc>
        <w:tc>
          <w:tcPr>
            <w:tcW w:w="5788" w:type="dxa"/>
            <w:vAlign w:val="center"/>
          </w:tcPr>
          <w:p w:rsidR="00402E54">
            <w:pPr>
              <w:pStyle w:val="NoSpacing"/>
              <w:snapToGrid w:val="0"/>
              <w:spacing w:line="240" w:lineRule="auto"/>
              <w:jc w:val="left"/>
              <w:rPr>
                <w:rFonts w:hint="eastAsia"/>
                <w:szCs w:val="18"/>
              </w:rPr>
            </w:pPr>
            <w:r>
              <w:rPr>
                <w:rFonts w:hint="eastAsia"/>
                <w:spacing w:val="-1"/>
                <w:szCs w:val="18"/>
                <w:highlight w:val="yellow"/>
              </w:rPr>
              <w:t>#</w:t>
            </w:r>
            <w:r>
              <w:rPr>
                <w:spacing w:val="-1"/>
                <w:szCs w:val="18"/>
                <w:highlight w:val="yellow"/>
              </w:rPr>
              <w:t>UPS电源</w:t>
            </w:r>
            <w:r>
              <w:rPr>
                <w:rFonts w:hint="eastAsia"/>
                <w:spacing w:val="-1"/>
                <w:szCs w:val="18"/>
                <w:highlight w:val="yellow"/>
              </w:rPr>
              <w:t>（</w:t>
            </w:r>
            <w:r>
              <w:rPr>
                <w:rFonts w:eastAsiaTheme="minorEastAsia" w:hint="eastAsia"/>
                <w:spacing w:val="-10"/>
                <w:szCs w:val="18"/>
                <w:highlight w:val="yellow"/>
              </w:rPr>
              <w:t>30</w:t>
            </w:r>
            <w:r>
              <w:rPr>
                <w:rFonts w:eastAsiaTheme="minorEastAsia"/>
                <w:spacing w:val="-10"/>
                <w:szCs w:val="18"/>
                <w:highlight w:val="yellow"/>
              </w:rPr>
              <w:t>KVA</w:t>
            </w:r>
            <w:r>
              <w:rPr>
                <w:rFonts w:hint="eastAsia"/>
                <w:spacing w:val="-1"/>
                <w:szCs w:val="18"/>
                <w:highlight w:val="yellow"/>
              </w:rPr>
              <w:t>）</w:t>
            </w:r>
          </w:p>
        </w:tc>
        <w:tc>
          <w:tcPr>
            <w:tcW w:w="586" w:type="dxa"/>
            <w:vAlign w:val="center"/>
          </w:tcPr>
          <w:p w:rsidR="00402E54">
            <w:pPr>
              <w:pStyle w:val="NoSpacing"/>
              <w:snapToGrid w:val="0"/>
              <w:spacing w:line="240" w:lineRule="auto"/>
              <w:jc w:val="center"/>
              <w:rPr>
                <w:rFonts w:hint="eastAsia"/>
              </w:rPr>
            </w:pPr>
            <w:r>
              <w:rPr>
                <w:position w:val="1"/>
              </w:rPr>
              <w:t>1</w:t>
            </w:r>
          </w:p>
        </w:tc>
        <w:tc>
          <w:tcPr>
            <w:tcW w:w="586" w:type="dxa"/>
            <w:vAlign w:val="center"/>
          </w:tcPr>
          <w:p w:rsidR="00402E54">
            <w:pPr>
              <w:pStyle w:val="NoSpacing"/>
              <w:snapToGrid w:val="0"/>
              <w:spacing w:line="240" w:lineRule="auto"/>
              <w:jc w:val="center"/>
              <w:rPr>
                <w:rFonts w:hint="eastAsia"/>
              </w:rPr>
            </w:pPr>
            <w:r>
              <w:t>套</w:t>
            </w:r>
          </w:p>
        </w:tc>
      </w:tr>
      <w:tr>
        <w:tblPrEx>
          <w:tblW w:w="8522" w:type="dxa"/>
          <w:tblCellMar>
            <w:left w:w="0" w:type="dxa"/>
            <w:right w:w="0" w:type="dxa"/>
          </w:tblCellMar>
          <w:tblLook w:val="04A0"/>
        </w:tblPrEx>
        <w:tc>
          <w:tcPr>
            <w:tcW w:w="534" w:type="dxa"/>
            <w:vMerge/>
            <w:tcBorders>
              <w:top w:val="nil"/>
              <w:bottom w:val="nil"/>
            </w:tcBorders>
            <w:vAlign w:val="center"/>
          </w:tcPr>
          <w:p w:rsidR="00402E54">
            <w:pPr>
              <w:pStyle w:val="NoSpacing"/>
              <w:snapToGrid w:val="0"/>
              <w:spacing w:line="240" w:lineRule="auto"/>
              <w:jc w:val="center"/>
              <w:rPr>
                <w:rFonts w:hAnsi="Calibri"/>
              </w:rPr>
            </w:pPr>
          </w:p>
        </w:tc>
        <w:tc>
          <w:tcPr>
            <w:tcW w:w="1029" w:type="dxa"/>
            <w:vMerge/>
            <w:tcBorders>
              <w:top w:val="nil"/>
              <w:bottom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8"/>
                <w:szCs w:val="18"/>
              </w:rPr>
              <w:t>铅酸蓄电池</w:t>
            </w:r>
            <w:r>
              <w:rPr>
                <w:rFonts w:hint="eastAsia"/>
                <w:spacing w:val="8"/>
                <w:szCs w:val="18"/>
              </w:rPr>
              <w:t>（</w:t>
            </w:r>
            <w:r>
              <w:rPr>
                <w:rFonts w:eastAsiaTheme="minorEastAsia"/>
                <w:spacing w:val="-2"/>
                <w:szCs w:val="18"/>
              </w:rPr>
              <w:t>12V</w:t>
            </w:r>
            <w:r>
              <w:rPr>
                <w:rFonts w:eastAsiaTheme="minorEastAsia" w:hint="eastAsia"/>
                <w:spacing w:val="-2"/>
                <w:szCs w:val="18"/>
              </w:rPr>
              <w:t>200</w:t>
            </w:r>
            <w:r>
              <w:rPr>
                <w:rFonts w:eastAsiaTheme="minorEastAsia"/>
                <w:spacing w:val="-2"/>
                <w:szCs w:val="18"/>
              </w:rPr>
              <w:t>AH</w:t>
            </w:r>
            <w:r>
              <w:rPr>
                <w:rFonts w:hint="eastAsia"/>
                <w:spacing w:val="8"/>
                <w:szCs w:val="18"/>
              </w:rPr>
              <w:t>）</w:t>
            </w:r>
          </w:p>
        </w:tc>
        <w:tc>
          <w:tcPr>
            <w:tcW w:w="586" w:type="dxa"/>
            <w:vAlign w:val="center"/>
          </w:tcPr>
          <w:p w:rsidR="00402E54">
            <w:pPr>
              <w:pStyle w:val="NoSpacing"/>
              <w:snapToGrid w:val="0"/>
              <w:spacing w:line="240" w:lineRule="auto"/>
              <w:jc w:val="center"/>
              <w:rPr>
                <w:rFonts w:hint="eastAsia"/>
                <w:position w:val="1"/>
              </w:rPr>
            </w:pPr>
            <w:r>
              <w:rPr>
                <w:rFonts w:hint="eastAsia"/>
                <w:position w:val="1"/>
              </w:rPr>
              <w:t>48</w:t>
            </w:r>
          </w:p>
        </w:tc>
        <w:tc>
          <w:tcPr>
            <w:tcW w:w="586" w:type="dxa"/>
            <w:vAlign w:val="center"/>
          </w:tcPr>
          <w:p w:rsidR="00402E54">
            <w:pPr>
              <w:pStyle w:val="NoSpacing"/>
              <w:snapToGrid w:val="0"/>
              <w:spacing w:line="240" w:lineRule="auto"/>
              <w:jc w:val="center"/>
              <w:rPr>
                <w:rFonts w:hint="eastAsia"/>
              </w:rPr>
            </w:pPr>
            <w:r>
              <w:t>块</w:t>
            </w:r>
          </w:p>
        </w:tc>
      </w:tr>
      <w:tr>
        <w:tblPrEx>
          <w:tblW w:w="8522" w:type="dxa"/>
          <w:tblCellMar>
            <w:left w:w="0" w:type="dxa"/>
            <w:right w:w="0" w:type="dxa"/>
          </w:tblCellMar>
          <w:tblLook w:val="04A0"/>
        </w:tblPrEx>
        <w:tc>
          <w:tcPr>
            <w:tcW w:w="534" w:type="dxa"/>
            <w:vMerge/>
            <w:tcBorders>
              <w:top w:val="nil"/>
              <w:bottom w:val="nil"/>
            </w:tcBorders>
            <w:vAlign w:val="center"/>
          </w:tcPr>
          <w:p w:rsidR="00402E54">
            <w:pPr>
              <w:pStyle w:val="NoSpacing"/>
              <w:snapToGrid w:val="0"/>
              <w:spacing w:line="240" w:lineRule="auto"/>
              <w:jc w:val="center"/>
              <w:rPr>
                <w:rFonts w:hAnsi="Calibri"/>
              </w:rPr>
            </w:pPr>
          </w:p>
        </w:tc>
        <w:tc>
          <w:tcPr>
            <w:tcW w:w="1029" w:type="dxa"/>
            <w:vMerge/>
            <w:tcBorders>
              <w:top w:val="nil"/>
              <w:bottom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2"/>
                <w:szCs w:val="18"/>
              </w:rPr>
              <w:t>电池柜</w:t>
            </w:r>
          </w:p>
        </w:tc>
        <w:tc>
          <w:tcPr>
            <w:tcW w:w="586" w:type="dxa"/>
            <w:vAlign w:val="center"/>
          </w:tcPr>
          <w:p w:rsidR="00402E54">
            <w:pPr>
              <w:pStyle w:val="NoSpacing"/>
              <w:snapToGrid w:val="0"/>
              <w:spacing w:line="240" w:lineRule="auto"/>
              <w:jc w:val="center"/>
              <w:rPr>
                <w:rFonts w:hint="eastAsia"/>
                <w:position w:val="1"/>
              </w:rPr>
            </w:pPr>
            <w:r>
              <w:rPr>
                <w:rFonts w:hint="eastAsia"/>
                <w:position w:val="1"/>
              </w:rPr>
              <w:t>2</w:t>
            </w:r>
          </w:p>
        </w:tc>
        <w:tc>
          <w:tcPr>
            <w:tcW w:w="586" w:type="dxa"/>
            <w:vAlign w:val="center"/>
          </w:tcPr>
          <w:p w:rsidR="00402E54">
            <w:pPr>
              <w:pStyle w:val="NoSpacing"/>
              <w:snapToGrid w:val="0"/>
              <w:spacing w:line="240" w:lineRule="auto"/>
              <w:jc w:val="center"/>
              <w:rPr>
                <w:rFonts w:hint="eastAsia"/>
              </w:rPr>
            </w:pPr>
            <w:r>
              <w:t>个</w:t>
            </w:r>
          </w:p>
        </w:tc>
      </w:tr>
      <w:tr>
        <w:tblPrEx>
          <w:tblW w:w="8522" w:type="dxa"/>
          <w:tblCellMar>
            <w:left w:w="0" w:type="dxa"/>
            <w:right w:w="0" w:type="dxa"/>
          </w:tblCellMar>
          <w:tblLook w:val="04A0"/>
        </w:tblPrEx>
        <w:tc>
          <w:tcPr>
            <w:tcW w:w="534" w:type="dxa"/>
            <w:vMerge/>
            <w:tcBorders>
              <w:top w:val="nil"/>
            </w:tcBorders>
            <w:vAlign w:val="center"/>
          </w:tcPr>
          <w:p w:rsidR="00402E54">
            <w:pPr>
              <w:pStyle w:val="NoSpacing"/>
              <w:snapToGrid w:val="0"/>
              <w:spacing w:line="240" w:lineRule="auto"/>
              <w:jc w:val="center"/>
              <w:rPr>
                <w:rFonts w:hAnsi="Calibri"/>
              </w:rPr>
            </w:pPr>
          </w:p>
        </w:tc>
        <w:tc>
          <w:tcPr>
            <w:tcW w:w="1029" w:type="dxa"/>
            <w:vMerge/>
            <w:tcBorders>
              <w:top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6"/>
                <w:szCs w:val="18"/>
              </w:rPr>
              <w:t>连接线</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rPr>
                <w:spacing w:val="1"/>
              </w:rPr>
              <w:t>批</w:t>
            </w:r>
          </w:p>
        </w:tc>
      </w:tr>
      <w:tr>
        <w:tblPrEx>
          <w:tblW w:w="8522" w:type="dxa"/>
          <w:tblCellMar>
            <w:left w:w="0" w:type="dxa"/>
            <w:right w:w="0" w:type="dxa"/>
          </w:tblCellMar>
          <w:tblLook w:val="04A0"/>
        </w:tblPrEx>
        <w:tc>
          <w:tcPr>
            <w:tcW w:w="534" w:type="dxa"/>
            <w:vMerge w:val="restart"/>
            <w:tcBorders>
              <w:bottom w:val="nil"/>
            </w:tcBorders>
            <w:vAlign w:val="center"/>
          </w:tcPr>
          <w:p w:rsidR="00402E54">
            <w:pPr>
              <w:pStyle w:val="NoSpacing"/>
              <w:snapToGrid w:val="0"/>
              <w:spacing w:line="240" w:lineRule="auto"/>
              <w:jc w:val="center"/>
              <w:rPr>
                <w:rFonts w:hint="eastAsia"/>
              </w:rPr>
            </w:pPr>
            <w:r>
              <w:rPr>
                <w:position w:val="1"/>
              </w:rPr>
              <w:t>2</w:t>
            </w:r>
          </w:p>
        </w:tc>
        <w:tc>
          <w:tcPr>
            <w:tcW w:w="1029" w:type="dxa"/>
            <w:vMerge w:val="restart"/>
            <w:tcBorders>
              <w:bottom w:val="nil"/>
            </w:tcBorders>
            <w:vAlign w:val="center"/>
          </w:tcPr>
          <w:p w:rsidR="00402E54">
            <w:pPr>
              <w:pStyle w:val="NoSpacing"/>
              <w:snapToGrid w:val="0"/>
              <w:spacing w:line="240" w:lineRule="auto"/>
              <w:jc w:val="center"/>
              <w:rPr>
                <w:rFonts w:hint="eastAsia"/>
                <w:spacing w:val="6"/>
              </w:rPr>
            </w:pPr>
            <w:r>
              <w:rPr>
                <w:spacing w:val="6"/>
              </w:rPr>
              <w:t>空调</w:t>
            </w:r>
          </w:p>
        </w:tc>
        <w:tc>
          <w:tcPr>
            <w:tcW w:w="5788" w:type="dxa"/>
            <w:vAlign w:val="center"/>
          </w:tcPr>
          <w:p w:rsidR="00402E54">
            <w:pPr>
              <w:pStyle w:val="NoSpacing"/>
              <w:snapToGrid w:val="0"/>
              <w:spacing w:line="240" w:lineRule="auto"/>
              <w:jc w:val="left"/>
              <w:rPr>
                <w:rFonts w:hint="eastAsia"/>
                <w:spacing w:val="6"/>
                <w:szCs w:val="18"/>
              </w:rPr>
            </w:pPr>
            <w:r>
              <w:rPr>
                <w:rFonts w:eastAsiaTheme="minorEastAsia"/>
                <w:spacing w:val="-2"/>
                <w:szCs w:val="18"/>
              </w:rPr>
              <w:t>1.5P空调(以太网口（</w:t>
            </w:r>
            <w:r>
              <w:rPr>
                <w:rFonts w:eastAsiaTheme="minorEastAsia"/>
                <w:spacing w:val="-2"/>
                <w:szCs w:val="18"/>
              </w:rPr>
              <w:t>ModbusTCP</w:t>
            </w:r>
            <w:r>
              <w:rPr>
                <w:rFonts w:eastAsiaTheme="minorEastAsia"/>
                <w:spacing w:val="-2"/>
                <w:szCs w:val="18"/>
              </w:rPr>
              <w:t>/IP、BACnet/IP协议/RS-485（</w:t>
            </w:r>
            <w:r>
              <w:rPr>
                <w:rFonts w:eastAsiaTheme="minorEastAsia"/>
                <w:spacing w:val="-2"/>
                <w:szCs w:val="18"/>
              </w:rPr>
              <w:t>ModbusRTU</w:t>
            </w:r>
            <w:r>
              <w:rPr>
                <w:rFonts w:eastAsiaTheme="minorEastAsia"/>
                <w:spacing w:val="-2"/>
                <w:szCs w:val="18"/>
              </w:rPr>
              <w:t>）)</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台</w:t>
            </w:r>
          </w:p>
        </w:tc>
      </w:tr>
      <w:tr>
        <w:tblPrEx>
          <w:tblW w:w="8522" w:type="dxa"/>
          <w:tblCellMar>
            <w:left w:w="0" w:type="dxa"/>
            <w:right w:w="0" w:type="dxa"/>
          </w:tblCellMar>
          <w:tblLook w:val="04A0"/>
        </w:tblPrEx>
        <w:tc>
          <w:tcPr>
            <w:tcW w:w="534" w:type="dxa"/>
            <w:vMerge/>
            <w:tcBorders>
              <w:top w:val="nil"/>
            </w:tcBorders>
            <w:vAlign w:val="center"/>
          </w:tcPr>
          <w:p w:rsidR="00402E54">
            <w:pPr>
              <w:pStyle w:val="NoSpacing"/>
              <w:snapToGrid w:val="0"/>
              <w:spacing w:line="240" w:lineRule="auto"/>
              <w:jc w:val="center"/>
              <w:rPr>
                <w:rFonts w:hAnsi="Calibri"/>
              </w:rPr>
            </w:pPr>
          </w:p>
        </w:tc>
        <w:tc>
          <w:tcPr>
            <w:tcW w:w="1029" w:type="dxa"/>
            <w:vMerge/>
            <w:tcBorders>
              <w:top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rFonts w:eastAsiaTheme="minorEastAsia"/>
                <w:spacing w:val="-2"/>
                <w:szCs w:val="18"/>
              </w:rPr>
              <w:t>3P空调(以太网口（</w:t>
            </w:r>
            <w:r>
              <w:rPr>
                <w:rFonts w:eastAsiaTheme="minorEastAsia"/>
                <w:spacing w:val="-2"/>
                <w:szCs w:val="18"/>
              </w:rPr>
              <w:t>ModbusTCP</w:t>
            </w:r>
            <w:r>
              <w:rPr>
                <w:rFonts w:eastAsiaTheme="minorEastAsia"/>
                <w:spacing w:val="-2"/>
                <w:szCs w:val="18"/>
              </w:rPr>
              <w:t>/IP、BACnet/IP协议/RS-485（</w:t>
            </w:r>
            <w:r>
              <w:rPr>
                <w:rFonts w:eastAsiaTheme="minorEastAsia"/>
                <w:spacing w:val="-2"/>
                <w:szCs w:val="18"/>
              </w:rPr>
              <w:t>ModbusRTU</w:t>
            </w:r>
            <w:r>
              <w:rPr>
                <w:rFonts w:eastAsiaTheme="minorEastAsia"/>
                <w:spacing w:val="-2"/>
                <w:szCs w:val="18"/>
              </w:rPr>
              <w:t>）)</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台</w:t>
            </w:r>
          </w:p>
        </w:tc>
      </w:tr>
      <w:tr>
        <w:tblPrEx>
          <w:tblW w:w="8522" w:type="dxa"/>
          <w:tblCellMar>
            <w:left w:w="0" w:type="dxa"/>
            <w:right w:w="0" w:type="dxa"/>
          </w:tblCellMar>
          <w:tblLook w:val="04A0"/>
        </w:tblPrEx>
        <w:tc>
          <w:tcPr>
            <w:tcW w:w="534" w:type="dxa"/>
            <w:vAlign w:val="center"/>
          </w:tcPr>
          <w:p w:rsidR="00402E54">
            <w:pPr>
              <w:pStyle w:val="NoSpacing"/>
              <w:snapToGrid w:val="0"/>
              <w:spacing w:line="240" w:lineRule="auto"/>
              <w:jc w:val="center"/>
              <w:rPr>
                <w:rFonts w:hint="eastAsia"/>
              </w:rPr>
            </w:pPr>
            <w:r>
              <w:rPr>
                <w:position w:val="1"/>
              </w:rPr>
              <w:t>3</w:t>
            </w:r>
          </w:p>
        </w:tc>
        <w:tc>
          <w:tcPr>
            <w:tcW w:w="1029" w:type="dxa"/>
            <w:vAlign w:val="center"/>
          </w:tcPr>
          <w:p w:rsidR="00402E54">
            <w:pPr>
              <w:pStyle w:val="NoSpacing"/>
              <w:snapToGrid w:val="0"/>
              <w:spacing w:line="240" w:lineRule="auto"/>
              <w:jc w:val="center"/>
              <w:rPr>
                <w:rFonts w:hint="eastAsia"/>
              </w:rPr>
            </w:pPr>
            <w:r>
              <w:rPr>
                <w:spacing w:val="5"/>
              </w:rPr>
              <w:t>发电机</w:t>
            </w:r>
          </w:p>
        </w:tc>
        <w:tc>
          <w:tcPr>
            <w:tcW w:w="5788" w:type="dxa"/>
            <w:vAlign w:val="center"/>
          </w:tcPr>
          <w:p w:rsidR="00402E54">
            <w:pPr>
              <w:pStyle w:val="NoSpacing"/>
              <w:snapToGrid w:val="0"/>
              <w:spacing w:line="240" w:lineRule="auto"/>
              <w:jc w:val="left"/>
              <w:rPr>
                <w:rFonts w:hint="eastAsia"/>
                <w:szCs w:val="18"/>
              </w:rPr>
            </w:pPr>
            <w:r>
              <w:rPr>
                <w:rFonts w:eastAsiaTheme="minorEastAsia" w:hint="eastAsia"/>
                <w:spacing w:val="-2"/>
                <w:szCs w:val="18"/>
                <w:highlight w:val="yellow"/>
              </w:rPr>
              <w:t>#</w:t>
            </w:r>
            <w:r>
              <w:rPr>
                <w:rFonts w:eastAsiaTheme="minorEastAsia"/>
                <w:spacing w:val="-2"/>
                <w:szCs w:val="18"/>
                <w:highlight w:val="yellow"/>
              </w:rPr>
              <w:t>柴油发电机（</w:t>
            </w:r>
            <w:r>
              <w:rPr>
                <w:rFonts w:eastAsiaTheme="minorEastAsia" w:hint="eastAsia"/>
                <w:spacing w:val="-2"/>
                <w:szCs w:val="18"/>
                <w:highlight w:val="yellow"/>
              </w:rPr>
              <w:t>5</w:t>
            </w:r>
            <w:r>
              <w:rPr>
                <w:rFonts w:eastAsiaTheme="minorEastAsia"/>
                <w:spacing w:val="-2"/>
                <w:szCs w:val="18"/>
                <w:highlight w:val="yellow"/>
              </w:rPr>
              <w:t>0kw,RS-485ModbusRTU协议</w:t>
            </w:r>
            <w:r>
              <w:rPr>
                <w:rFonts w:eastAsiaTheme="minorEastAsia" w:hint="eastAsia"/>
                <w:spacing w:val="-2"/>
                <w:szCs w:val="18"/>
                <w:highlight w:val="yellow"/>
              </w:rPr>
              <w:t>/</w:t>
            </w:r>
            <w:r>
              <w:rPr>
                <w:rFonts w:eastAsiaTheme="minorEastAsia"/>
                <w:spacing w:val="-2"/>
                <w:szCs w:val="18"/>
                <w:highlight w:val="yellow"/>
              </w:rPr>
              <w:t>以太网口</w:t>
            </w:r>
            <w:r>
              <w:rPr>
                <w:rFonts w:eastAsiaTheme="minorEastAsia"/>
                <w:spacing w:val="-2"/>
                <w:szCs w:val="18"/>
                <w:highlight w:val="yellow"/>
              </w:rPr>
              <w:t>ModbusTCP</w:t>
            </w:r>
            <w:r>
              <w:rPr>
                <w:rFonts w:eastAsiaTheme="minorEastAsia"/>
                <w:spacing w:val="-2"/>
                <w:szCs w:val="18"/>
                <w:highlight w:val="yellow"/>
              </w:rPr>
              <w:t>/IP协议</w:t>
            </w:r>
            <w:r>
              <w:rPr>
                <w:rFonts w:eastAsiaTheme="minorEastAsia"/>
                <w:spacing w:val="-2"/>
                <w:szCs w:val="18"/>
              </w:rPr>
              <w:t>）</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套</w:t>
            </w:r>
          </w:p>
        </w:tc>
      </w:tr>
      <w:tr>
        <w:tblPrEx>
          <w:tblW w:w="8522" w:type="dxa"/>
          <w:tblCellMar>
            <w:left w:w="0" w:type="dxa"/>
            <w:right w:w="0" w:type="dxa"/>
          </w:tblCellMar>
          <w:tblLook w:val="04A0"/>
        </w:tblPrEx>
        <w:tc>
          <w:tcPr>
            <w:tcW w:w="534" w:type="dxa"/>
            <w:vMerge w:val="restart"/>
            <w:tcBorders>
              <w:bottom w:val="nil"/>
            </w:tcBorders>
            <w:vAlign w:val="center"/>
          </w:tcPr>
          <w:p w:rsidR="00402E54">
            <w:pPr>
              <w:pStyle w:val="NoSpacing"/>
              <w:snapToGrid w:val="0"/>
              <w:spacing w:line="240" w:lineRule="auto"/>
              <w:jc w:val="center"/>
              <w:rPr>
                <w:rFonts w:hint="eastAsia"/>
              </w:rPr>
            </w:pPr>
            <w:r>
              <w:rPr>
                <w:position w:val="1"/>
              </w:rPr>
              <w:t>4</w:t>
            </w:r>
          </w:p>
        </w:tc>
        <w:tc>
          <w:tcPr>
            <w:tcW w:w="1029" w:type="dxa"/>
            <w:vMerge w:val="restart"/>
            <w:tcBorders>
              <w:bottom w:val="nil"/>
            </w:tcBorders>
            <w:vAlign w:val="center"/>
          </w:tcPr>
          <w:p w:rsidR="00402E54">
            <w:pPr>
              <w:pStyle w:val="NoSpacing"/>
              <w:snapToGrid w:val="0"/>
              <w:spacing w:line="240" w:lineRule="auto"/>
              <w:jc w:val="center"/>
              <w:rPr>
                <w:rFonts w:hint="eastAsia"/>
              </w:rPr>
            </w:pPr>
            <w:r>
              <w:rPr>
                <w:spacing w:val="7"/>
              </w:rPr>
              <w:t>视频监控</w:t>
            </w:r>
          </w:p>
        </w:tc>
        <w:tc>
          <w:tcPr>
            <w:tcW w:w="5788" w:type="dxa"/>
            <w:vAlign w:val="center"/>
          </w:tcPr>
          <w:p w:rsidR="00402E54">
            <w:pPr>
              <w:pStyle w:val="NoSpacing"/>
              <w:snapToGrid w:val="0"/>
              <w:spacing w:line="240" w:lineRule="auto"/>
              <w:jc w:val="left"/>
              <w:rPr>
                <w:rFonts w:hint="eastAsia"/>
                <w:szCs w:val="18"/>
              </w:rPr>
            </w:pPr>
            <w:r>
              <w:rPr>
                <w:spacing w:val="-2"/>
                <w:szCs w:val="18"/>
              </w:rPr>
              <w:t>8口POE交换机</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台</w:t>
            </w:r>
          </w:p>
        </w:tc>
      </w:tr>
      <w:tr>
        <w:tblPrEx>
          <w:tblW w:w="8522" w:type="dxa"/>
          <w:tblCellMar>
            <w:left w:w="0" w:type="dxa"/>
            <w:right w:w="0" w:type="dxa"/>
          </w:tblCellMar>
          <w:tblLook w:val="04A0"/>
        </w:tblPrEx>
        <w:tc>
          <w:tcPr>
            <w:tcW w:w="534" w:type="dxa"/>
            <w:vMerge/>
            <w:tcBorders>
              <w:top w:val="nil"/>
              <w:bottom w:val="nil"/>
            </w:tcBorders>
            <w:vAlign w:val="center"/>
          </w:tcPr>
          <w:p w:rsidR="00402E54">
            <w:pPr>
              <w:pStyle w:val="NoSpacing"/>
              <w:snapToGrid w:val="0"/>
              <w:spacing w:line="240" w:lineRule="auto"/>
              <w:jc w:val="center"/>
              <w:rPr>
                <w:rFonts w:hAnsi="Calibri"/>
              </w:rPr>
            </w:pPr>
          </w:p>
        </w:tc>
        <w:tc>
          <w:tcPr>
            <w:tcW w:w="1029" w:type="dxa"/>
            <w:vMerge/>
            <w:tcBorders>
              <w:top w:val="nil"/>
              <w:bottom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zCs w:val="18"/>
              </w:rPr>
              <w:t>24口网络交换机</w:t>
            </w:r>
            <w:r>
              <w:rPr>
                <w:rFonts w:hint="eastAsia"/>
                <w:szCs w:val="18"/>
              </w:rPr>
              <w:t>（自适应模式，支持千兆RJ45端口）</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台</w:t>
            </w:r>
          </w:p>
        </w:tc>
      </w:tr>
      <w:tr>
        <w:tblPrEx>
          <w:tblW w:w="8522" w:type="dxa"/>
          <w:tblCellMar>
            <w:left w:w="0" w:type="dxa"/>
            <w:right w:w="0" w:type="dxa"/>
          </w:tblCellMar>
          <w:tblLook w:val="04A0"/>
        </w:tblPrEx>
        <w:tc>
          <w:tcPr>
            <w:tcW w:w="534" w:type="dxa"/>
            <w:vMerge/>
            <w:tcBorders>
              <w:top w:val="nil"/>
              <w:bottom w:val="nil"/>
            </w:tcBorders>
            <w:vAlign w:val="center"/>
          </w:tcPr>
          <w:p w:rsidR="00402E54">
            <w:pPr>
              <w:pStyle w:val="NoSpacing"/>
              <w:snapToGrid w:val="0"/>
              <w:spacing w:line="240" w:lineRule="auto"/>
              <w:jc w:val="center"/>
              <w:rPr>
                <w:rFonts w:hAnsi="Calibri"/>
              </w:rPr>
            </w:pPr>
          </w:p>
        </w:tc>
        <w:tc>
          <w:tcPr>
            <w:tcW w:w="1029" w:type="dxa"/>
            <w:vMerge/>
            <w:tcBorders>
              <w:top w:val="nil"/>
              <w:bottom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7"/>
                <w:szCs w:val="18"/>
              </w:rPr>
              <w:t>监控录像机</w:t>
            </w:r>
            <w:r>
              <w:rPr>
                <w:rFonts w:hint="eastAsia"/>
                <w:spacing w:val="7"/>
                <w:szCs w:val="18"/>
              </w:rPr>
              <w:t>（硬盘容量不小于8TB）</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台</w:t>
            </w:r>
          </w:p>
        </w:tc>
      </w:tr>
      <w:tr>
        <w:tblPrEx>
          <w:tblW w:w="8522" w:type="dxa"/>
          <w:tblCellMar>
            <w:left w:w="0" w:type="dxa"/>
            <w:right w:w="0" w:type="dxa"/>
          </w:tblCellMar>
          <w:tblLook w:val="04A0"/>
        </w:tblPrEx>
        <w:tc>
          <w:tcPr>
            <w:tcW w:w="534" w:type="dxa"/>
            <w:vMerge/>
            <w:tcBorders>
              <w:top w:val="nil"/>
              <w:bottom w:val="nil"/>
            </w:tcBorders>
            <w:vAlign w:val="center"/>
          </w:tcPr>
          <w:p w:rsidR="00402E54">
            <w:pPr>
              <w:pStyle w:val="NoSpacing"/>
              <w:snapToGrid w:val="0"/>
              <w:spacing w:line="240" w:lineRule="auto"/>
              <w:jc w:val="center"/>
              <w:rPr>
                <w:rFonts w:hAnsi="Calibri"/>
              </w:rPr>
            </w:pPr>
          </w:p>
        </w:tc>
        <w:tc>
          <w:tcPr>
            <w:tcW w:w="1029" w:type="dxa"/>
            <w:vMerge/>
            <w:tcBorders>
              <w:top w:val="nil"/>
              <w:bottom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7"/>
                <w:szCs w:val="18"/>
              </w:rPr>
              <w:t>枪机摄像头</w:t>
            </w:r>
            <w:r>
              <w:rPr>
                <w:rFonts w:hint="eastAsia"/>
                <w:spacing w:val="7"/>
                <w:szCs w:val="18"/>
              </w:rPr>
              <w:t>（不低于400</w:t>
            </w:r>
            <w:r>
              <w:rPr>
                <w:rFonts w:hint="eastAsia"/>
                <w:spacing w:val="7"/>
                <w:szCs w:val="18"/>
              </w:rPr>
              <w:t>万像</w:t>
            </w:r>
            <w:r>
              <w:rPr>
                <w:rFonts w:hint="eastAsia"/>
                <w:spacing w:val="7"/>
                <w:szCs w:val="18"/>
              </w:rPr>
              <w:t>素）</w:t>
            </w:r>
          </w:p>
        </w:tc>
        <w:tc>
          <w:tcPr>
            <w:tcW w:w="586" w:type="dxa"/>
            <w:vAlign w:val="center"/>
          </w:tcPr>
          <w:p w:rsidR="00402E54">
            <w:pPr>
              <w:pStyle w:val="NoSpacing"/>
              <w:snapToGrid w:val="0"/>
              <w:spacing w:line="240" w:lineRule="auto"/>
              <w:jc w:val="center"/>
              <w:rPr>
                <w:rFonts w:hint="eastAsia"/>
                <w:position w:val="1"/>
              </w:rPr>
            </w:pPr>
            <w:r>
              <w:rPr>
                <w:position w:val="1"/>
              </w:rPr>
              <w:t>4</w:t>
            </w:r>
          </w:p>
        </w:tc>
        <w:tc>
          <w:tcPr>
            <w:tcW w:w="586" w:type="dxa"/>
            <w:vAlign w:val="center"/>
          </w:tcPr>
          <w:p w:rsidR="00402E54">
            <w:pPr>
              <w:pStyle w:val="NoSpacing"/>
              <w:snapToGrid w:val="0"/>
              <w:spacing w:line="240" w:lineRule="auto"/>
              <w:jc w:val="center"/>
              <w:rPr>
                <w:rFonts w:hint="eastAsia"/>
              </w:rPr>
            </w:pPr>
            <w:r>
              <w:t>个</w:t>
            </w:r>
          </w:p>
        </w:tc>
      </w:tr>
      <w:tr>
        <w:tblPrEx>
          <w:tblW w:w="8522" w:type="dxa"/>
          <w:tblCellMar>
            <w:left w:w="0" w:type="dxa"/>
            <w:right w:w="0" w:type="dxa"/>
          </w:tblCellMar>
          <w:tblLook w:val="04A0"/>
        </w:tblPrEx>
        <w:tc>
          <w:tcPr>
            <w:tcW w:w="534" w:type="dxa"/>
            <w:vMerge/>
            <w:tcBorders>
              <w:top w:val="nil"/>
              <w:bottom w:val="nil"/>
            </w:tcBorders>
            <w:vAlign w:val="center"/>
          </w:tcPr>
          <w:p w:rsidR="00402E54">
            <w:pPr>
              <w:pStyle w:val="NoSpacing"/>
              <w:snapToGrid w:val="0"/>
              <w:spacing w:line="240" w:lineRule="auto"/>
              <w:jc w:val="center"/>
              <w:rPr>
                <w:rFonts w:hAnsi="Calibri"/>
              </w:rPr>
            </w:pPr>
          </w:p>
        </w:tc>
        <w:tc>
          <w:tcPr>
            <w:tcW w:w="1029" w:type="dxa"/>
            <w:vMerge/>
            <w:tcBorders>
              <w:top w:val="nil"/>
              <w:bottom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8"/>
                <w:szCs w:val="18"/>
              </w:rPr>
              <w:t>球机摄像头</w:t>
            </w:r>
            <w:r>
              <w:rPr>
                <w:rFonts w:hint="eastAsia"/>
                <w:spacing w:val="8"/>
                <w:szCs w:val="18"/>
              </w:rPr>
              <w:t>（</w:t>
            </w:r>
            <w:r>
              <w:rPr>
                <w:rFonts w:eastAsiaTheme="minorEastAsia"/>
                <w:spacing w:val="-4"/>
                <w:szCs w:val="18"/>
              </w:rPr>
              <w:t>不低于400</w:t>
            </w:r>
            <w:r>
              <w:rPr>
                <w:rFonts w:eastAsiaTheme="minorEastAsia"/>
                <w:spacing w:val="-4"/>
                <w:szCs w:val="18"/>
              </w:rPr>
              <w:t>万像</w:t>
            </w:r>
            <w:r>
              <w:rPr>
                <w:rFonts w:eastAsiaTheme="minorEastAsia"/>
                <w:spacing w:val="-4"/>
                <w:szCs w:val="18"/>
              </w:rPr>
              <w:t>素</w:t>
            </w:r>
            <w:r>
              <w:rPr>
                <w:rFonts w:eastAsiaTheme="minorEastAsia" w:hint="eastAsia"/>
                <w:spacing w:val="-4"/>
                <w:szCs w:val="18"/>
              </w:rPr>
              <w:t>、水平方向360°连续旋转，垂直方向-15°~90°自动翻转180°后连续监视,无监视盲区；</w:t>
            </w:r>
            <w:r>
              <w:rPr>
                <w:rFonts w:hint="eastAsia"/>
                <w:spacing w:val="8"/>
                <w:szCs w:val="18"/>
              </w:rPr>
              <w:t>）</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个</w:t>
            </w:r>
          </w:p>
        </w:tc>
      </w:tr>
      <w:tr>
        <w:tblPrEx>
          <w:tblW w:w="8522" w:type="dxa"/>
          <w:tblCellMar>
            <w:left w:w="0" w:type="dxa"/>
            <w:right w:w="0" w:type="dxa"/>
          </w:tblCellMar>
          <w:tblLook w:val="04A0"/>
        </w:tblPrEx>
        <w:tc>
          <w:tcPr>
            <w:tcW w:w="534" w:type="dxa"/>
            <w:vMerge/>
            <w:tcBorders>
              <w:top w:val="nil"/>
              <w:bottom w:val="nil"/>
            </w:tcBorders>
            <w:vAlign w:val="center"/>
          </w:tcPr>
          <w:p w:rsidR="00402E54">
            <w:pPr>
              <w:pStyle w:val="NoSpacing"/>
              <w:snapToGrid w:val="0"/>
              <w:spacing w:line="240" w:lineRule="auto"/>
              <w:jc w:val="center"/>
              <w:rPr>
                <w:rFonts w:hAnsi="Calibri"/>
              </w:rPr>
            </w:pPr>
          </w:p>
        </w:tc>
        <w:tc>
          <w:tcPr>
            <w:tcW w:w="1029" w:type="dxa"/>
            <w:vMerge/>
            <w:tcBorders>
              <w:top w:val="nil"/>
              <w:bottom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6"/>
                <w:szCs w:val="18"/>
              </w:rPr>
              <w:t>监视器</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台</w:t>
            </w:r>
          </w:p>
        </w:tc>
      </w:tr>
      <w:tr>
        <w:tblPrEx>
          <w:tblW w:w="8522" w:type="dxa"/>
          <w:tblCellMar>
            <w:left w:w="0" w:type="dxa"/>
            <w:right w:w="0" w:type="dxa"/>
          </w:tblCellMar>
          <w:tblLook w:val="04A0"/>
        </w:tblPrEx>
        <w:tc>
          <w:tcPr>
            <w:tcW w:w="534" w:type="dxa"/>
            <w:vMerge/>
            <w:tcBorders>
              <w:top w:val="nil"/>
              <w:bottom w:val="nil"/>
            </w:tcBorders>
            <w:vAlign w:val="center"/>
          </w:tcPr>
          <w:p w:rsidR="00402E54">
            <w:pPr>
              <w:pStyle w:val="NoSpacing"/>
              <w:snapToGrid w:val="0"/>
              <w:spacing w:line="240" w:lineRule="auto"/>
              <w:jc w:val="center"/>
              <w:rPr>
                <w:rFonts w:hAnsi="Calibri"/>
              </w:rPr>
            </w:pPr>
          </w:p>
        </w:tc>
        <w:tc>
          <w:tcPr>
            <w:tcW w:w="1029" w:type="dxa"/>
            <w:vMerge/>
            <w:tcBorders>
              <w:top w:val="nil"/>
              <w:bottom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8"/>
                <w:szCs w:val="18"/>
              </w:rPr>
              <w:t>六类非屏蔽网络线</w:t>
            </w:r>
          </w:p>
        </w:tc>
        <w:tc>
          <w:tcPr>
            <w:tcW w:w="586" w:type="dxa"/>
            <w:vAlign w:val="center"/>
          </w:tcPr>
          <w:p w:rsidR="00402E54">
            <w:pPr>
              <w:pStyle w:val="NoSpacing"/>
              <w:snapToGrid w:val="0"/>
              <w:spacing w:line="240" w:lineRule="auto"/>
              <w:jc w:val="center"/>
              <w:rPr>
                <w:rFonts w:hint="eastAsia"/>
                <w:position w:val="1"/>
              </w:rPr>
            </w:pPr>
            <w:r>
              <w:rPr>
                <w:position w:val="1"/>
              </w:rPr>
              <w:t>2</w:t>
            </w:r>
          </w:p>
        </w:tc>
        <w:tc>
          <w:tcPr>
            <w:tcW w:w="586" w:type="dxa"/>
            <w:vAlign w:val="center"/>
          </w:tcPr>
          <w:p w:rsidR="00402E54">
            <w:pPr>
              <w:pStyle w:val="NoSpacing"/>
              <w:snapToGrid w:val="0"/>
              <w:spacing w:line="240" w:lineRule="auto"/>
              <w:jc w:val="center"/>
              <w:rPr>
                <w:rFonts w:hint="eastAsia"/>
              </w:rPr>
            </w:pPr>
            <w:r>
              <w:t>箱</w:t>
            </w:r>
          </w:p>
        </w:tc>
      </w:tr>
      <w:tr>
        <w:tblPrEx>
          <w:tblW w:w="8522" w:type="dxa"/>
          <w:tblCellMar>
            <w:left w:w="0" w:type="dxa"/>
            <w:right w:w="0" w:type="dxa"/>
          </w:tblCellMar>
          <w:tblLook w:val="04A0"/>
        </w:tblPrEx>
        <w:tc>
          <w:tcPr>
            <w:tcW w:w="534" w:type="dxa"/>
            <w:vMerge/>
            <w:tcBorders>
              <w:top w:val="nil"/>
              <w:bottom w:val="nil"/>
            </w:tcBorders>
            <w:vAlign w:val="center"/>
          </w:tcPr>
          <w:p w:rsidR="00402E54">
            <w:pPr>
              <w:pStyle w:val="NoSpacing"/>
              <w:snapToGrid w:val="0"/>
              <w:spacing w:line="240" w:lineRule="auto"/>
              <w:jc w:val="center"/>
              <w:rPr>
                <w:rFonts w:hAnsi="Calibri"/>
              </w:rPr>
            </w:pPr>
          </w:p>
        </w:tc>
        <w:tc>
          <w:tcPr>
            <w:tcW w:w="1029" w:type="dxa"/>
            <w:vMerge/>
            <w:tcBorders>
              <w:top w:val="nil"/>
              <w:bottom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3"/>
                <w:szCs w:val="18"/>
              </w:rPr>
              <w:t>网络机柜</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套</w:t>
            </w:r>
          </w:p>
        </w:tc>
      </w:tr>
      <w:tr>
        <w:tblPrEx>
          <w:tblW w:w="8522" w:type="dxa"/>
          <w:tblCellMar>
            <w:left w:w="0" w:type="dxa"/>
            <w:right w:w="0" w:type="dxa"/>
          </w:tblCellMar>
          <w:tblLook w:val="04A0"/>
        </w:tblPrEx>
        <w:tc>
          <w:tcPr>
            <w:tcW w:w="534" w:type="dxa"/>
            <w:vMerge/>
            <w:tcBorders>
              <w:top w:val="nil"/>
            </w:tcBorders>
            <w:vAlign w:val="center"/>
          </w:tcPr>
          <w:p w:rsidR="00402E54">
            <w:pPr>
              <w:pStyle w:val="NoSpacing"/>
              <w:snapToGrid w:val="0"/>
              <w:spacing w:line="240" w:lineRule="auto"/>
              <w:jc w:val="center"/>
              <w:rPr>
                <w:rFonts w:hAnsi="Calibri"/>
              </w:rPr>
            </w:pPr>
          </w:p>
        </w:tc>
        <w:tc>
          <w:tcPr>
            <w:tcW w:w="1029" w:type="dxa"/>
            <w:vMerge/>
            <w:tcBorders>
              <w:top w:val="nil"/>
            </w:tcBorders>
            <w:vAlign w:val="center"/>
          </w:tcPr>
          <w:p w:rsidR="00402E54">
            <w:pPr>
              <w:pStyle w:val="NoSpacing"/>
              <w:snapToGrid w:val="0"/>
              <w:spacing w:line="240" w:lineRule="auto"/>
              <w:jc w:val="center"/>
              <w:rPr>
                <w:rFonts w:hAnsi="Calibri"/>
              </w:rPr>
            </w:pPr>
          </w:p>
        </w:tc>
        <w:tc>
          <w:tcPr>
            <w:tcW w:w="5788" w:type="dxa"/>
            <w:vAlign w:val="center"/>
          </w:tcPr>
          <w:p w:rsidR="00402E54">
            <w:pPr>
              <w:pStyle w:val="NoSpacing"/>
              <w:snapToGrid w:val="0"/>
              <w:spacing w:line="240" w:lineRule="auto"/>
              <w:jc w:val="left"/>
              <w:rPr>
                <w:rFonts w:hint="eastAsia"/>
                <w:szCs w:val="18"/>
              </w:rPr>
            </w:pPr>
            <w:r>
              <w:rPr>
                <w:spacing w:val="7"/>
                <w:szCs w:val="18"/>
              </w:rPr>
              <w:t>光电转换器</w:t>
            </w:r>
          </w:p>
        </w:tc>
        <w:tc>
          <w:tcPr>
            <w:tcW w:w="586" w:type="dxa"/>
            <w:vAlign w:val="center"/>
          </w:tcPr>
          <w:p w:rsidR="00402E54">
            <w:pPr>
              <w:pStyle w:val="NoSpacing"/>
              <w:snapToGrid w:val="0"/>
              <w:spacing w:line="240" w:lineRule="auto"/>
              <w:jc w:val="center"/>
              <w:rPr>
                <w:rFonts w:hint="eastAsia"/>
                <w:position w:val="1"/>
              </w:rPr>
            </w:pPr>
            <w:r>
              <w:rPr>
                <w:position w:val="1"/>
              </w:rPr>
              <w:t>2</w:t>
            </w:r>
          </w:p>
        </w:tc>
        <w:tc>
          <w:tcPr>
            <w:tcW w:w="586" w:type="dxa"/>
            <w:vAlign w:val="center"/>
          </w:tcPr>
          <w:p w:rsidR="00402E54">
            <w:pPr>
              <w:pStyle w:val="NoSpacing"/>
              <w:snapToGrid w:val="0"/>
              <w:spacing w:line="240" w:lineRule="auto"/>
              <w:jc w:val="center"/>
              <w:rPr>
                <w:rFonts w:hint="eastAsia"/>
              </w:rPr>
            </w:pPr>
            <w:r>
              <w:t>只</w:t>
            </w:r>
          </w:p>
        </w:tc>
      </w:tr>
      <w:tr>
        <w:tblPrEx>
          <w:tblW w:w="8522" w:type="dxa"/>
          <w:tblCellMar>
            <w:left w:w="0" w:type="dxa"/>
            <w:right w:w="0" w:type="dxa"/>
          </w:tblCellMar>
          <w:tblLook w:val="04A0"/>
        </w:tblPrEx>
        <w:tc>
          <w:tcPr>
            <w:tcW w:w="534" w:type="dxa"/>
            <w:vMerge w:val="restart"/>
            <w:vAlign w:val="center"/>
          </w:tcPr>
          <w:p w:rsidR="00402E54">
            <w:pPr>
              <w:pStyle w:val="NoSpacing"/>
              <w:snapToGrid w:val="0"/>
              <w:spacing w:line="240" w:lineRule="auto"/>
              <w:jc w:val="center"/>
              <w:rPr>
                <w:rFonts w:hint="eastAsia"/>
              </w:rPr>
            </w:pPr>
            <w:r>
              <w:rPr>
                <w:position w:val="1"/>
              </w:rPr>
              <w:t>5</w:t>
            </w:r>
          </w:p>
        </w:tc>
        <w:tc>
          <w:tcPr>
            <w:tcW w:w="1029" w:type="dxa"/>
            <w:vMerge w:val="restart"/>
            <w:vAlign w:val="center"/>
          </w:tcPr>
          <w:p w:rsidR="00402E54">
            <w:pPr>
              <w:pStyle w:val="NoSpacing"/>
              <w:snapToGrid w:val="0"/>
              <w:spacing w:line="240" w:lineRule="auto"/>
              <w:jc w:val="center"/>
              <w:rPr>
                <w:rFonts w:hint="eastAsia"/>
              </w:rPr>
            </w:pPr>
            <w:r>
              <w:rPr>
                <w:spacing w:val="6"/>
              </w:rPr>
              <w:t>消防系统</w:t>
            </w:r>
          </w:p>
        </w:tc>
        <w:tc>
          <w:tcPr>
            <w:tcW w:w="5788" w:type="dxa"/>
            <w:vAlign w:val="center"/>
          </w:tcPr>
          <w:p w:rsidR="00402E54">
            <w:pPr>
              <w:pStyle w:val="NoSpacing"/>
              <w:snapToGrid w:val="0"/>
              <w:spacing w:line="240" w:lineRule="auto"/>
              <w:jc w:val="left"/>
              <w:rPr>
                <w:rFonts w:hint="eastAsia"/>
                <w:szCs w:val="18"/>
              </w:rPr>
            </w:pPr>
            <w:r>
              <w:rPr>
                <w:spacing w:val="8"/>
                <w:szCs w:val="18"/>
              </w:rPr>
              <w:t>柜式七氟丙烷</w:t>
            </w:r>
            <w:r>
              <w:rPr>
                <w:spacing w:val="8"/>
                <w:szCs w:val="18"/>
              </w:rPr>
              <w:t>装置</w:t>
            </w:r>
            <w:r>
              <w:rPr>
                <w:rFonts w:hint="eastAsia"/>
                <w:spacing w:val="8"/>
                <w:szCs w:val="18"/>
              </w:rPr>
              <w:t>（钢质焊接气瓶设计定型参数：容器容积≥40L;产品通过消防产品认证证书、有国家消防装备质量监督检验中心提供的检验报告）</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套</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8"/>
                <w:szCs w:val="18"/>
              </w:rPr>
              <w:t>二氧化碳灭火器</w:t>
            </w:r>
            <w:r>
              <w:rPr>
                <w:rFonts w:hint="eastAsia"/>
                <w:spacing w:val="8"/>
                <w:szCs w:val="18"/>
              </w:rPr>
              <w:t>（公称容积：≥4L，灭火种类:B、C、E）</w:t>
            </w:r>
          </w:p>
        </w:tc>
        <w:tc>
          <w:tcPr>
            <w:tcW w:w="586" w:type="dxa"/>
            <w:vAlign w:val="center"/>
          </w:tcPr>
          <w:p w:rsidR="00402E54">
            <w:pPr>
              <w:pStyle w:val="NoSpacing"/>
              <w:snapToGrid w:val="0"/>
              <w:spacing w:line="240" w:lineRule="auto"/>
              <w:jc w:val="center"/>
              <w:rPr>
                <w:rFonts w:hint="eastAsia"/>
                <w:position w:val="1"/>
              </w:rPr>
            </w:pPr>
            <w:r>
              <w:rPr>
                <w:position w:val="1"/>
              </w:rPr>
              <w:t>4</w:t>
            </w:r>
          </w:p>
        </w:tc>
        <w:tc>
          <w:tcPr>
            <w:tcW w:w="586" w:type="dxa"/>
            <w:vAlign w:val="center"/>
          </w:tcPr>
          <w:p w:rsidR="00402E54">
            <w:pPr>
              <w:pStyle w:val="NoSpacing"/>
              <w:snapToGrid w:val="0"/>
              <w:spacing w:line="240" w:lineRule="auto"/>
              <w:jc w:val="center"/>
              <w:rPr>
                <w:rFonts w:hint="eastAsia"/>
              </w:rPr>
            </w:pPr>
            <w:r>
              <w:t>只</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8"/>
                <w:szCs w:val="18"/>
              </w:rPr>
              <w:t>应急物资柜</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个</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6"/>
                <w:szCs w:val="18"/>
              </w:rPr>
              <w:t>空气呼吸器</w:t>
            </w:r>
          </w:p>
        </w:tc>
        <w:tc>
          <w:tcPr>
            <w:tcW w:w="586" w:type="dxa"/>
            <w:vAlign w:val="center"/>
          </w:tcPr>
          <w:p w:rsidR="00402E54">
            <w:pPr>
              <w:pStyle w:val="NoSpacing"/>
              <w:snapToGrid w:val="0"/>
              <w:spacing w:line="240" w:lineRule="auto"/>
              <w:jc w:val="center"/>
              <w:rPr>
                <w:rFonts w:hint="eastAsia"/>
                <w:position w:val="1"/>
              </w:rPr>
            </w:pPr>
            <w:r>
              <w:rPr>
                <w:position w:val="1"/>
              </w:rPr>
              <w:t>6</w:t>
            </w:r>
          </w:p>
        </w:tc>
        <w:tc>
          <w:tcPr>
            <w:tcW w:w="586" w:type="dxa"/>
            <w:vAlign w:val="center"/>
          </w:tcPr>
          <w:p w:rsidR="00402E54">
            <w:pPr>
              <w:pStyle w:val="NoSpacing"/>
              <w:snapToGrid w:val="0"/>
              <w:spacing w:line="240" w:lineRule="auto"/>
              <w:jc w:val="center"/>
              <w:rPr>
                <w:rFonts w:hint="eastAsia"/>
              </w:rPr>
            </w:pPr>
            <w:r>
              <w:t>套</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5"/>
                <w:szCs w:val="18"/>
              </w:rPr>
              <w:t>灭火箱</w:t>
            </w:r>
          </w:p>
        </w:tc>
        <w:tc>
          <w:tcPr>
            <w:tcW w:w="586" w:type="dxa"/>
            <w:vAlign w:val="center"/>
          </w:tcPr>
          <w:p w:rsidR="00402E54">
            <w:pPr>
              <w:pStyle w:val="NoSpacing"/>
              <w:snapToGrid w:val="0"/>
              <w:spacing w:line="240" w:lineRule="auto"/>
              <w:jc w:val="center"/>
              <w:rPr>
                <w:rFonts w:hint="eastAsia"/>
                <w:position w:val="1"/>
              </w:rPr>
            </w:pPr>
            <w:r>
              <w:rPr>
                <w:position w:val="1"/>
              </w:rPr>
              <w:t>2</w:t>
            </w:r>
          </w:p>
        </w:tc>
        <w:tc>
          <w:tcPr>
            <w:tcW w:w="586" w:type="dxa"/>
            <w:vAlign w:val="center"/>
          </w:tcPr>
          <w:p w:rsidR="00402E54">
            <w:pPr>
              <w:pStyle w:val="NoSpacing"/>
              <w:snapToGrid w:val="0"/>
              <w:spacing w:line="240" w:lineRule="auto"/>
              <w:jc w:val="center"/>
              <w:rPr>
                <w:rFonts w:hint="eastAsia"/>
              </w:rPr>
            </w:pPr>
            <w:r>
              <w:t>个</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6"/>
                <w:szCs w:val="18"/>
              </w:rPr>
              <w:t>防辐射服（工作服）</w:t>
            </w:r>
          </w:p>
        </w:tc>
        <w:tc>
          <w:tcPr>
            <w:tcW w:w="586" w:type="dxa"/>
            <w:vAlign w:val="center"/>
          </w:tcPr>
          <w:p w:rsidR="00402E54">
            <w:pPr>
              <w:pStyle w:val="NoSpacing"/>
              <w:snapToGrid w:val="0"/>
              <w:spacing w:line="240" w:lineRule="auto"/>
              <w:jc w:val="center"/>
              <w:rPr>
                <w:rFonts w:hint="eastAsia"/>
                <w:position w:val="1"/>
              </w:rPr>
            </w:pPr>
            <w:r>
              <w:rPr>
                <w:position w:val="1"/>
              </w:rPr>
              <w:t>4</w:t>
            </w:r>
          </w:p>
        </w:tc>
        <w:tc>
          <w:tcPr>
            <w:tcW w:w="586" w:type="dxa"/>
            <w:vAlign w:val="center"/>
          </w:tcPr>
          <w:p w:rsidR="00402E54">
            <w:pPr>
              <w:pStyle w:val="NoSpacing"/>
              <w:snapToGrid w:val="0"/>
              <w:spacing w:line="240" w:lineRule="auto"/>
              <w:jc w:val="center"/>
              <w:rPr>
                <w:rFonts w:hint="eastAsia"/>
              </w:rPr>
            </w:pPr>
            <w:r>
              <w:t>套</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8"/>
                <w:szCs w:val="18"/>
              </w:rPr>
              <w:t>气体灭火控制器</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台</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8"/>
                <w:szCs w:val="18"/>
              </w:rPr>
              <w:t>放气指示灯</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只</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7"/>
                <w:szCs w:val="18"/>
              </w:rPr>
              <w:t>紧急启停按钮</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只</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8"/>
                <w:szCs w:val="18"/>
              </w:rPr>
              <w:t>火灾声光报警器</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套</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7"/>
                <w:szCs w:val="18"/>
              </w:rPr>
              <w:t>点型烟感火灾探测器</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只</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spacing w:val="6"/>
              </w:rPr>
            </w:pPr>
          </w:p>
        </w:tc>
        <w:tc>
          <w:tcPr>
            <w:tcW w:w="5788" w:type="dxa"/>
            <w:vAlign w:val="center"/>
          </w:tcPr>
          <w:p w:rsidR="00402E54">
            <w:pPr>
              <w:pStyle w:val="NoSpacing"/>
              <w:snapToGrid w:val="0"/>
              <w:spacing w:line="240" w:lineRule="auto"/>
              <w:jc w:val="left"/>
              <w:rPr>
                <w:rFonts w:hint="eastAsia"/>
                <w:szCs w:val="18"/>
              </w:rPr>
            </w:pPr>
            <w:r>
              <w:rPr>
                <w:spacing w:val="7"/>
                <w:szCs w:val="18"/>
              </w:rPr>
              <w:t>点型温感火灾探测器</w:t>
            </w:r>
          </w:p>
        </w:tc>
        <w:tc>
          <w:tcPr>
            <w:tcW w:w="586" w:type="dxa"/>
            <w:vAlign w:val="center"/>
          </w:tcPr>
          <w:p w:rsidR="00402E54">
            <w:pPr>
              <w:pStyle w:val="NoSpacing"/>
              <w:snapToGrid w:val="0"/>
              <w:spacing w:line="240" w:lineRule="auto"/>
              <w:jc w:val="center"/>
              <w:rPr>
                <w:rFonts w:hint="eastAsia"/>
                <w:position w:val="1"/>
              </w:rPr>
            </w:pPr>
            <w:r>
              <w:rPr>
                <w:position w:val="1"/>
              </w:rPr>
              <w:t>2</w:t>
            </w:r>
          </w:p>
        </w:tc>
        <w:tc>
          <w:tcPr>
            <w:tcW w:w="586" w:type="dxa"/>
            <w:vAlign w:val="center"/>
          </w:tcPr>
          <w:p w:rsidR="00402E54">
            <w:pPr>
              <w:pStyle w:val="NoSpacing"/>
              <w:snapToGrid w:val="0"/>
              <w:spacing w:line="240" w:lineRule="auto"/>
              <w:jc w:val="center"/>
              <w:rPr>
                <w:rFonts w:hint="eastAsia"/>
              </w:rPr>
            </w:pPr>
            <w:r>
              <w:t>只</w:t>
            </w:r>
          </w:p>
        </w:tc>
      </w:tr>
      <w:tr>
        <w:tblPrEx>
          <w:tblW w:w="8522" w:type="dxa"/>
          <w:tblCellMar>
            <w:left w:w="0" w:type="dxa"/>
            <w:right w:w="0" w:type="dxa"/>
          </w:tblCellMar>
          <w:tblLook w:val="04A0"/>
        </w:tblPrEx>
        <w:tc>
          <w:tcPr>
            <w:tcW w:w="534" w:type="dxa"/>
            <w:vAlign w:val="center"/>
          </w:tcPr>
          <w:p w:rsidR="00402E54">
            <w:pPr>
              <w:pStyle w:val="NoSpacing"/>
              <w:snapToGrid w:val="0"/>
              <w:spacing w:line="240" w:lineRule="auto"/>
              <w:jc w:val="center"/>
              <w:rPr>
                <w:rFonts w:hint="eastAsia"/>
                <w:position w:val="1"/>
              </w:rPr>
            </w:pPr>
            <w:r>
              <w:rPr>
                <w:position w:val="1"/>
              </w:rPr>
              <w:t>6</w:t>
            </w:r>
          </w:p>
        </w:tc>
        <w:tc>
          <w:tcPr>
            <w:tcW w:w="1029" w:type="dxa"/>
            <w:vAlign w:val="center"/>
          </w:tcPr>
          <w:p w:rsidR="00402E54">
            <w:pPr>
              <w:pStyle w:val="NoSpacing"/>
              <w:snapToGrid w:val="0"/>
              <w:spacing w:line="240" w:lineRule="auto"/>
              <w:jc w:val="center"/>
              <w:rPr>
                <w:rFonts w:hint="eastAsia"/>
                <w:spacing w:val="6"/>
              </w:rPr>
            </w:pPr>
            <w:r>
              <w:rPr>
                <w:spacing w:val="2"/>
              </w:rPr>
              <w:t>强电</w:t>
            </w:r>
          </w:p>
        </w:tc>
        <w:tc>
          <w:tcPr>
            <w:tcW w:w="5788" w:type="dxa"/>
            <w:vAlign w:val="center"/>
          </w:tcPr>
          <w:p w:rsidR="00402E54">
            <w:pPr>
              <w:pStyle w:val="NoSpacing"/>
              <w:snapToGrid w:val="0"/>
              <w:spacing w:line="240" w:lineRule="auto"/>
              <w:jc w:val="left"/>
              <w:rPr>
                <w:rFonts w:hint="eastAsia"/>
                <w:spacing w:val="8"/>
                <w:szCs w:val="18"/>
              </w:rPr>
            </w:pPr>
            <w:r>
              <w:rPr>
                <w:spacing w:val="6"/>
                <w:szCs w:val="18"/>
              </w:rPr>
              <w:t>配电箱</w:t>
            </w:r>
          </w:p>
        </w:tc>
        <w:tc>
          <w:tcPr>
            <w:tcW w:w="586" w:type="dxa"/>
            <w:vAlign w:val="center"/>
          </w:tcPr>
          <w:p w:rsidR="00402E54">
            <w:pPr>
              <w:pStyle w:val="NoSpacing"/>
              <w:snapToGrid w:val="0"/>
              <w:spacing w:line="240" w:lineRule="auto"/>
              <w:jc w:val="center"/>
              <w:rPr>
                <w:rFonts w:hint="eastAsia"/>
                <w:position w:val="1"/>
              </w:rPr>
            </w:pPr>
            <w:r>
              <w:rPr>
                <w:position w:val="1"/>
              </w:rPr>
              <w:t>1</w:t>
            </w:r>
          </w:p>
        </w:tc>
        <w:tc>
          <w:tcPr>
            <w:tcW w:w="586" w:type="dxa"/>
            <w:vAlign w:val="center"/>
          </w:tcPr>
          <w:p w:rsidR="00402E54">
            <w:pPr>
              <w:pStyle w:val="NoSpacing"/>
              <w:snapToGrid w:val="0"/>
              <w:spacing w:line="240" w:lineRule="auto"/>
              <w:jc w:val="center"/>
              <w:rPr>
                <w:rFonts w:hint="eastAsia"/>
              </w:rPr>
            </w:pPr>
            <w:r>
              <w:t>套</w:t>
            </w:r>
          </w:p>
        </w:tc>
      </w:tr>
      <w:tr>
        <w:tblPrEx>
          <w:tblW w:w="8522" w:type="dxa"/>
          <w:tblCellMar>
            <w:left w:w="0" w:type="dxa"/>
            <w:right w:w="0" w:type="dxa"/>
          </w:tblCellMar>
          <w:tblLook w:val="04A0"/>
        </w:tblPrEx>
        <w:tc>
          <w:tcPr>
            <w:tcW w:w="534" w:type="dxa"/>
            <w:vAlign w:val="center"/>
          </w:tcPr>
          <w:p w:rsidR="00402E54">
            <w:pPr>
              <w:pStyle w:val="NoSpacing"/>
              <w:snapToGrid w:val="0"/>
              <w:spacing w:line="240" w:lineRule="auto"/>
              <w:jc w:val="center"/>
              <w:rPr>
                <w:rFonts w:hint="eastAsia"/>
                <w:position w:val="1"/>
              </w:rPr>
            </w:pPr>
            <w:r>
              <w:rPr>
                <w:position w:val="1"/>
              </w:rPr>
              <w:t>7</w:t>
            </w:r>
          </w:p>
        </w:tc>
        <w:tc>
          <w:tcPr>
            <w:tcW w:w="1029" w:type="dxa"/>
            <w:vAlign w:val="center"/>
          </w:tcPr>
          <w:p w:rsidR="00402E54">
            <w:pPr>
              <w:pStyle w:val="NoSpacing"/>
              <w:snapToGrid w:val="0"/>
              <w:spacing w:line="240" w:lineRule="auto"/>
              <w:jc w:val="center"/>
              <w:rPr>
                <w:rFonts w:hint="eastAsia"/>
                <w:spacing w:val="6"/>
              </w:rPr>
            </w:pPr>
            <w:r>
              <w:t>除湿系统</w:t>
            </w:r>
          </w:p>
        </w:tc>
        <w:tc>
          <w:tcPr>
            <w:tcW w:w="5788" w:type="dxa"/>
            <w:vAlign w:val="center"/>
          </w:tcPr>
          <w:p w:rsidR="00402E54">
            <w:pPr>
              <w:pStyle w:val="NoSpacing"/>
              <w:snapToGrid w:val="0"/>
              <w:spacing w:line="240" w:lineRule="auto"/>
              <w:jc w:val="left"/>
              <w:rPr>
                <w:rFonts w:hint="eastAsia"/>
                <w:spacing w:val="8"/>
                <w:szCs w:val="18"/>
              </w:rPr>
            </w:pPr>
            <w:r>
              <w:rPr>
                <w:spacing w:val="2"/>
                <w:szCs w:val="18"/>
              </w:rPr>
              <w:t>除湿器</w:t>
            </w:r>
          </w:p>
        </w:tc>
        <w:tc>
          <w:tcPr>
            <w:tcW w:w="586" w:type="dxa"/>
            <w:vAlign w:val="center"/>
          </w:tcPr>
          <w:p w:rsidR="00402E54">
            <w:pPr>
              <w:pStyle w:val="NoSpacing"/>
              <w:snapToGrid w:val="0"/>
              <w:spacing w:line="240" w:lineRule="auto"/>
              <w:jc w:val="center"/>
              <w:rPr>
                <w:rFonts w:hint="eastAsia"/>
                <w:position w:val="1"/>
              </w:rPr>
            </w:pPr>
            <w:r>
              <w:rPr>
                <w:position w:val="1"/>
              </w:rPr>
              <w:t>2</w:t>
            </w:r>
          </w:p>
        </w:tc>
        <w:tc>
          <w:tcPr>
            <w:tcW w:w="586" w:type="dxa"/>
            <w:vAlign w:val="center"/>
          </w:tcPr>
          <w:p w:rsidR="00402E54">
            <w:pPr>
              <w:pStyle w:val="NoSpacing"/>
              <w:snapToGrid w:val="0"/>
              <w:spacing w:line="240" w:lineRule="auto"/>
              <w:jc w:val="center"/>
              <w:rPr>
                <w:rFonts w:hint="eastAsia"/>
              </w:rPr>
            </w:pPr>
            <w:r>
              <w:t>台</w:t>
            </w:r>
          </w:p>
        </w:tc>
      </w:tr>
      <w:tr>
        <w:tblPrEx>
          <w:tblW w:w="8522" w:type="dxa"/>
          <w:tblCellMar>
            <w:left w:w="0" w:type="dxa"/>
            <w:right w:w="0" w:type="dxa"/>
          </w:tblCellMar>
          <w:tblLook w:val="04A0"/>
        </w:tblPrEx>
        <w:tc>
          <w:tcPr>
            <w:tcW w:w="534" w:type="dxa"/>
            <w:vMerge w:val="restart"/>
            <w:vAlign w:val="center"/>
          </w:tcPr>
          <w:p w:rsidR="00402E54">
            <w:pPr>
              <w:pStyle w:val="NoSpacing"/>
              <w:snapToGrid w:val="0"/>
              <w:spacing w:line="240" w:lineRule="auto"/>
              <w:jc w:val="center"/>
              <w:rPr>
                <w:rFonts w:hint="eastAsia"/>
                <w:position w:val="1"/>
              </w:rPr>
            </w:pPr>
            <w:r>
              <w:rPr>
                <w:rFonts w:hint="eastAsia"/>
                <w:position w:val="1"/>
              </w:rPr>
              <w:t>8</w:t>
            </w:r>
          </w:p>
        </w:tc>
        <w:tc>
          <w:tcPr>
            <w:tcW w:w="1029" w:type="dxa"/>
            <w:vMerge w:val="restart"/>
            <w:vAlign w:val="center"/>
          </w:tcPr>
          <w:p w:rsidR="00402E54">
            <w:pPr>
              <w:pStyle w:val="NoSpacing"/>
              <w:snapToGrid w:val="0"/>
              <w:spacing w:line="240" w:lineRule="auto"/>
              <w:jc w:val="center"/>
              <w:rPr>
                <w:rFonts w:hint="eastAsia"/>
                <w:spacing w:val="6"/>
              </w:rPr>
            </w:pPr>
            <w:r>
              <w:rPr>
                <w:rFonts w:hint="eastAsia"/>
              </w:rPr>
              <w:t>环境监控</w:t>
            </w:r>
          </w:p>
        </w:tc>
        <w:tc>
          <w:tcPr>
            <w:tcW w:w="5788" w:type="dxa"/>
            <w:vAlign w:val="center"/>
          </w:tcPr>
          <w:p w:rsidR="00402E54">
            <w:pPr>
              <w:pStyle w:val="NoSpacing"/>
              <w:snapToGrid w:val="0"/>
              <w:spacing w:line="240" w:lineRule="auto"/>
              <w:jc w:val="left"/>
              <w:rPr>
                <w:rFonts w:hint="eastAsia"/>
                <w:spacing w:val="2"/>
                <w:szCs w:val="18"/>
              </w:rPr>
            </w:pPr>
            <w:r>
              <w:rPr>
                <w:rFonts w:hint="eastAsia"/>
                <w:spacing w:val="2"/>
                <w:szCs w:val="18"/>
              </w:rPr>
              <w:t>温湿度记录仪（温度测量范围：-30℃~70℃；</w:t>
            </w:r>
          </w:p>
          <w:p w:rsidR="00402E54">
            <w:pPr>
              <w:pStyle w:val="NoSpacing"/>
              <w:snapToGrid w:val="0"/>
              <w:spacing w:line="240" w:lineRule="auto"/>
              <w:jc w:val="left"/>
              <w:rPr>
                <w:rFonts w:hint="eastAsia"/>
                <w:spacing w:val="8"/>
                <w:szCs w:val="18"/>
              </w:rPr>
            </w:pPr>
            <w:r>
              <w:rPr>
                <w:rFonts w:hint="eastAsia"/>
                <w:spacing w:val="2"/>
                <w:szCs w:val="18"/>
              </w:rPr>
              <w:t>测量精度全程±0.5℃；温度分辨率：0.1℃/0.2F；湿度测量范围：0%~100%RH；湿度测量精度：±3%RH(10%~85%RH）其它范围±5%RH；湿度分辨率：0.1%RH；通讯接口：RS232/RS485[R]/USB[U］以太网［L]／无线［W、B、Z、F、G]；）</w:t>
            </w:r>
          </w:p>
        </w:tc>
        <w:tc>
          <w:tcPr>
            <w:tcW w:w="586" w:type="dxa"/>
            <w:vAlign w:val="center"/>
          </w:tcPr>
          <w:p w:rsidR="00402E54">
            <w:pPr>
              <w:pStyle w:val="NoSpacing"/>
              <w:snapToGrid w:val="0"/>
              <w:spacing w:line="240" w:lineRule="auto"/>
              <w:jc w:val="center"/>
              <w:rPr>
                <w:rFonts w:hint="eastAsia"/>
                <w:position w:val="1"/>
              </w:rPr>
            </w:pPr>
            <w:r>
              <w:rPr>
                <w:position w:val="1"/>
              </w:rPr>
              <w:t>2</w:t>
            </w:r>
          </w:p>
        </w:tc>
        <w:tc>
          <w:tcPr>
            <w:tcW w:w="586" w:type="dxa"/>
            <w:vAlign w:val="center"/>
          </w:tcPr>
          <w:p w:rsidR="00402E54">
            <w:pPr>
              <w:pStyle w:val="NoSpacing"/>
              <w:snapToGrid w:val="0"/>
              <w:spacing w:line="240" w:lineRule="auto"/>
              <w:jc w:val="center"/>
              <w:rPr>
                <w:rFonts w:hint="eastAsia"/>
              </w:rPr>
            </w:pPr>
            <w:r>
              <w:rPr>
                <w:rFonts w:hint="eastAsia"/>
              </w:rPr>
              <w:t>套</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rPr>
            </w:pPr>
          </w:p>
        </w:tc>
        <w:tc>
          <w:tcPr>
            <w:tcW w:w="5788" w:type="dxa"/>
            <w:vAlign w:val="center"/>
          </w:tcPr>
          <w:p w:rsidR="00402E54">
            <w:pPr>
              <w:pStyle w:val="NoSpacing"/>
              <w:snapToGrid w:val="0"/>
              <w:spacing w:line="240" w:lineRule="auto"/>
              <w:jc w:val="left"/>
              <w:rPr>
                <w:rFonts w:hint="eastAsia"/>
                <w:spacing w:val="2"/>
                <w:szCs w:val="18"/>
              </w:rPr>
            </w:pPr>
            <w:r>
              <w:rPr>
                <w:rFonts w:hint="eastAsia"/>
                <w:spacing w:val="2"/>
                <w:szCs w:val="18"/>
              </w:rPr>
              <w:t>漏水感应传感器(覆盖机房、天线罩等易漏水区域，定位漏水位置，避免因积水损坏雷达设备或电路。通讯接口：RS-485（</w:t>
            </w:r>
            <w:r>
              <w:rPr>
                <w:rFonts w:hint="eastAsia"/>
                <w:spacing w:val="2"/>
                <w:szCs w:val="18"/>
              </w:rPr>
              <w:t>ModbusRTU</w:t>
            </w:r>
            <w:r>
              <w:rPr>
                <w:rFonts w:hint="eastAsia"/>
                <w:spacing w:val="2"/>
                <w:szCs w:val="18"/>
              </w:rPr>
              <w:t>）/LoRa/ZigBee)</w:t>
            </w:r>
          </w:p>
        </w:tc>
        <w:tc>
          <w:tcPr>
            <w:tcW w:w="586" w:type="dxa"/>
            <w:vAlign w:val="center"/>
          </w:tcPr>
          <w:p w:rsidR="00402E54">
            <w:pPr>
              <w:pStyle w:val="NoSpacing"/>
              <w:snapToGrid w:val="0"/>
              <w:spacing w:line="240" w:lineRule="auto"/>
              <w:jc w:val="center"/>
              <w:rPr>
                <w:rFonts w:hint="eastAsia"/>
                <w:position w:val="1"/>
              </w:rPr>
            </w:pPr>
            <w:r>
              <w:rPr>
                <w:rFonts w:hint="eastAsia"/>
                <w:position w:val="1"/>
              </w:rPr>
              <w:t>2</w:t>
            </w:r>
          </w:p>
        </w:tc>
        <w:tc>
          <w:tcPr>
            <w:tcW w:w="586" w:type="dxa"/>
            <w:vAlign w:val="center"/>
          </w:tcPr>
          <w:p w:rsidR="00402E54">
            <w:pPr>
              <w:pStyle w:val="NoSpacing"/>
              <w:snapToGrid w:val="0"/>
              <w:spacing w:line="240" w:lineRule="auto"/>
              <w:jc w:val="center"/>
              <w:rPr>
                <w:rFonts w:hint="eastAsia"/>
              </w:rPr>
            </w:pPr>
            <w:r>
              <w:rPr>
                <w:rFonts w:hint="eastAsia"/>
              </w:rPr>
              <w:t>套</w:t>
            </w:r>
          </w:p>
        </w:tc>
      </w:tr>
      <w:tr>
        <w:tblPrEx>
          <w:tblW w:w="8522" w:type="dxa"/>
          <w:tblCellMar>
            <w:left w:w="0" w:type="dxa"/>
            <w:right w:w="0" w:type="dxa"/>
          </w:tblCellMar>
          <w:tblLook w:val="04A0"/>
        </w:tblPrEx>
        <w:tc>
          <w:tcPr>
            <w:tcW w:w="534" w:type="dxa"/>
            <w:vMerge/>
            <w:vAlign w:val="center"/>
          </w:tcPr>
          <w:p w:rsidR="00402E54">
            <w:pPr>
              <w:pStyle w:val="NoSpacing"/>
              <w:snapToGrid w:val="0"/>
              <w:spacing w:line="240" w:lineRule="auto"/>
              <w:jc w:val="center"/>
              <w:rPr>
                <w:rFonts w:hint="eastAsia"/>
                <w:position w:val="1"/>
              </w:rPr>
            </w:pPr>
          </w:p>
        </w:tc>
        <w:tc>
          <w:tcPr>
            <w:tcW w:w="1029" w:type="dxa"/>
            <w:vMerge/>
            <w:vAlign w:val="center"/>
          </w:tcPr>
          <w:p w:rsidR="00402E54">
            <w:pPr>
              <w:pStyle w:val="NoSpacing"/>
              <w:snapToGrid w:val="0"/>
              <w:spacing w:line="240" w:lineRule="auto"/>
              <w:jc w:val="center"/>
              <w:rPr>
                <w:rFonts w:hint="eastAsia"/>
              </w:rPr>
            </w:pPr>
          </w:p>
        </w:tc>
        <w:tc>
          <w:tcPr>
            <w:tcW w:w="5788" w:type="dxa"/>
            <w:vAlign w:val="center"/>
          </w:tcPr>
          <w:p w:rsidR="00402E54">
            <w:pPr>
              <w:pStyle w:val="NoSpacing"/>
              <w:snapToGrid w:val="0"/>
              <w:spacing w:line="240" w:lineRule="auto"/>
              <w:jc w:val="left"/>
              <w:rPr>
                <w:rFonts w:hint="eastAsia"/>
                <w:spacing w:val="2"/>
                <w:szCs w:val="18"/>
              </w:rPr>
            </w:pPr>
            <w:r>
              <w:rPr>
                <w:rFonts w:hint="eastAsia"/>
                <w:spacing w:val="2"/>
                <w:szCs w:val="18"/>
              </w:rPr>
              <w:t>雷达天线罩、机房环境监控系统和终端（集成雷达机房温湿度、漏水监测与UPS、发电机、空调动力监控，实时采集参数，智能预警、远程联动）</w:t>
            </w:r>
          </w:p>
        </w:tc>
        <w:tc>
          <w:tcPr>
            <w:tcW w:w="586" w:type="dxa"/>
            <w:vAlign w:val="center"/>
          </w:tcPr>
          <w:p w:rsidR="00402E54">
            <w:pPr>
              <w:pStyle w:val="NoSpacing"/>
              <w:snapToGrid w:val="0"/>
              <w:spacing w:line="240" w:lineRule="auto"/>
              <w:jc w:val="center"/>
              <w:rPr>
                <w:rFonts w:hint="eastAsia"/>
                <w:position w:val="1"/>
              </w:rPr>
            </w:pPr>
            <w:r>
              <w:rPr>
                <w:rFonts w:hint="eastAsia"/>
                <w:position w:val="1"/>
              </w:rPr>
              <w:t>2</w:t>
            </w:r>
          </w:p>
        </w:tc>
        <w:tc>
          <w:tcPr>
            <w:tcW w:w="586" w:type="dxa"/>
            <w:vAlign w:val="center"/>
          </w:tcPr>
          <w:p w:rsidR="00402E54">
            <w:pPr>
              <w:pStyle w:val="NoSpacing"/>
              <w:snapToGrid w:val="0"/>
              <w:spacing w:line="240" w:lineRule="auto"/>
              <w:jc w:val="center"/>
              <w:rPr>
                <w:rFonts w:hint="eastAsia"/>
              </w:rPr>
            </w:pPr>
            <w:r>
              <w:rPr>
                <w:rFonts w:hint="eastAsia"/>
              </w:rPr>
              <w:t>套</w:t>
            </w:r>
          </w:p>
        </w:tc>
      </w:tr>
    </w:tbl>
    <w:p w:rsidR="00402E54">
      <w:pPr>
        <w:spacing w:line="360" w:lineRule="auto"/>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3.14 X波段天气雷达测试仪表设备及技术参数：</w:t>
      </w:r>
    </w:p>
    <w:p w:rsidR="00402E54">
      <w:pPr>
        <w:spacing w:line="360" w:lineRule="auto"/>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系统配套配备一套X波段天气雷达测试仪表，仪表需满足雷达系统测试、标校、故障检测等运维需求，与雷达设备兼容适配，保障雷达正常检测与稳定运行。测试仪表设备配置及技术参数见下表。</w:t>
      </w:r>
    </w:p>
    <w:tbl>
      <w:tblPr>
        <w:tblStyle w:val="TableNormal"/>
        <w:tblpPr w:leftFromText="180" w:rightFromText="180" w:vertAnchor="text" w:tblpXSpec="center" w:tblpY="1"/>
        <w:tblOverlap w:val="never"/>
        <w:tblW w:w="852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tblPr>
      <w:tblGrid>
        <w:gridCol w:w="643"/>
        <w:gridCol w:w="1178"/>
        <w:gridCol w:w="6701"/>
      </w:tblGrid>
      <w:tr>
        <w:tblPrEx>
          <w:tblW w:w="852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tblPrEx>
        <w:trPr>
          <w:tblHeader/>
        </w:trPr>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b/>
                <w:spacing w:val="6"/>
              </w:rPr>
            </w:pPr>
            <w:r>
              <w:rPr>
                <w:b/>
                <w:spacing w:val="6"/>
              </w:rPr>
              <w:t>序号</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b/>
                <w:spacing w:val="6"/>
              </w:rPr>
            </w:pPr>
            <w:r>
              <w:rPr>
                <w:b/>
                <w:spacing w:val="6"/>
              </w:rPr>
              <w:t>设备名称</w:t>
            </w:r>
          </w:p>
        </w:tc>
        <w:tc>
          <w:tcPr>
            <w:tcW w:w="6701"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b/>
                <w:spacing w:val="6"/>
              </w:rPr>
            </w:pPr>
            <w:r>
              <w:rPr>
                <w:b/>
                <w:spacing w:val="6"/>
              </w:rPr>
              <w:t>核心技术参数</w:t>
            </w:r>
          </w:p>
        </w:tc>
      </w:tr>
      <w:tr>
        <w:tblPrEx>
          <w:tblW w:w="8522" w:type="dxa"/>
          <w:tblCellMar>
            <w:top w:w="15" w:type="dxa"/>
            <w:left w:w="15" w:type="dxa"/>
            <w:bottom w:w="15" w:type="dxa"/>
            <w:right w:w="15" w:type="dxa"/>
          </w:tblCellMar>
          <w:tblLook w:val="04A0"/>
        </w:tblPrEx>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1</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highlight w:val="yellow"/>
              </w:rPr>
              <w:t>#频谱仪</w:t>
            </w:r>
          </w:p>
        </w:tc>
        <w:tc>
          <w:tcPr>
            <w:tcW w:w="6701" w:type="dxa"/>
            <w:tcBorders>
              <w:tl2br w:val="nil"/>
              <w:tr2bl w:val="nil"/>
            </w:tcBorders>
            <w:tcMar>
              <w:top w:w="120" w:type="dxa"/>
              <w:left w:w="120" w:type="dxa"/>
              <w:bottom w:w="120" w:type="dxa"/>
              <w:right w:w="120" w:type="dxa"/>
            </w:tcMar>
            <w:vAlign w:val="center"/>
          </w:tcPr>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频率范围：2Hz~13.6GHz；</w:t>
            </w:r>
          </w:p>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频率计数器分辨率：0.001Hz；</w:t>
            </w:r>
          </w:p>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扫描点数：≥100001；</w:t>
            </w:r>
          </w:p>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分辨率带宽：1Hz~10MHz，选择性优于4.5：1，准确度±2%@1Hz~1.3MHz；</w:t>
            </w:r>
          </w:p>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标配分析</w:t>
            </w:r>
            <w:r>
              <w:rPr>
                <w:rFonts w:hint="eastAsia"/>
                <w:spacing w:val="2"/>
                <w:szCs w:val="18"/>
              </w:rPr>
              <w:t>带宽：≥25MHz；</w:t>
            </w:r>
          </w:p>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总体绝对幅度准确度：≤±0.19dB@10Hz~3.6GHz；</w:t>
            </w:r>
          </w:p>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内置前放增益：≥35dB@3.6GHz~13.6GHz；</w:t>
            </w:r>
          </w:p>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前置放大器开启+本底噪声扩展后，</w:t>
            </w:r>
            <w:r>
              <w:rPr>
                <w:rFonts w:hint="eastAsia"/>
                <w:spacing w:val="2"/>
                <w:szCs w:val="18"/>
              </w:rPr>
              <w:t>底噪最优</w:t>
            </w:r>
            <w:r>
              <w:rPr>
                <w:rFonts w:hint="eastAsia"/>
                <w:spacing w:val="2"/>
                <w:szCs w:val="18"/>
              </w:rPr>
              <w:t>可达-174dBm；</w:t>
            </w:r>
          </w:p>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TOI：17dBm（3.5GHz~13.6GHz）；</w:t>
            </w:r>
          </w:p>
          <w:p w:rsidR="00402E54">
            <w:pPr>
              <w:pStyle w:val="NoSpacing"/>
              <w:keepNext/>
              <w:numPr>
                <w:ilvl w:val="0"/>
                <w:numId w:val="8"/>
              </w:numPr>
              <w:snapToGrid w:val="0"/>
              <w:spacing w:line="240" w:lineRule="auto"/>
              <w:jc w:val="left"/>
              <w:rPr>
                <w:rFonts w:hint="eastAsia"/>
                <w:spacing w:val="2"/>
                <w:szCs w:val="18"/>
              </w:rPr>
            </w:pPr>
            <w:r>
              <w:rPr>
                <w:rFonts w:hint="eastAsia"/>
                <w:spacing w:val="2"/>
                <w:szCs w:val="18"/>
              </w:rPr>
              <w:t>含功率测量套件、噪声系数分析功能</w:t>
            </w:r>
          </w:p>
        </w:tc>
      </w:tr>
      <w:tr>
        <w:tblPrEx>
          <w:tblW w:w="8522" w:type="dxa"/>
          <w:tblCellMar>
            <w:top w:w="15" w:type="dxa"/>
            <w:left w:w="15" w:type="dxa"/>
            <w:bottom w:w="15" w:type="dxa"/>
            <w:right w:w="15" w:type="dxa"/>
          </w:tblCellMar>
          <w:tblLook w:val="04A0"/>
        </w:tblPrEx>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2</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噪声源</w:t>
            </w:r>
          </w:p>
        </w:tc>
        <w:tc>
          <w:tcPr>
            <w:tcW w:w="6701"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left"/>
              <w:rPr>
                <w:rFonts w:hint="eastAsia"/>
                <w:spacing w:val="2"/>
                <w:szCs w:val="18"/>
              </w:rPr>
            </w:pPr>
            <w:r>
              <w:rPr>
                <w:rFonts w:hint="eastAsia"/>
                <w:spacing w:val="2"/>
                <w:szCs w:val="18"/>
              </w:rPr>
              <w:t>1.频率范围：10MHz~18GHz；2.典型ENR：15dB；3.配合频谱仪使用</w:t>
            </w:r>
          </w:p>
        </w:tc>
      </w:tr>
      <w:tr>
        <w:tblPrEx>
          <w:tblW w:w="8522" w:type="dxa"/>
          <w:tblCellMar>
            <w:top w:w="15" w:type="dxa"/>
            <w:left w:w="15" w:type="dxa"/>
            <w:bottom w:w="15" w:type="dxa"/>
            <w:right w:w="15" w:type="dxa"/>
          </w:tblCellMar>
          <w:tblLook w:val="04A0"/>
        </w:tblPrEx>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3</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highlight w:val="yellow"/>
              </w:rPr>
              <w:t>#矢量信号源</w:t>
            </w:r>
          </w:p>
        </w:tc>
        <w:tc>
          <w:tcPr>
            <w:tcW w:w="6701" w:type="dxa"/>
            <w:tcBorders>
              <w:tl2br w:val="nil"/>
              <w:tr2bl w:val="nil"/>
            </w:tcBorders>
            <w:tcMar>
              <w:top w:w="120" w:type="dxa"/>
              <w:left w:w="120" w:type="dxa"/>
              <w:bottom w:w="120" w:type="dxa"/>
              <w:right w:w="120" w:type="dxa"/>
            </w:tcMar>
            <w:vAlign w:val="center"/>
          </w:tcPr>
          <w:p w:rsidR="00402E54">
            <w:pPr>
              <w:pStyle w:val="NoSpacing"/>
              <w:keepNext/>
              <w:numPr>
                <w:ilvl w:val="0"/>
                <w:numId w:val="9"/>
              </w:numPr>
              <w:snapToGrid w:val="0"/>
              <w:spacing w:line="240" w:lineRule="auto"/>
              <w:jc w:val="left"/>
              <w:rPr>
                <w:rFonts w:hint="eastAsia"/>
                <w:spacing w:val="2"/>
                <w:szCs w:val="18"/>
              </w:rPr>
            </w:pPr>
            <w:r>
              <w:rPr>
                <w:rFonts w:hint="eastAsia"/>
                <w:spacing w:val="2"/>
                <w:szCs w:val="18"/>
              </w:rPr>
              <w:t>频率范围：100kHz~12GHz，分辨率0.001Hz；</w:t>
            </w:r>
          </w:p>
          <w:p w:rsidR="00402E54">
            <w:pPr>
              <w:pStyle w:val="NoSpacing"/>
              <w:keepNext/>
              <w:numPr>
                <w:ilvl w:val="0"/>
                <w:numId w:val="9"/>
              </w:numPr>
              <w:snapToGrid w:val="0"/>
              <w:spacing w:line="240" w:lineRule="auto"/>
              <w:jc w:val="left"/>
              <w:rPr>
                <w:rFonts w:hint="eastAsia"/>
                <w:spacing w:val="2"/>
                <w:szCs w:val="18"/>
              </w:rPr>
            </w:pPr>
            <w:r>
              <w:rPr>
                <w:rFonts w:hint="eastAsia"/>
                <w:spacing w:val="2"/>
                <w:szCs w:val="18"/>
              </w:rPr>
              <w:t>相位调整：0°~360°，分辨率0.01°；</w:t>
            </w:r>
          </w:p>
          <w:p w:rsidR="00402E54">
            <w:pPr>
              <w:pStyle w:val="NoSpacing"/>
              <w:keepNext/>
              <w:numPr>
                <w:ilvl w:val="0"/>
                <w:numId w:val="9"/>
              </w:numPr>
              <w:snapToGrid w:val="0"/>
              <w:spacing w:line="240" w:lineRule="auto"/>
              <w:jc w:val="left"/>
              <w:rPr>
                <w:rFonts w:hint="eastAsia"/>
                <w:spacing w:val="2"/>
                <w:szCs w:val="18"/>
              </w:rPr>
            </w:pPr>
            <w:r>
              <w:rPr>
                <w:rFonts w:hint="eastAsia"/>
                <w:spacing w:val="2"/>
                <w:szCs w:val="18"/>
              </w:rPr>
              <w:t>外部参数输入频率范围：5MHz~250MHz；</w:t>
            </w:r>
          </w:p>
          <w:p w:rsidR="00402E54">
            <w:pPr>
              <w:pStyle w:val="NoSpacing"/>
              <w:keepNext/>
              <w:numPr>
                <w:ilvl w:val="0"/>
                <w:numId w:val="9"/>
              </w:numPr>
              <w:snapToGrid w:val="0"/>
              <w:spacing w:line="240" w:lineRule="auto"/>
              <w:jc w:val="left"/>
              <w:rPr>
                <w:rFonts w:hint="eastAsia"/>
                <w:spacing w:val="2"/>
                <w:szCs w:val="18"/>
              </w:rPr>
            </w:pPr>
            <w:r>
              <w:rPr>
                <w:rFonts w:hint="eastAsia"/>
                <w:spacing w:val="2"/>
                <w:szCs w:val="18"/>
              </w:rPr>
              <w:t>最小可设置驻留时间：8ns；</w:t>
            </w:r>
          </w:p>
          <w:p w:rsidR="00402E54">
            <w:pPr>
              <w:pStyle w:val="NoSpacing"/>
              <w:keepNext/>
              <w:numPr>
                <w:ilvl w:val="0"/>
                <w:numId w:val="9"/>
              </w:numPr>
              <w:snapToGrid w:val="0"/>
              <w:spacing w:line="240" w:lineRule="auto"/>
              <w:jc w:val="left"/>
              <w:rPr>
                <w:rFonts w:hint="eastAsia"/>
                <w:spacing w:val="2"/>
                <w:szCs w:val="18"/>
              </w:rPr>
            </w:pPr>
            <w:r>
              <w:rPr>
                <w:rFonts w:hint="eastAsia"/>
                <w:spacing w:val="2"/>
                <w:szCs w:val="18"/>
              </w:rPr>
              <w:t>最大输出功率：50MHz-200MHz≥20dBm、200MHz-2.2GHz≥23dBm、2.2GHz-4GHz≥19dBm、4GHz-4.9GHz≥16dBm、4.9GHz-10GHz≥20dBm、10GHz-12GHz≥16dBm；</w:t>
            </w:r>
          </w:p>
          <w:p w:rsidR="00402E54">
            <w:pPr>
              <w:pStyle w:val="NoSpacing"/>
              <w:keepNext/>
              <w:numPr>
                <w:ilvl w:val="0"/>
                <w:numId w:val="9"/>
              </w:numPr>
              <w:snapToGrid w:val="0"/>
              <w:spacing w:line="240" w:lineRule="auto"/>
              <w:jc w:val="left"/>
              <w:rPr>
                <w:rFonts w:hint="eastAsia"/>
                <w:spacing w:val="2"/>
                <w:szCs w:val="18"/>
              </w:rPr>
            </w:pPr>
            <w:r>
              <w:rPr>
                <w:rFonts w:hint="eastAsia"/>
                <w:spacing w:val="2"/>
                <w:szCs w:val="18"/>
              </w:rPr>
              <w:t>频率/幅度切换时间：≤3.9μs；</w:t>
            </w:r>
          </w:p>
          <w:p w:rsidR="00402E54">
            <w:pPr>
              <w:pStyle w:val="NoSpacing"/>
              <w:keepNext/>
              <w:numPr>
                <w:ilvl w:val="0"/>
                <w:numId w:val="9"/>
              </w:numPr>
              <w:snapToGrid w:val="0"/>
              <w:spacing w:line="240" w:lineRule="auto"/>
              <w:jc w:val="left"/>
              <w:rPr>
                <w:rFonts w:hint="eastAsia"/>
                <w:spacing w:val="2"/>
                <w:szCs w:val="18"/>
              </w:rPr>
            </w:pPr>
            <w:r>
              <w:rPr>
                <w:rFonts w:hint="eastAsia"/>
                <w:spacing w:val="2"/>
                <w:szCs w:val="18"/>
              </w:rPr>
              <w:t>具备FM/AM/PM模拟调制，调制带宽≥400MHz；</w:t>
            </w:r>
          </w:p>
          <w:p w:rsidR="00402E54">
            <w:pPr>
              <w:pStyle w:val="NoSpacing"/>
              <w:keepNext/>
              <w:numPr>
                <w:ilvl w:val="0"/>
                <w:numId w:val="9"/>
              </w:numPr>
              <w:snapToGrid w:val="0"/>
              <w:spacing w:line="240" w:lineRule="auto"/>
              <w:jc w:val="left"/>
              <w:rPr>
                <w:rFonts w:hint="eastAsia"/>
                <w:spacing w:val="2"/>
                <w:szCs w:val="18"/>
              </w:rPr>
            </w:pPr>
            <w:r>
              <w:rPr>
                <w:rFonts w:hint="eastAsia"/>
                <w:spacing w:val="2"/>
                <w:szCs w:val="18"/>
              </w:rPr>
              <w:t>内置多类型标准数字调制功能</w:t>
            </w:r>
          </w:p>
        </w:tc>
      </w:tr>
      <w:tr>
        <w:tblPrEx>
          <w:tblW w:w="8522" w:type="dxa"/>
          <w:tblCellMar>
            <w:top w:w="15" w:type="dxa"/>
            <w:left w:w="15" w:type="dxa"/>
            <w:bottom w:w="15" w:type="dxa"/>
            <w:right w:w="15" w:type="dxa"/>
          </w:tblCellMar>
          <w:tblLook w:val="04A0"/>
        </w:tblPrEx>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4</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数字示波器</w:t>
            </w:r>
          </w:p>
        </w:tc>
        <w:tc>
          <w:tcPr>
            <w:tcW w:w="6701" w:type="dxa"/>
            <w:tcBorders>
              <w:tl2br w:val="nil"/>
              <w:tr2bl w:val="nil"/>
            </w:tcBorders>
            <w:tcMar>
              <w:top w:w="120" w:type="dxa"/>
              <w:left w:w="120" w:type="dxa"/>
              <w:bottom w:w="120" w:type="dxa"/>
              <w:right w:w="120" w:type="dxa"/>
            </w:tcMar>
            <w:vAlign w:val="center"/>
          </w:tcPr>
          <w:p w:rsidR="00402E54">
            <w:pPr>
              <w:pStyle w:val="NoSpacing"/>
              <w:keepNext/>
              <w:numPr>
                <w:ilvl w:val="0"/>
                <w:numId w:val="10"/>
              </w:numPr>
              <w:snapToGrid w:val="0"/>
              <w:spacing w:line="240" w:lineRule="auto"/>
              <w:jc w:val="left"/>
              <w:rPr>
                <w:rFonts w:hint="eastAsia"/>
                <w:spacing w:val="2"/>
                <w:szCs w:val="18"/>
              </w:rPr>
            </w:pPr>
            <w:r>
              <w:rPr>
                <w:rFonts w:hint="eastAsia"/>
                <w:spacing w:val="2"/>
                <w:szCs w:val="18"/>
              </w:rPr>
              <w:t>带宽：≥200MHz，可升级至1GHz无需返厂；</w:t>
            </w:r>
          </w:p>
          <w:p w:rsidR="00402E54">
            <w:pPr>
              <w:pStyle w:val="NoSpacing"/>
              <w:keepNext/>
              <w:numPr>
                <w:ilvl w:val="0"/>
                <w:numId w:val="10"/>
              </w:numPr>
              <w:snapToGrid w:val="0"/>
              <w:spacing w:line="240" w:lineRule="auto"/>
              <w:jc w:val="left"/>
              <w:rPr>
                <w:rFonts w:hint="eastAsia"/>
                <w:spacing w:val="2"/>
                <w:szCs w:val="18"/>
              </w:rPr>
            </w:pPr>
            <w:r>
              <w:rPr>
                <w:rFonts w:hint="eastAsia"/>
                <w:spacing w:val="2"/>
                <w:szCs w:val="18"/>
              </w:rPr>
              <w:t>通道数：≥4通道，ADC分辨率14Bit（带宽限制模式16Bit）；</w:t>
            </w:r>
          </w:p>
          <w:p w:rsidR="00402E54">
            <w:pPr>
              <w:pStyle w:val="NoSpacing"/>
              <w:keepNext/>
              <w:numPr>
                <w:ilvl w:val="0"/>
                <w:numId w:val="10"/>
              </w:numPr>
              <w:snapToGrid w:val="0"/>
              <w:spacing w:line="240" w:lineRule="auto"/>
              <w:jc w:val="left"/>
              <w:rPr>
                <w:rFonts w:hint="eastAsia"/>
                <w:spacing w:val="2"/>
                <w:szCs w:val="18"/>
              </w:rPr>
            </w:pPr>
            <w:r>
              <w:rPr>
                <w:rFonts w:hint="eastAsia"/>
                <w:spacing w:val="2"/>
                <w:szCs w:val="18"/>
              </w:rPr>
              <w:t>存储深度：</w:t>
            </w:r>
            <w:r>
              <w:rPr>
                <w:rFonts w:hint="eastAsia"/>
                <w:spacing w:val="2"/>
                <w:szCs w:val="18"/>
              </w:rPr>
              <w:t>标配</w:t>
            </w:r>
            <w:r>
              <w:rPr>
                <w:rFonts w:hint="eastAsia"/>
                <w:spacing w:val="2"/>
                <w:szCs w:val="18"/>
              </w:rPr>
              <w:t>≥20Mpts/channel；</w:t>
            </w:r>
          </w:p>
          <w:p w:rsidR="00402E54">
            <w:pPr>
              <w:pStyle w:val="NoSpacing"/>
              <w:keepNext/>
              <w:numPr>
                <w:ilvl w:val="0"/>
                <w:numId w:val="10"/>
              </w:numPr>
              <w:snapToGrid w:val="0"/>
              <w:spacing w:line="240" w:lineRule="auto"/>
              <w:jc w:val="left"/>
              <w:rPr>
                <w:rFonts w:hint="eastAsia"/>
                <w:spacing w:val="2"/>
                <w:szCs w:val="18"/>
              </w:rPr>
            </w:pPr>
            <w:r>
              <w:rPr>
                <w:rFonts w:hint="eastAsia"/>
                <w:spacing w:val="2"/>
                <w:szCs w:val="18"/>
              </w:rPr>
              <w:t>最大采样率：3.2GSa/s每通道，波形刷新率＞1300000waveforms/s；</w:t>
            </w:r>
          </w:p>
          <w:p w:rsidR="00402E54">
            <w:pPr>
              <w:pStyle w:val="NoSpacing"/>
              <w:keepNext/>
              <w:numPr>
                <w:ilvl w:val="0"/>
                <w:numId w:val="10"/>
              </w:numPr>
              <w:snapToGrid w:val="0"/>
              <w:spacing w:line="240" w:lineRule="auto"/>
              <w:jc w:val="left"/>
              <w:rPr>
                <w:rFonts w:hint="eastAsia"/>
                <w:spacing w:val="2"/>
                <w:szCs w:val="18"/>
              </w:rPr>
            </w:pPr>
            <w:r>
              <w:rPr>
                <w:rFonts w:hint="eastAsia"/>
                <w:spacing w:val="2"/>
                <w:szCs w:val="18"/>
              </w:rPr>
              <w:t>硬件带宽限制多档位可调，具备标准触发+最多4个区域自定义触发；</w:t>
            </w:r>
          </w:p>
          <w:p w:rsidR="00402E54">
            <w:pPr>
              <w:pStyle w:val="NoSpacing"/>
              <w:keepNext/>
              <w:numPr>
                <w:ilvl w:val="0"/>
                <w:numId w:val="10"/>
              </w:numPr>
              <w:snapToGrid w:val="0"/>
              <w:spacing w:line="240" w:lineRule="auto"/>
              <w:jc w:val="left"/>
              <w:rPr>
                <w:rFonts w:hint="eastAsia"/>
                <w:spacing w:val="2"/>
                <w:szCs w:val="18"/>
              </w:rPr>
            </w:pPr>
            <w:r>
              <w:rPr>
                <w:rFonts w:hint="eastAsia"/>
                <w:spacing w:val="2"/>
                <w:szCs w:val="18"/>
              </w:rPr>
              <w:t>内置100MHz任意波形发生器，支持多类波形及AM/FM调制；</w:t>
            </w:r>
          </w:p>
          <w:p w:rsidR="00402E54">
            <w:pPr>
              <w:pStyle w:val="NoSpacing"/>
              <w:keepNext/>
              <w:numPr>
                <w:ilvl w:val="0"/>
                <w:numId w:val="10"/>
              </w:numPr>
              <w:snapToGrid w:val="0"/>
              <w:spacing w:line="240" w:lineRule="auto"/>
              <w:jc w:val="left"/>
              <w:rPr>
                <w:rFonts w:hint="eastAsia"/>
                <w:spacing w:val="2"/>
                <w:szCs w:val="18"/>
              </w:rPr>
            </w:pPr>
            <w:r>
              <w:rPr>
                <w:rFonts w:hint="eastAsia"/>
                <w:spacing w:val="2"/>
                <w:szCs w:val="18"/>
              </w:rPr>
              <w:t>标配4根</w:t>
            </w:r>
            <w:r>
              <w:rPr>
                <w:rFonts w:hint="eastAsia"/>
                <w:spacing w:val="2"/>
                <w:szCs w:val="18"/>
              </w:rPr>
              <w:t>500MHz无源探头</w:t>
            </w:r>
          </w:p>
        </w:tc>
      </w:tr>
      <w:tr>
        <w:tblPrEx>
          <w:tblW w:w="8522" w:type="dxa"/>
          <w:tblCellMar>
            <w:top w:w="15" w:type="dxa"/>
            <w:left w:w="15" w:type="dxa"/>
            <w:bottom w:w="15" w:type="dxa"/>
            <w:right w:w="15" w:type="dxa"/>
          </w:tblCellMar>
          <w:tblLook w:val="04A0"/>
        </w:tblPrEx>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5</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highlight w:val="yellow"/>
              </w:rPr>
              <w:t>#USB峰值功率计</w:t>
            </w:r>
          </w:p>
        </w:tc>
        <w:tc>
          <w:tcPr>
            <w:tcW w:w="6701" w:type="dxa"/>
            <w:tcBorders>
              <w:tl2br w:val="nil"/>
              <w:tr2bl w:val="nil"/>
            </w:tcBorders>
            <w:tcMar>
              <w:top w:w="120" w:type="dxa"/>
              <w:left w:w="120" w:type="dxa"/>
              <w:bottom w:w="120" w:type="dxa"/>
              <w:right w:w="120" w:type="dxa"/>
            </w:tcMar>
            <w:vAlign w:val="center"/>
          </w:tcPr>
          <w:p w:rsidR="00402E54">
            <w:pPr>
              <w:pStyle w:val="NoSpacing"/>
              <w:keepNext/>
              <w:numPr>
                <w:ilvl w:val="0"/>
                <w:numId w:val="11"/>
              </w:numPr>
              <w:snapToGrid w:val="0"/>
              <w:spacing w:line="240" w:lineRule="auto"/>
              <w:jc w:val="left"/>
              <w:rPr>
                <w:rFonts w:hint="eastAsia"/>
                <w:spacing w:val="2"/>
                <w:szCs w:val="18"/>
              </w:rPr>
            </w:pPr>
            <w:r>
              <w:rPr>
                <w:rFonts w:hint="eastAsia"/>
                <w:spacing w:val="2"/>
                <w:szCs w:val="18"/>
              </w:rPr>
              <w:t>频率范围：10MHz~18GHz；</w:t>
            </w:r>
          </w:p>
          <w:p w:rsidR="00402E54">
            <w:pPr>
              <w:pStyle w:val="NoSpacing"/>
              <w:keepNext/>
              <w:numPr>
                <w:ilvl w:val="0"/>
                <w:numId w:val="11"/>
              </w:numPr>
              <w:snapToGrid w:val="0"/>
              <w:spacing w:line="240" w:lineRule="auto"/>
              <w:jc w:val="left"/>
              <w:rPr>
                <w:rFonts w:hint="eastAsia"/>
                <w:spacing w:val="2"/>
                <w:szCs w:val="18"/>
              </w:rPr>
            </w:pPr>
            <w:r>
              <w:rPr>
                <w:rFonts w:hint="eastAsia"/>
                <w:spacing w:val="2"/>
                <w:szCs w:val="18"/>
              </w:rPr>
              <w:t>功率测量范围：-70dBm~+26dBm；</w:t>
            </w:r>
          </w:p>
          <w:p w:rsidR="00402E54">
            <w:pPr>
              <w:pStyle w:val="NoSpacing"/>
              <w:keepNext/>
              <w:numPr>
                <w:ilvl w:val="0"/>
                <w:numId w:val="11"/>
              </w:numPr>
              <w:snapToGrid w:val="0"/>
              <w:spacing w:line="240" w:lineRule="auto"/>
              <w:jc w:val="left"/>
              <w:rPr>
                <w:rFonts w:hint="eastAsia"/>
                <w:spacing w:val="2"/>
                <w:szCs w:val="18"/>
              </w:rPr>
            </w:pPr>
            <w:r>
              <w:rPr>
                <w:rFonts w:hint="eastAsia"/>
                <w:spacing w:val="2"/>
                <w:szCs w:val="18"/>
              </w:rPr>
              <w:t>支持平均/峰值功率测量；</w:t>
            </w:r>
          </w:p>
          <w:p w:rsidR="00402E54">
            <w:pPr>
              <w:pStyle w:val="NoSpacing"/>
              <w:keepNext/>
              <w:numPr>
                <w:ilvl w:val="0"/>
                <w:numId w:val="11"/>
              </w:numPr>
              <w:snapToGrid w:val="0"/>
              <w:spacing w:line="240" w:lineRule="auto"/>
              <w:jc w:val="left"/>
              <w:rPr>
                <w:rFonts w:hint="eastAsia"/>
                <w:spacing w:val="2"/>
                <w:szCs w:val="18"/>
              </w:rPr>
            </w:pPr>
            <w:r>
              <w:rPr>
                <w:rFonts w:hint="eastAsia"/>
                <w:spacing w:val="2"/>
                <w:szCs w:val="18"/>
              </w:rPr>
              <w:t>损坏功率：平均≥29dBm，峰值≥32dBm（＜10μs持续时间）；</w:t>
            </w:r>
          </w:p>
          <w:p w:rsidR="00402E54">
            <w:pPr>
              <w:pStyle w:val="NoSpacing"/>
              <w:keepNext/>
              <w:numPr>
                <w:ilvl w:val="0"/>
                <w:numId w:val="11"/>
              </w:numPr>
              <w:snapToGrid w:val="0"/>
              <w:spacing w:line="240" w:lineRule="auto"/>
              <w:jc w:val="left"/>
              <w:rPr>
                <w:rFonts w:hint="eastAsia"/>
                <w:spacing w:val="2"/>
                <w:szCs w:val="18"/>
              </w:rPr>
            </w:pPr>
            <w:r>
              <w:rPr>
                <w:rFonts w:hint="eastAsia"/>
                <w:spacing w:val="2"/>
                <w:szCs w:val="18"/>
              </w:rPr>
              <w:t>VBW峰值功率信号带宽：≤5MHz；</w:t>
            </w:r>
          </w:p>
          <w:p w:rsidR="00402E54">
            <w:pPr>
              <w:pStyle w:val="NoSpacing"/>
              <w:keepNext/>
              <w:numPr>
                <w:ilvl w:val="0"/>
                <w:numId w:val="11"/>
              </w:numPr>
              <w:snapToGrid w:val="0"/>
              <w:spacing w:line="240" w:lineRule="auto"/>
              <w:jc w:val="left"/>
              <w:rPr>
                <w:rFonts w:hint="eastAsia"/>
                <w:spacing w:val="2"/>
                <w:szCs w:val="18"/>
              </w:rPr>
            </w:pPr>
            <w:r>
              <w:rPr>
                <w:rFonts w:hint="eastAsia"/>
                <w:spacing w:val="2"/>
                <w:szCs w:val="18"/>
              </w:rPr>
              <w:t>可测最小脉冲宽度：250ns，上升/下降时间≤100ns；</w:t>
            </w:r>
          </w:p>
          <w:p w:rsidR="00402E54">
            <w:pPr>
              <w:pStyle w:val="NoSpacing"/>
              <w:keepNext/>
              <w:numPr>
                <w:ilvl w:val="0"/>
                <w:numId w:val="11"/>
              </w:numPr>
              <w:snapToGrid w:val="0"/>
              <w:spacing w:line="240" w:lineRule="auto"/>
              <w:jc w:val="left"/>
              <w:rPr>
                <w:rFonts w:hint="eastAsia"/>
                <w:spacing w:val="2"/>
                <w:szCs w:val="18"/>
              </w:rPr>
            </w:pPr>
            <w:r>
              <w:rPr>
                <w:rFonts w:hint="eastAsia"/>
                <w:spacing w:val="2"/>
                <w:szCs w:val="18"/>
              </w:rPr>
              <w:t>最大脉冲重复周期：2MHz；</w:t>
            </w:r>
          </w:p>
          <w:p w:rsidR="00402E54">
            <w:pPr>
              <w:pStyle w:val="NoSpacing"/>
              <w:keepNext/>
              <w:numPr>
                <w:ilvl w:val="0"/>
                <w:numId w:val="11"/>
              </w:numPr>
              <w:snapToGrid w:val="0"/>
              <w:spacing w:line="240" w:lineRule="auto"/>
              <w:jc w:val="left"/>
              <w:rPr>
                <w:rFonts w:hint="eastAsia"/>
                <w:spacing w:val="2"/>
                <w:szCs w:val="18"/>
              </w:rPr>
            </w:pPr>
            <w:r>
              <w:rPr>
                <w:rFonts w:hint="eastAsia"/>
                <w:spacing w:val="2"/>
                <w:szCs w:val="18"/>
              </w:rPr>
              <w:t>USB接口连接</w:t>
            </w:r>
          </w:p>
        </w:tc>
      </w:tr>
    </w:tbl>
    <w:p w:rsidR="00402E54">
      <w:pPr>
        <w:spacing w:line="570" w:lineRule="exact"/>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3.15 X波段天气雷达自动金属球标定设备</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雷达具有金属球自动跟踪功能，标定参数包括但不限于反射率因子和双偏振参数ZDR、φDP测量精度，确保雷达观测数据准确可靠，</w:t>
      </w:r>
      <w:r>
        <w:rPr>
          <w:rFonts w:ascii="仿宋_GB2312" w:eastAsia="仿宋_GB2312" w:hAnsi="仿宋_GB2312" w:cs="仿宋_GB2312" w:hint="eastAsia"/>
          <w:sz w:val="28"/>
          <w:szCs w:val="28"/>
        </w:rPr>
        <w:t>满足组</w:t>
      </w:r>
      <w:r>
        <w:rPr>
          <w:rFonts w:ascii="仿宋_GB2312" w:eastAsia="仿宋_GB2312" w:hAnsi="仿宋_GB2312" w:cs="仿宋_GB2312" w:hint="eastAsia"/>
          <w:sz w:val="28"/>
          <w:szCs w:val="28"/>
        </w:rPr>
        <w:t>网观测一致性要求。</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标定设备</w:t>
      </w:r>
      <w:r>
        <w:rPr>
          <w:rFonts w:ascii="仿宋_GB2312" w:eastAsia="仿宋_GB2312" w:hAnsi="仿宋_GB2312" w:cs="仿宋_GB2312" w:hint="eastAsia"/>
          <w:sz w:val="28"/>
          <w:szCs w:val="28"/>
        </w:rPr>
        <w:t>须支持</w:t>
      </w:r>
      <w:r>
        <w:rPr>
          <w:rFonts w:ascii="仿宋_GB2312" w:eastAsia="仿宋_GB2312" w:hAnsi="仿宋_GB2312" w:cs="仿宋_GB2312" w:hint="eastAsia"/>
          <w:sz w:val="28"/>
          <w:szCs w:val="28"/>
        </w:rPr>
        <w:t>远场架设与无人机挂载两种工作模式，具备发射系统、接收系统、天线性能、双偏振参数、点目标模拟等全功能标定能力，支持一键自动标定、波束自动对准、数据自动分析与标准化报表输出，兼容现有雷达系统，稳定可靠、操作简便、维护便捷。每次标定完成后应自动生成雷达标定报告，包含标定时间、环境条件、原始观测数据、偏差分析、精度评估结论及一致性检验结果，数据归档集中存储，可供追溯、查询与组网统一校准使用。设备配置和技术参数见下表。</w:t>
      </w:r>
    </w:p>
    <w:tbl>
      <w:tblPr>
        <w:tblStyle w:val="TableNormal"/>
        <w:tblpPr w:leftFromText="180" w:rightFromText="180" w:vertAnchor="text" w:tblpXSpec="center" w:tblpY="1"/>
        <w:tblOverlap w:val="never"/>
        <w:tblW w:w="852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tblPr>
      <w:tblGrid>
        <w:gridCol w:w="642"/>
        <w:gridCol w:w="1337"/>
        <w:gridCol w:w="2571"/>
        <w:gridCol w:w="3972"/>
      </w:tblGrid>
      <w:tr>
        <w:tblPrEx>
          <w:tblW w:w="852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tblPrEx>
        <w:trPr>
          <w:tblHeader/>
        </w:trPr>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b/>
                <w:spacing w:val="6"/>
              </w:rPr>
            </w:pPr>
            <w:r>
              <w:rPr>
                <w:b/>
                <w:spacing w:val="6"/>
                <w:lang w:bidi="ar"/>
              </w:rPr>
              <w:t>序号</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b/>
                <w:spacing w:val="6"/>
              </w:rPr>
            </w:pPr>
            <w:r>
              <w:rPr>
                <w:b/>
                <w:spacing w:val="6"/>
                <w:lang w:bidi="ar"/>
              </w:rPr>
              <w:t>参数类别</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b/>
                <w:spacing w:val="6"/>
              </w:rPr>
            </w:pPr>
            <w:r>
              <w:rPr>
                <w:b/>
                <w:spacing w:val="6"/>
                <w:lang w:bidi="ar"/>
              </w:rPr>
              <w:t>参数名称</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b/>
                <w:spacing w:val="6"/>
              </w:rPr>
            </w:pPr>
            <w:r>
              <w:rPr>
                <w:b/>
                <w:spacing w:val="6"/>
                <w:lang w:bidi="ar"/>
              </w:rPr>
              <w:t>技术指标要求</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rFonts w:hint="eastAsia"/>
                <w:position w:val="1"/>
                <w:highlight w:val="yellow"/>
                <w:lang w:bidi="ar"/>
              </w:rPr>
              <w:t>#</w:t>
            </w:r>
            <w:r>
              <w:rPr>
                <w:position w:val="1"/>
                <w:highlight w:val="yellow"/>
                <w:lang w:bidi="ar"/>
              </w:rPr>
              <w:t>核心工作参数</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工作频率</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X 波段：9100～9500MHz</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工作模式</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单发双收 / 双发双收</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通道隔离度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≥25dB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频率分辨率</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1Hz</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5</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rFonts w:hint="eastAsia"/>
                <w:position w:val="1"/>
                <w:highlight w:val="yellow"/>
                <w:lang w:bidi="ar"/>
              </w:rPr>
              <w:t>#</w:t>
            </w:r>
            <w:r>
              <w:rPr>
                <w:position w:val="1"/>
                <w:highlight w:val="yellow"/>
                <w:lang w:bidi="ar"/>
              </w:rPr>
              <w:t>功率与信号</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输出功率</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-60dBm～0dBm</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6</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输出功率分辨率</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7</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输出方式</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CW 连续波、脉冲（点目标）</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8</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发射信号频谱特性测试精度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≤1MHz</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9</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rFonts w:hint="eastAsia"/>
                <w:position w:val="1"/>
                <w:highlight w:val="yellow"/>
                <w:lang w:bidi="ar"/>
              </w:rPr>
              <w:t>#</w:t>
            </w:r>
            <w:r>
              <w:rPr>
                <w:position w:val="1"/>
                <w:highlight w:val="yellow"/>
                <w:lang w:bidi="ar"/>
              </w:rPr>
              <w:t>天线性能</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天线波束指向测试精度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10</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天线波束宽度测试精度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11</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发射系统</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发射双通道幅度一致性标定精度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≤0.2dB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12</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发射双通道相位一致性标定精度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≤1°</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13</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接收系统</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接收机动态范围标定范围</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0～70dB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14</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接收机动态范围标定精度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≤0.5dB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15</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接收双通道幅度一致性校准精度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16</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接收双通道相位一致性校准精度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17</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距离与速度</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距离分辨率标定范围</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≤200km</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18</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距离测试精度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75m@X 波段</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19</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回波距离模拟精度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≤15m</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20</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回波角度模拟精度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21</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速度标定范围</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±0.5m/s～±60m/s</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22</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速度标定精度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≤0.5m/s</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23</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谱宽分辨率</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≤0.5m/s</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24</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谱宽标定精度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≤0.5m/s</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25</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双偏振参数</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Zdr</w:t>
            </w:r>
            <w:r>
              <w:rPr>
                <w:position w:val="1"/>
                <w:lang w:bidi="ar"/>
              </w:rPr>
              <w:t xml:space="preserve"> 模拟范围</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-20～+20dB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26</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Zdr</w:t>
            </w:r>
            <w:r>
              <w:rPr>
                <w:position w:val="1"/>
                <w:lang w:bidi="ar"/>
              </w:rPr>
              <w:t xml:space="preserve"> 模拟分辨率</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27</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Zdr</w:t>
            </w:r>
            <w:r>
              <w:rPr>
                <w:position w:val="1"/>
                <w:lang w:bidi="ar"/>
              </w:rPr>
              <w:t xml:space="preserve"> 模拟精度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≤0.2dB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28</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PhiDP</w:t>
            </w:r>
            <w:r>
              <w:rPr>
                <w:position w:val="1"/>
                <w:lang w:bidi="ar"/>
              </w:rPr>
              <w:t xml:space="preserve"> 标定范围</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0°～360°</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29</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相位控制分辨率</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30</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相位控制精度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≤0.2°</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31</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LDR 模拟范围</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-20～+20dB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32</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LDR 模拟精度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33</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强度标定</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强度标定分辨率</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≤0.1dB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34</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强度标定精度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≤±1dB</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35</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远程与</w:t>
            </w:r>
            <w:r>
              <w:rPr>
                <w:position w:val="1"/>
                <w:lang w:bidi="ar"/>
              </w:rPr>
              <w:t>通信</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远程标定范围</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≤10km</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36</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通信方式</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有线、无线网络通信</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37</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供电与续航</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供电方式</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可充电式直流电池供电</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38</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电池续航</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≥60min</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39</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可靠性</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MTBF</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≥5000h</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40</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MTTR</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≤0.5h</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41</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结构物理</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主机重量</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≤15kg</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42</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设备材质</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外部铝合金 + 碳纤维，防锈防氧化、高强度轻量化</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43</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使用模式</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支持三脚架架设、无人机挂载</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44</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定位定向</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定位模块</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北斗定位定向型 GNSS 接收机</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45</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测向精度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0.08°</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46</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软件功能</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自动检测</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开机自动自检，异常信息显示</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47</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波束自动对准</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RTK 高精度定位，自动计算并完成对准</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48</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自动标定</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一键全自动完成全项标定</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49</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报表输出</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自动生成标定结果 Word 报表</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50</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系统管理</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用户分级管理、操作日志、参数配置</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51</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配套金属球</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尺寸</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20cm/30cm/40cm 可选</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52</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球形公差</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±1mm</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53</w:t>
            </w:r>
          </w:p>
        </w:tc>
        <w:tc>
          <w:tcPr>
            <w:tcW w:w="1337"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配套无人机</w:t>
            </w: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悬停精度</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水平 ±10cm，垂直 ±10cm</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54</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最大悬停时间（满载）</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双电</w:t>
            </w:r>
            <w:r>
              <w:rPr>
                <w:position w:val="1"/>
                <w:lang w:bidi="ar"/>
              </w:rPr>
              <w:t>≥18 分钟</w:t>
            </w:r>
          </w:p>
        </w:tc>
      </w:tr>
      <w:tr>
        <w:tblPrEx>
          <w:tblW w:w="8522" w:type="dxa"/>
          <w:tblCellMar>
            <w:top w:w="15" w:type="dxa"/>
            <w:left w:w="15" w:type="dxa"/>
            <w:bottom w:w="15" w:type="dxa"/>
            <w:right w:w="15" w:type="dxa"/>
          </w:tblCellMar>
          <w:tblLook w:val="04A0"/>
        </w:tblPrEx>
        <w:tc>
          <w:tcPr>
            <w:tcW w:w="64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center"/>
              <w:rPr>
                <w:rFonts w:hint="eastAsia"/>
                <w:position w:val="1"/>
              </w:rPr>
            </w:pPr>
            <w:r>
              <w:rPr>
                <w:position w:val="1"/>
                <w:lang w:bidi="ar"/>
              </w:rPr>
              <w:t>55</w:t>
            </w:r>
          </w:p>
        </w:tc>
        <w:tc>
          <w:tcPr>
            <w:tcW w:w="1337"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position w:val="1"/>
              </w:rPr>
            </w:pPr>
          </w:p>
        </w:tc>
        <w:tc>
          <w:tcPr>
            <w:tcW w:w="2571"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防护等级</w:t>
            </w:r>
          </w:p>
        </w:tc>
        <w:tc>
          <w:tcPr>
            <w:tcW w:w="3972" w:type="dxa"/>
            <w:tcBorders>
              <w:tl2br w:val="nil"/>
              <w:tr2bl w:val="nil"/>
            </w:tcBorders>
            <w:tcMar>
              <w:top w:w="120" w:type="dxa"/>
              <w:left w:w="120" w:type="dxa"/>
              <w:bottom w:w="120" w:type="dxa"/>
              <w:right w:w="120" w:type="dxa"/>
            </w:tcMar>
            <w:vAlign w:val="center"/>
          </w:tcPr>
          <w:p w:rsidR="00402E54">
            <w:pPr>
              <w:pStyle w:val="NoSpacing"/>
              <w:keepNext/>
              <w:widowControl/>
              <w:snapToGrid w:val="0"/>
              <w:spacing w:line="240" w:lineRule="auto"/>
              <w:jc w:val="left"/>
              <w:rPr>
                <w:rFonts w:hint="eastAsia"/>
                <w:position w:val="1"/>
              </w:rPr>
            </w:pPr>
            <w:r>
              <w:rPr>
                <w:position w:val="1"/>
                <w:lang w:bidi="ar"/>
              </w:rPr>
              <w:t>IP55</w:t>
            </w:r>
          </w:p>
        </w:tc>
      </w:tr>
    </w:tbl>
    <w:p w:rsidR="00402E54">
      <w:pPr>
        <w:spacing w:line="570" w:lineRule="exact"/>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3.16相控阵多雷达组网智能分析与应用系统</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相控阵多雷达组网智能分析与应用系统具备智能协同观测功能及统一接口，所有在网雷达需采用统一的控制接口、通信协议及数据格式，接口标准符合相关规范，可与综合处理单元、集中存储单元及远程控制平台无缝对接，保障指令传输和数据交互的稳定兼容。</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支持通过远程控制平台对所有在网雷达进行集中统一控制与协同调度，可自动分配探测区域、调整扫描策略，避免探测盲区与重复探测。</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提供多部相控阵雷达组</w:t>
      </w:r>
      <w:r>
        <w:rPr>
          <w:rFonts w:ascii="仿宋_GB2312" w:eastAsia="仿宋_GB2312" w:hAnsi="仿宋_GB2312" w:cs="仿宋_GB2312" w:hint="eastAsia"/>
          <w:sz w:val="28"/>
          <w:szCs w:val="28"/>
        </w:rPr>
        <w:t>网产品</w:t>
      </w:r>
      <w:r>
        <w:rPr>
          <w:rFonts w:ascii="仿宋_GB2312" w:eastAsia="仿宋_GB2312" w:hAnsi="仿宋_GB2312" w:cs="仿宋_GB2312" w:hint="eastAsia"/>
          <w:sz w:val="28"/>
          <w:szCs w:val="28"/>
        </w:rPr>
        <w:t>系统；并根据用户需求提供至少1个应用场景的应用。应具备基于人工智能技术的天气雷达三维回波外推和降水外推产品。AI外推算法应利用不少于3年历史雷达标准数据集进行训练与验证，确保外推准确率与时序连续性；产品输出格式应与省级气象业务平台兼容。</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提供相控阵雷达组网智能分析系统，无缝对接云南省气象局智能分析底座和智能驱动框架，基于单站雷达探测数据、组网拼图数据和雷达外推产品，面向雷达业务进行流程设计，利用雷达业务算法，构建多种雷达业务智能体，具备雷达业务产品智能分析、灾害天气（短时强降水、雷暴大风、冰雹等）事前智能感知、灾害天气落区智能</w:t>
      </w:r>
      <w:r>
        <w:rPr>
          <w:rFonts w:ascii="仿宋_GB2312" w:eastAsia="仿宋_GB2312" w:hAnsi="仿宋_GB2312" w:cs="仿宋_GB2312" w:hint="eastAsia"/>
          <w:sz w:val="28"/>
          <w:szCs w:val="28"/>
        </w:rPr>
        <w:t>研</w:t>
      </w:r>
      <w:r>
        <w:rPr>
          <w:rFonts w:ascii="仿宋_GB2312" w:eastAsia="仿宋_GB2312" w:hAnsi="仿宋_GB2312" w:cs="仿宋_GB2312" w:hint="eastAsia"/>
          <w:sz w:val="28"/>
          <w:szCs w:val="28"/>
        </w:rPr>
        <w:t>判、灾害天气过程事中综合研判、灾害天气过程事后智能复盘等功能，实现智能交互分析和智能驱动，</w:t>
      </w:r>
      <w:r>
        <w:rPr>
          <w:rFonts w:ascii="仿宋_GB2312" w:eastAsia="仿宋_GB2312" w:hAnsi="仿宋_GB2312" w:cs="仿宋_GB2312" w:hint="eastAsia"/>
          <w:sz w:val="28"/>
          <w:szCs w:val="28"/>
        </w:rPr>
        <w:t>支撑省</w:t>
      </w:r>
      <w:r>
        <w:rPr>
          <w:rFonts w:ascii="仿宋_GB2312" w:eastAsia="仿宋_GB2312" w:hAnsi="仿宋_GB2312" w:cs="仿宋_GB2312" w:hint="eastAsia"/>
          <w:sz w:val="28"/>
          <w:szCs w:val="28"/>
        </w:rPr>
        <w:t>市县三级雷达业务的自动化辅助。</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相控阵多雷达组网智能分析与应用系统硬件设备技术参数见下表：</w:t>
      </w:r>
    </w:p>
    <w:tbl>
      <w:tblPr>
        <w:tblStyle w:val="TableNormal"/>
        <w:tblpPr w:leftFromText="180" w:rightFromText="180" w:vertAnchor="text" w:tblpXSpec="center" w:tblpY="1"/>
        <w:tblOverlap w:val="never"/>
        <w:tblW w:w="852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tblPr>
      <w:tblGrid>
        <w:gridCol w:w="643"/>
        <w:gridCol w:w="1178"/>
        <w:gridCol w:w="6701"/>
      </w:tblGrid>
      <w:tr>
        <w:tblPrEx>
          <w:tblW w:w="852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tblPrEx>
        <w:trPr>
          <w:tblHeader/>
        </w:trPr>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b/>
                <w:spacing w:val="6"/>
              </w:rPr>
            </w:pPr>
            <w:r>
              <w:rPr>
                <w:b/>
                <w:spacing w:val="6"/>
              </w:rPr>
              <w:t>序号</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b/>
                <w:spacing w:val="6"/>
              </w:rPr>
            </w:pPr>
            <w:r>
              <w:rPr>
                <w:b/>
                <w:spacing w:val="6"/>
              </w:rPr>
              <w:t>设备名称</w:t>
            </w:r>
          </w:p>
        </w:tc>
        <w:tc>
          <w:tcPr>
            <w:tcW w:w="6701"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b/>
                <w:spacing w:val="6"/>
              </w:rPr>
            </w:pPr>
            <w:r>
              <w:rPr>
                <w:b/>
                <w:spacing w:val="6"/>
              </w:rPr>
              <w:t>核心技术参数</w:t>
            </w:r>
          </w:p>
        </w:tc>
      </w:tr>
      <w:tr>
        <w:tblPrEx>
          <w:tblW w:w="8522" w:type="dxa"/>
          <w:tblCellMar>
            <w:top w:w="15" w:type="dxa"/>
            <w:left w:w="15" w:type="dxa"/>
            <w:bottom w:w="15" w:type="dxa"/>
            <w:right w:w="15" w:type="dxa"/>
          </w:tblCellMar>
          <w:tblLook w:val="04A0"/>
        </w:tblPrEx>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1</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相控阵多雷达组</w:t>
            </w:r>
            <w:r>
              <w:rPr>
                <w:rFonts w:hint="eastAsia"/>
                <w:spacing w:val="2"/>
                <w:szCs w:val="18"/>
              </w:rPr>
              <w:t>网产品</w:t>
            </w:r>
            <w:r>
              <w:rPr>
                <w:rFonts w:hint="eastAsia"/>
                <w:spacing w:val="2"/>
                <w:szCs w:val="18"/>
              </w:rPr>
              <w:t>高速缓冲存储设备</w:t>
            </w:r>
          </w:p>
        </w:tc>
        <w:tc>
          <w:tcPr>
            <w:tcW w:w="6701" w:type="dxa"/>
            <w:tcBorders>
              <w:tl2br w:val="nil"/>
              <w:tr2bl w:val="nil"/>
            </w:tcBorders>
            <w:tcMar>
              <w:top w:w="120" w:type="dxa"/>
              <w:left w:w="120" w:type="dxa"/>
              <w:bottom w:w="120" w:type="dxa"/>
              <w:right w:w="120" w:type="dxa"/>
            </w:tcMar>
            <w:vAlign w:val="center"/>
          </w:tcPr>
          <w:p w:rsidR="00402E54">
            <w:pPr>
              <w:pStyle w:val="NoSpacing"/>
              <w:keepNext/>
              <w:numPr>
                <w:ilvl w:val="12"/>
                <w:numId w:val="0"/>
              </w:numPr>
              <w:snapToGrid w:val="0"/>
              <w:spacing w:line="240" w:lineRule="auto"/>
              <w:jc w:val="left"/>
              <w:rPr>
                <w:rFonts w:hint="eastAsia"/>
                <w:spacing w:val="2"/>
                <w:szCs w:val="18"/>
              </w:rPr>
            </w:pPr>
            <w:r>
              <w:rPr>
                <w:spacing w:val="2"/>
                <w:szCs w:val="18"/>
              </w:rPr>
              <w:t>1.</w:t>
            </w:r>
            <w:r>
              <w:rPr>
                <w:rFonts w:hint="eastAsia"/>
                <w:spacing w:val="2"/>
                <w:szCs w:val="18"/>
              </w:rPr>
              <w:t>配置≥2 颗 CPU 处理器，每颗 CPU 物理核心数≥28核，主频≥2.1GHz；</w:t>
            </w:r>
          </w:p>
          <w:p w:rsidR="00402E54">
            <w:pPr>
              <w:pStyle w:val="NoSpacing"/>
              <w:keepNext/>
              <w:numPr>
                <w:ilvl w:val="12"/>
                <w:numId w:val="0"/>
              </w:numPr>
              <w:snapToGrid w:val="0"/>
              <w:spacing w:line="240" w:lineRule="auto"/>
              <w:jc w:val="left"/>
              <w:rPr>
                <w:rFonts w:hint="eastAsia"/>
                <w:spacing w:val="2"/>
                <w:szCs w:val="18"/>
              </w:rPr>
            </w:pPr>
            <w:r>
              <w:rPr>
                <w:spacing w:val="2"/>
                <w:szCs w:val="18"/>
              </w:rPr>
              <w:t>2.</w:t>
            </w:r>
            <w:r>
              <w:rPr>
                <w:rFonts w:hint="eastAsia"/>
                <w:spacing w:val="2"/>
                <w:szCs w:val="18"/>
              </w:rPr>
              <w:t xml:space="preserve">内存：配置≥256GB DDR5内存，提供≥16 </w:t>
            </w:r>
            <w:r>
              <w:rPr>
                <w:rFonts w:hint="eastAsia"/>
                <w:spacing w:val="2"/>
                <w:szCs w:val="18"/>
              </w:rPr>
              <w:t>个</w:t>
            </w:r>
            <w:r>
              <w:rPr>
                <w:rFonts w:hint="eastAsia"/>
                <w:spacing w:val="2"/>
                <w:szCs w:val="18"/>
              </w:rPr>
              <w:t>内存插槽；</w:t>
            </w:r>
          </w:p>
          <w:p w:rsidR="00402E54">
            <w:pPr>
              <w:pStyle w:val="NoSpacing"/>
              <w:keepNext/>
              <w:numPr>
                <w:ilvl w:val="12"/>
                <w:numId w:val="0"/>
              </w:numPr>
              <w:snapToGrid w:val="0"/>
              <w:spacing w:line="240" w:lineRule="auto"/>
              <w:jc w:val="left"/>
              <w:rPr>
                <w:rFonts w:hint="eastAsia"/>
                <w:spacing w:val="2"/>
                <w:szCs w:val="18"/>
              </w:rPr>
            </w:pPr>
            <w:r>
              <w:rPr>
                <w:spacing w:val="2"/>
                <w:szCs w:val="18"/>
              </w:rPr>
              <w:t>3.</w:t>
            </w:r>
            <w:r>
              <w:rPr>
                <w:rFonts w:hint="eastAsia"/>
                <w:spacing w:val="2"/>
                <w:szCs w:val="18"/>
              </w:rPr>
              <w:t>硬盘：配置系统盘≥2 块NVME SSD 960G；数据盘≥6块7.68T NVME SSD，提供≥24个 盘位数；</w:t>
            </w:r>
          </w:p>
          <w:p w:rsidR="00402E54">
            <w:pPr>
              <w:pStyle w:val="NoSpacing"/>
              <w:keepNext/>
              <w:numPr>
                <w:ilvl w:val="12"/>
                <w:numId w:val="0"/>
              </w:numPr>
              <w:snapToGrid w:val="0"/>
              <w:spacing w:line="240" w:lineRule="auto"/>
              <w:jc w:val="left"/>
              <w:rPr>
                <w:rFonts w:hint="eastAsia"/>
                <w:spacing w:val="2"/>
                <w:szCs w:val="18"/>
              </w:rPr>
            </w:pPr>
            <w:r>
              <w:rPr>
                <w:spacing w:val="2"/>
                <w:szCs w:val="18"/>
              </w:rPr>
              <w:t>4.</w:t>
            </w:r>
            <w:r>
              <w:rPr>
                <w:rFonts w:hint="eastAsia"/>
                <w:spacing w:val="2"/>
                <w:szCs w:val="18"/>
              </w:rPr>
              <w:t xml:space="preserve">网卡：配置≥4 </w:t>
            </w:r>
            <w:r>
              <w:rPr>
                <w:rFonts w:hint="eastAsia"/>
                <w:spacing w:val="2"/>
                <w:szCs w:val="18"/>
              </w:rPr>
              <w:t>个</w:t>
            </w:r>
            <w:r>
              <w:rPr>
                <w:rFonts w:hint="eastAsia"/>
                <w:spacing w:val="2"/>
                <w:szCs w:val="18"/>
              </w:rPr>
              <w:t>千兆以太网 RJ45 接口，≥4个25G光口，支持扩展32G、100G、200G、400G等接口；</w:t>
            </w:r>
          </w:p>
          <w:p w:rsidR="00402E54">
            <w:pPr>
              <w:pStyle w:val="NoSpacing"/>
              <w:keepNext/>
              <w:numPr>
                <w:ilvl w:val="12"/>
                <w:numId w:val="0"/>
              </w:numPr>
              <w:snapToGrid w:val="0"/>
              <w:spacing w:line="240" w:lineRule="auto"/>
              <w:jc w:val="left"/>
              <w:rPr>
                <w:rFonts w:hint="eastAsia"/>
                <w:spacing w:val="2"/>
                <w:szCs w:val="18"/>
              </w:rPr>
            </w:pPr>
            <w:r>
              <w:rPr>
                <w:rFonts w:hint="eastAsia"/>
                <w:spacing w:val="2"/>
                <w:szCs w:val="18"/>
              </w:rPr>
              <w:t>5</w:t>
            </w:r>
            <w:r>
              <w:rPr>
                <w:spacing w:val="2"/>
                <w:szCs w:val="18"/>
              </w:rPr>
              <w:t>.</w:t>
            </w:r>
            <w:r>
              <w:rPr>
                <w:rFonts w:hint="eastAsia"/>
                <w:spacing w:val="2"/>
                <w:szCs w:val="18"/>
              </w:rPr>
              <w:t>电源：冗余电源，支持</w:t>
            </w:r>
            <w:r>
              <w:rPr>
                <w:rFonts w:hint="eastAsia"/>
                <w:spacing w:val="2"/>
                <w:szCs w:val="18"/>
              </w:rPr>
              <w:t>热插拨</w:t>
            </w:r>
            <w:r>
              <w:rPr>
                <w:rFonts w:hint="eastAsia"/>
                <w:spacing w:val="2"/>
                <w:szCs w:val="18"/>
              </w:rPr>
              <w:t>；</w:t>
            </w:r>
          </w:p>
          <w:p w:rsidR="00402E54">
            <w:pPr>
              <w:pStyle w:val="NoSpacing"/>
              <w:keepNext/>
              <w:numPr>
                <w:ilvl w:val="12"/>
                <w:numId w:val="0"/>
              </w:numPr>
              <w:snapToGrid w:val="0"/>
              <w:spacing w:line="240" w:lineRule="auto"/>
              <w:jc w:val="left"/>
              <w:rPr>
                <w:rFonts w:hint="eastAsia"/>
                <w:spacing w:val="2"/>
                <w:szCs w:val="18"/>
              </w:rPr>
            </w:pPr>
            <w:r>
              <w:rPr>
                <w:spacing w:val="2"/>
                <w:szCs w:val="18"/>
              </w:rPr>
              <w:t>6.</w:t>
            </w:r>
            <w:r>
              <w:rPr>
                <w:rFonts w:hint="eastAsia"/>
                <w:spacing w:val="2"/>
                <w:szCs w:val="18"/>
              </w:rPr>
              <w:t>冷却系统：冗余热插拔系统风扇；</w:t>
            </w:r>
          </w:p>
          <w:p w:rsidR="00402E54">
            <w:pPr>
              <w:pStyle w:val="NoSpacing"/>
              <w:keepNext/>
              <w:numPr>
                <w:ilvl w:val="12"/>
                <w:numId w:val="0"/>
              </w:numPr>
              <w:snapToGrid w:val="0"/>
              <w:spacing w:line="240" w:lineRule="auto"/>
              <w:jc w:val="left"/>
              <w:rPr>
                <w:rFonts w:hint="eastAsia"/>
                <w:spacing w:val="2"/>
                <w:szCs w:val="18"/>
              </w:rPr>
            </w:pPr>
            <w:r>
              <w:rPr>
                <w:spacing w:val="2"/>
                <w:szCs w:val="18"/>
              </w:rPr>
              <w:t>7.</w:t>
            </w:r>
            <w:r>
              <w:rPr>
                <w:rFonts w:hint="eastAsia"/>
                <w:spacing w:val="2"/>
                <w:szCs w:val="18"/>
              </w:rPr>
              <w:t>BMC功能：</w:t>
            </w:r>
            <w:r>
              <w:rPr>
                <w:rFonts w:hint="eastAsia"/>
                <w:spacing w:val="2"/>
                <w:szCs w:val="18"/>
              </w:rPr>
              <w:t>标配</w:t>
            </w:r>
            <w:r>
              <w:rPr>
                <w:rFonts w:hint="eastAsia"/>
                <w:spacing w:val="2"/>
                <w:szCs w:val="18"/>
              </w:rPr>
              <w:t>BMC诊断模块，可实现对CPU/内存/硬盘/网卡/风扇/温度/电源等关键部件的故障诊断；</w:t>
            </w:r>
          </w:p>
          <w:p w:rsidR="00402E54">
            <w:pPr>
              <w:pStyle w:val="NoSpacing"/>
              <w:keepNext/>
              <w:numPr>
                <w:ilvl w:val="12"/>
                <w:numId w:val="0"/>
              </w:numPr>
              <w:snapToGrid w:val="0"/>
              <w:spacing w:line="240" w:lineRule="auto"/>
              <w:jc w:val="left"/>
              <w:rPr>
                <w:rFonts w:hint="eastAsia"/>
                <w:spacing w:val="2"/>
                <w:szCs w:val="18"/>
              </w:rPr>
            </w:pPr>
            <w:r>
              <w:rPr>
                <w:rFonts w:hint="eastAsia"/>
                <w:spacing w:val="2"/>
                <w:szCs w:val="18"/>
              </w:rPr>
              <w:t>8</w:t>
            </w:r>
            <w:r>
              <w:rPr>
                <w:spacing w:val="2"/>
                <w:szCs w:val="18"/>
              </w:rPr>
              <w:t>.</w:t>
            </w:r>
            <w:r>
              <w:rPr>
                <w:rFonts w:hint="eastAsia"/>
                <w:spacing w:val="2"/>
                <w:szCs w:val="18"/>
              </w:rPr>
              <w:t>提供≥80T</w:t>
            </w:r>
            <w:r>
              <w:rPr>
                <w:rFonts w:hint="eastAsia"/>
                <w:spacing w:val="2"/>
                <w:szCs w:val="18"/>
              </w:rPr>
              <w:t>全闪存储</w:t>
            </w:r>
            <w:r>
              <w:rPr>
                <w:rFonts w:hint="eastAsia"/>
                <w:spacing w:val="2"/>
                <w:szCs w:val="18"/>
              </w:rPr>
              <w:t>授权，提供≥3 年原厂质保和软件升级。</w:t>
            </w:r>
          </w:p>
        </w:tc>
      </w:tr>
      <w:tr>
        <w:tblPrEx>
          <w:tblW w:w="8522" w:type="dxa"/>
          <w:tblCellMar>
            <w:top w:w="15" w:type="dxa"/>
            <w:left w:w="15" w:type="dxa"/>
            <w:bottom w:w="15" w:type="dxa"/>
            <w:right w:w="15" w:type="dxa"/>
          </w:tblCellMar>
          <w:tblLook w:val="04A0"/>
        </w:tblPrEx>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2</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zCs w:val="21"/>
              </w:rPr>
              <w:t>相控阵雷达数据高速传输与流量分发设备</w:t>
            </w:r>
          </w:p>
        </w:tc>
        <w:tc>
          <w:tcPr>
            <w:tcW w:w="6701"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left"/>
              <w:rPr>
                <w:rFonts w:hint="eastAsia"/>
                <w:spacing w:val="2"/>
                <w:szCs w:val="18"/>
              </w:rPr>
            </w:pPr>
            <w:r>
              <w:rPr>
                <w:spacing w:val="2"/>
                <w:szCs w:val="18"/>
              </w:rPr>
              <w:t>1.国产化CPU和操作系统；</w:t>
            </w:r>
          </w:p>
          <w:p w:rsidR="00402E54">
            <w:pPr>
              <w:pStyle w:val="NoSpacing"/>
              <w:keepNext/>
              <w:snapToGrid w:val="0"/>
              <w:spacing w:line="240" w:lineRule="auto"/>
              <w:jc w:val="left"/>
              <w:rPr>
                <w:rFonts w:hint="eastAsia"/>
                <w:spacing w:val="2"/>
                <w:szCs w:val="18"/>
              </w:rPr>
            </w:pPr>
            <w:r>
              <w:rPr>
                <w:spacing w:val="2"/>
                <w:szCs w:val="18"/>
              </w:rPr>
              <w:t>2.性能参数：吞吐量≥20G，并发连接数≥2000W，CPS新建连接数 ≥30W，RPS新建连接数≥50W。</w:t>
            </w:r>
          </w:p>
          <w:p w:rsidR="00402E54">
            <w:pPr>
              <w:pStyle w:val="NoSpacing"/>
              <w:keepNext/>
              <w:snapToGrid w:val="0"/>
              <w:spacing w:line="240" w:lineRule="auto"/>
              <w:jc w:val="left"/>
              <w:rPr>
                <w:rFonts w:hint="eastAsia"/>
                <w:spacing w:val="2"/>
                <w:szCs w:val="18"/>
              </w:rPr>
            </w:pPr>
            <w:r>
              <w:rPr>
                <w:spacing w:val="2"/>
                <w:szCs w:val="18"/>
              </w:rPr>
              <w:t>3.硬件参数：内存≥16G，硬盘≥480G SSD，电源：冗余电源，端口≥6</w:t>
            </w:r>
            <w:r>
              <w:rPr>
                <w:spacing w:val="2"/>
                <w:szCs w:val="18"/>
              </w:rPr>
              <w:t>千兆电口</w:t>
            </w:r>
            <w:r>
              <w:rPr>
                <w:spacing w:val="2"/>
                <w:szCs w:val="18"/>
              </w:rPr>
              <w:t>+2</w:t>
            </w:r>
            <w:r>
              <w:rPr>
                <w:spacing w:val="2"/>
                <w:szCs w:val="18"/>
              </w:rPr>
              <w:t>万兆光口</w:t>
            </w:r>
            <w:r>
              <w:rPr>
                <w:spacing w:val="2"/>
                <w:szCs w:val="18"/>
              </w:rPr>
              <w:t>SFP+。</w:t>
            </w:r>
          </w:p>
          <w:p w:rsidR="00402E54">
            <w:pPr>
              <w:pStyle w:val="NoSpacing"/>
              <w:keepNext/>
              <w:snapToGrid w:val="0"/>
              <w:spacing w:line="240" w:lineRule="auto"/>
              <w:jc w:val="left"/>
              <w:rPr>
                <w:rFonts w:hint="eastAsia"/>
                <w:spacing w:val="2"/>
                <w:szCs w:val="18"/>
              </w:rPr>
            </w:pPr>
            <w:r>
              <w:rPr>
                <w:spacing w:val="2"/>
                <w:szCs w:val="18"/>
              </w:rPr>
              <w:t>4.功能描述：提供服务器负载均衡、链路负载均衡以及全局负载均衡等功能。</w:t>
            </w:r>
          </w:p>
          <w:p w:rsidR="00402E54">
            <w:pPr>
              <w:pStyle w:val="NoSpacing"/>
              <w:keepNext/>
              <w:snapToGrid w:val="0"/>
              <w:spacing w:line="240" w:lineRule="auto"/>
              <w:jc w:val="left"/>
              <w:rPr>
                <w:rFonts w:hint="eastAsia"/>
                <w:spacing w:val="2"/>
                <w:szCs w:val="18"/>
              </w:rPr>
            </w:pPr>
            <w:r>
              <w:rPr>
                <w:spacing w:val="2"/>
                <w:szCs w:val="18"/>
              </w:rPr>
              <w:t>5.支持IPv4/IPv6；</w:t>
            </w:r>
          </w:p>
          <w:p w:rsidR="00402E54">
            <w:pPr>
              <w:pStyle w:val="NoSpacing"/>
              <w:keepNext/>
              <w:snapToGrid w:val="0"/>
              <w:spacing w:line="240" w:lineRule="auto"/>
              <w:jc w:val="left"/>
              <w:rPr>
                <w:rFonts w:hint="eastAsia"/>
                <w:spacing w:val="2"/>
                <w:szCs w:val="18"/>
              </w:rPr>
            </w:pPr>
            <w:r>
              <w:rPr>
                <w:spacing w:val="2"/>
                <w:szCs w:val="18"/>
              </w:rPr>
              <w:t>6.提供3年软件升级及硬件5年质保服务。</w:t>
            </w:r>
          </w:p>
        </w:tc>
      </w:tr>
      <w:tr>
        <w:tblPrEx>
          <w:tblW w:w="8522" w:type="dxa"/>
          <w:tblCellMar>
            <w:top w:w="15" w:type="dxa"/>
            <w:left w:w="15" w:type="dxa"/>
            <w:bottom w:w="15" w:type="dxa"/>
            <w:right w:w="15" w:type="dxa"/>
          </w:tblCellMar>
          <w:tblLook w:val="04A0"/>
        </w:tblPrEx>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3</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zCs w:val="21"/>
              </w:rPr>
            </w:pPr>
            <w:r>
              <w:rPr>
                <w:rFonts w:hint="eastAsia"/>
                <w:szCs w:val="21"/>
              </w:rPr>
              <w:t>相控阵雷达产品存储设备</w:t>
            </w:r>
          </w:p>
        </w:tc>
        <w:tc>
          <w:tcPr>
            <w:tcW w:w="6701"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left"/>
              <w:rPr>
                <w:rFonts w:hint="eastAsia"/>
                <w:spacing w:val="2"/>
                <w:szCs w:val="18"/>
              </w:rPr>
            </w:pPr>
            <w:r>
              <w:rPr>
                <w:rFonts w:hint="eastAsia"/>
                <w:spacing w:val="2"/>
                <w:szCs w:val="18"/>
              </w:rPr>
              <w:t>1.配置 2 颗国产CPU,单</w:t>
            </w:r>
            <w:r>
              <w:rPr>
                <w:rFonts w:hint="eastAsia"/>
                <w:spacing w:val="2"/>
                <w:szCs w:val="18"/>
              </w:rPr>
              <w:t>颗核心数</w:t>
            </w:r>
            <w:r>
              <w:rPr>
                <w:rFonts w:hint="eastAsia"/>
                <w:spacing w:val="2"/>
                <w:szCs w:val="18"/>
              </w:rPr>
              <w:t>不低于48核，主频不低于 2.6GHz ，功耗不超过350W；</w:t>
            </w:r>
          </w:p>
          <w:p w:rsidR="00402E54">
            <w:pPr>
              <w:pStyle w:val="NoSpacing"/>
              <w:keepNext/>
              <w:snapToGrid w:val="0"/>
              <w:spacing w:line="240" w:lineRule="auto"/>
              <w:jc w:val="left"/>
              <w:rPr>
                <w:rFonts w:hint="eastAsia"/>
                <w:spacing w:val="2"/>
                <w:szCs w:val="18"/>
              </w:rPr>
            </w:pPr>
            <w:r>
              <w:rPr>
                <w:rFonts w:hint="eastAsia"/>
                <w:spacing w:val="2"/>
                <w:szCs w:val="18"/>
              </w:rPr>
              <w:t>2.配置256GB DDR5内存（4x64G 5600Mhz DDR5)；</w:t>
            </w:r>
          </w:p>
          <w:p w:rsidR="00402E54">
            <w:pPr>
              <w:pStyle w:val="NoSpacing"/>
              <w:keepNext/>
              <w:snapToGrid w:val="0"/>
              <w:spacing w:line="240" w:lineRule="auto"/>
              <w:jc w:val="left"/>
              <w:rPr>
                <w:rFonts w:hint="eastAsia"/>
                <w:spacing w:val="2"/>
                <w:szCs w:val="18"/>
              </w:rPr>
            </w:pPr>
            <w:r>
              <w:rPr>
                <w:rFonts w:hint="eastAsia"/>
                <w:spacing w:val="2"/>
                <w:szCs w:val="18"/>
              </w:rPr>
              <w:t>3.RAID 卡：配置≥1块国产40口SAS RAID 卡，支持RAID0、1、10和直通模式等。</w:t>
            </w:r>
          </w:p>
          <w:p w:rsidR="00402E54">
            <w:pPr>
              <w:pStyle w:val="NoSpacing"/>
              <w:keepNext/>
              <w:snapToGrid w:val="0"/>
              <w:spacing w:line="240" w:lineRule="auto"/>
              <w:jc w:val="left"/>
              <w:rPr>
                <w:rFonts w:hint="eastAsia"/>
                <w:spacing w:val="2"/>
                <w:szCs w:val="18"/>
              </w:rPr>
            </w:pPr>
            <w:r>
              <w:rPr>
                <w:rFonts w:hint="eastAsia"/>
                <w:spacing w:val="2"/>
                <w:szCs w:val="18"/>
              </w:rPr>
              <w:t xml:space="preserve">4.配置2块 480GB SSD系统盘与控制器模块；2块7.68TB </w:t>
            </w:r>
            <w:r>
              <w:rPr>
                <w:rFonts w:hint="eastAsia"/>
                <w:spacing w:val="2"/>
                <w:szCs w:val="18"/>
              </w:rPr>
              <w:t>NVMe</w:t>
            </w:r>
            <w:r>
              <w:rPr>
                <w:rFonts w:hint="eastAsia"/>
                <w:spacing w:val="2"/>
                <w:szCs w:val="18"/>
              </w:rPr>
              <w:t xml:space="preserve"> SSD，15块20TB热插拔硬盘，单台</w:t>
            </w:r>
            <w:r>
              <w:rPr>
                <w:rFonts w:hint="eastAsia"/>
                <w:spacing w:val="2"/>
                <w:szCs w:val="18"/>
              </w:rPr>
              <w:t>裸</w:t>
            </w:r>
            <w:r>
              <w:rPr>
                <w:rFonts w:hint="eastAsia"/>
                <w:spacing w:val="2"/>
                <w:szCs w:val="18"/>
              </w:rPr>
              <w:t>容量200TB；</w:t>
            </w:r>
          </w:p>
          <w:p w:rsidR="00402E54">
            <w:pPr>
              <w:pStyle w:val="NoSpacing"/>
              <w:keepNext/>
              <w:snapToGrid w:val="0"/>
              <w:spacing w:line="240" w:lineRule="auto"/>
              <w:jc w:val="left"/>
              <w:rPr>
                <w:rFonts w:hint="eastAsia"/>
                <w:spacing w:val="2"/>
                <w:szCs w:val="18"/>
              </w:rPr>
            </w:pPr>
            <w:r>
              <w:rPr>
                <w:rFonts w:hint="eastAsia"/>
                <w:spacing w:val="2"/>
                <w:szCs w:val="18"/>
              </w:rPr>
              <w:t>5.配置2个双口25Gb光口（含光模块），4个</w:t>
            </w:r>
            <w:r>
              <w:rPr>
                <w:rFonts w:hint="eastAsia"/>
                <w:spacing w:val="2"/>
                <w:szCs w:val="18"/>
              </w:rPr>
              <w:t>千兆电口</w:t>
            </w:r>
            <w:r>
              <w:rPr>
                <w:rFonts w:hint="eastAsia"/>
                <w:spacing w:val="2"/>
                <w:szCs w:val="18"/>
              </w:rPr>
              <w:t>；</w:t>
            </w:r>
          </w:p>
          <w:p w:rsidR="00402E54">
            <w:pPr>
              <w:pStyle w:val="NoSpacing"/>
              <w:keepNext/>
              <w:snapToGrid w:val="0"/>
              <w:spacing w:line="240" w:lineRule="auto"/>
              <w:jc w:val="left"/>
              <w:rPr>
                <w:rFonts w:hint="eastAsia"/>
                <w:spacing w:val="2"/>
                <w:szCs w:val="18"/>
              </w:rPr>
            </w:pPr>
            <w:r>
              <w:rPr>
                <w:rFonts w:hint="eastAsia"/>
                <w:spacing w:val="2"/>
                <w:szCs w:val="18"/>
              </w:rPr>
              <w:t>6.含分布式存储软件及配套国产操作系统，5年7*24小时技术支持和5年硬盘故障不回收服务；</w:t>
            </w:r>
          </w:p>
          <w:p w:rsidR="00402E54">
            <w:pPr>
              <w:pStyle w:val="NoSpacing"/>
              <w:keepNext/>
              <w:snapToGrid w:val="0"/>
              <w:spacing w:line="240" w:lineRule="auto"/>
              <w:jc w:val="left"/>
              <w:rPr>
                <w:rFonts w:hint="eastAsia"/>
                <w:spacing w:val="2"/>
                <w:szCs w:val="18"/>
              </w:rPr>
            </w:pPr>
            <w:r>
              <w:rPr>
                <w:rFonts w:hint="eastAsia"/>
                <w:spacing w:val="2"/>
                <w:szCs w:val="18"/>
              </w:rPr>
              <w:t>7.配置冗余交换机，交换容量≥4.8Tbps，包转发率≥2000Mpps；25GE光端口数量≥48个，40/100G光端口数量≥8个；单台配置25G</w:t>
            </w:r>
            <w:r>
              <w:rPr>
                <w:rFonts w:hint="eastAsia"/>
                <w:spacing w:val="2"/>
                <w:szCs w:val="18"/>
              </w:rPr>
              <w:t>多模光模块</w:t>
            </w:r>
            <w:r>
              <w:rPr>
                <w:rFonts w:hint="eastAsia"/>
                <w:spacing w:val="2"/>
                <w:szCs w:val="18"/>
              </w:rPr>
              <w:t>≥48个，40GE</w:t>
            </w:r>
            <w:r>
              <w:rPr>
                <w:rFonts w:hint="eastAsia"/>
                <w:spacing w:val="2"/>
                <w:szCs w:val="18"/>
              </w:rPr>
              <w:t>多模光模块</w:t>
            </w:r>
            <w:r>
              <w:rPr>
                <w:rFonts w:hint="eastAsia"/>
                <w:spacing w:val="2"/>
                <w:szCs w:val="18"/>
              </w:rPr>
              <w:t>≥6个；电源1+1备份，内置电源开关，风扇N+1备份(N≥2)；提供5年质保和免费技术支持服务。</w:t>
            </w:r>
          </w:p>
        </w:tc>
      </w:tr>
      <w:tr>
        <w:tblPrEx>
          <w:tblW w:w="8522" w:type="dxa"/>
          <w:tblCellMar>
            <w:top w:w="15" w:type="dxa"/>
            <w:left w:w="15" w:type="dxa"/>
            <w:bottom w:w="15" w:type="dxa"/>
            <w:right w:w="15" w:type="dxa"/>
          </w:tblCellMar>
          <w:tblLook w:val="04A0"/>
        </w:tblPrEx>
        <w:tc>
          <w:tcPr>
            <w:tcW w:w="643"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pacing w:val="2"/>
                <w:szCs w:val="18"/>
              </w:rPr>
            </w:pPr>
            <w:r>
              <w:rPr>
                <w:rFonts w:hint="eastAsia"/>
                <w:spacing w:val="2"/>
                <w:szCs w:val="18"/>
              </w:rPr>
              <w:t>4</w:t>
            </w:r>
          </w:p>
        </w:tc>
        <w:tc>
          <w:tcPr>
            <w:tcW w:w="1178"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center"/>
              <w:rPr>
                <w:rFonts w:hint="eastAsia"/>
                <w:szCs w:val="21"/>
              </w:rPr>
            </w:pPr>
            <w:r>
              <w:rPr>
                <w:rFonts w:hint="eastAsia"/>
                <w:szCs w:val="21"/>
              </w:rPr>
              <w:t>相控阵雷达终端存储设备(单部雷达)</w:t>
            </w:r>
          </w:p>
        </w:tc>
        <w:tc>
          <w:tcPr>
            <w:tcW w:w="6701" w:type="dxa"/>
            <w:tcBorders>
              <w:tl2br w:val="nil"/>
              <w:tr2bl w:val="nil"/>
            </w:tcBorders>
            <w:tcMar>
              <w:top w:w="120" w:type="dxa"/>
              <w:left w:w="120" w:type="dxa"/>
              <w:bottom w:w="120" w:type="dxa"/>
              <w:right w:w="120" w:type="dxa"/>
            </w:tcMar>
            <w:vAlign w:val="center"/>
          </w:tcPr>
          <w:p w:rsidR="00402E54">
            <w:pPr>
              <w:pStyle w:val="NoSpacing"/>
              <w:keepNext/>
              <w:snapToGrid w:val="0"/>
              <w:spacing w:line="240" w:lineRule="auto"/>
              <w:jc w:val="left"/>
              <w:rPr>
                <w:rFonts w:hint="eastAsia"/>
                <w:spacing w:val="2"/>
                <w:szCs w:val="18"/>
              </w:rPr>
            </w:pPr>
            <w:r>
              <w:rPr>
                <w:rFonts w:hint="eastAsia"/>
                <w:spacing w:val="2"/>
                <w:szCs w:val="18"/>
              </w:rPr>
              <w:t>1.配置 2 颗国产CPU,单</w:t>
            </w:r>
            <w:r>
              <w:rPr>
                <w:rFonts w:hint="eastAsia"/>
                <w:spacing w:val="2"/>
                <w:szCs w:val="18"/>
              </w:rPr>
              <w:t>颗核心数</w:t>
            </w:r>
            <w:r>
              <w:rPr>
                <w:rFonts w:hint="eastAsia"/>
                <w:spacing w:val="2"/>
                <w:szCs w:val="18"/>
              </w:rPr>
              <w:t>不低于48核，主频不低于 2.6GHz，功耗不超过350W；</w:t>
            </w:r>
          </w:p>
          <w:p w:rsidR="00402E54">
            <w:pPr>
              <w:pStyle w:val="NoSpacing"/>
              <w:keepNext/>
              <w:snapToGrid w:val="0"/>
              <w:spacing w:line="240" w:lineRule="auto"/>
              <w:jc w:val="left"/>
              <w:rPr>
                <w:rFonts w:hint="eastAsia"/>
                <w:spacing w:val="2"/>
                <w:szCs w:val="18"/>
              </w:rPr>
            </w:pPr>
            <w:r>
              <w:rPr>
                <w:rFonts w:hint="eastAsia"/>
                <w:spacing w:val="2"/>
                <w:szCs w:val="18"/>
              </w:rPr>
              <w:t>2.配置256GB DDR5内存（4x64G 5600Mhz DDR5)；</w:t>
            </w:r>
          </w:p>
          <w:p w:rsidR="00402E54">
            <w:pPr>
              <w:pStyle w:val="NoSpacing"/>
              <w:keepNext/>
              <w:snapToGrid w:val="0"/>
              <w:spacing w:line="240" w:lineRule="auto"/>
              <w:jc w:val="left"/>
              <w:rPr>
                <w:rFonts w:hint="eastAsia"/>
                <w:spacing w:val="2"/>
                <w:szCs w:val="18"/>
              </w:rPr>
            </w:pPr>
            <w:r>
              <w:rPr>
                <w:rFonts w:hint="eastAsia"/>
                <w:spacing w:val="2"/>
                <w:szCs w:val="18"/>
              </w:rPr>
              <w:t>3.RAID 卡：配置≥1块国产40口SAS RAID 卡，支持RAID0、1、10和直通模式等。</w:t>
            </w:r>
          </w:p>
          <w:p w:rsidR="00402E54">
            <w:pPr>
              <w:pStyle w:val="NoSpacing"/>
              <w:keepNext/>
              <w:snapToGrid w:val="0"/>
              <w:spacing w:line="240" w:lineRule="auto"/>
              <w:jc w:val="left"/>
              <w:rPr>
                <w:rFonts w:hint="eastAsia"/>
                <w:spacing w:val="2"/>
                <w:szCs w:val="18"/>
              </w:rPr>
            </w:pPr>
            <w:r>
              <w:rPr>
                <w:rFonts w:hint="eastAsia"/>
                <w:spacing w:val="2"/>
                <w:szCs w:val="18"/>
              </w:rPr>
              <w:t xml:space="preserve">4.配置2块 480GB SSD系统盘与控制器模块；2块7.68TB </w:t>
            </w:r>
            <w:r>
              <w:rPr>
                <w:rFonts w:hint="eastAsia"/>
                <w:spacing w:val="2"/>
                <w:szCs w:val="18"/>
              </w:rPr>
              <w:t>NVMe</w:t>
            </w:r>
            <w:r>
              <w:rPr>
                <w:rFonts w:hint="eastAsia"/>
                <w:spacing w:val="2"/>
                <w:szCs w:val="18"/>
              </w:rPr>
              <w:t xml:space="preserve"> SSD，15块20TB热插拔硬盘，单台</w:t>
            </w:r>
            <w:r>
              <w:rPr>
                <w:rFonts w:hint="eastAsia"/>
                <w:spacing w:val="2"/>
                <w:szCs w:val="18"/>
              </w:rPr>
              <w:t>裸</w:t>
            </w:r>
            <w:r>
              <w:rPr>
                <w:rFonts w:hint="eastAsia"/>
                <w:spacing w:val="2"/>
                <w:szCs w:val="18"/>
              </w:rPr>
              <w:t>容量200TB；</w:t>
            </w:r>
          </w:p>
          <w:p w:rsidR="00402E54">
            <w:pPr>
              <w:pStyle w:val="NoSpacing"/>
              <w:keepNext/>
              <w:snapToGrid w:val="0"/>
              <w:spacing w:line="240" w:lineRule="auto"/>
              <w:jc w:val="left"/>
              <w:rPr>
                <w:rFonts w:hint="eastAsia"/>
                <w:spacing w:val="2"/>
                <w:szCs w:val="18"/>
              </w:rPr>
            </w:pPr>
            <w:r>
              <w:rPr>
                <w:rFonts w:hint="eastAsia"/>
                <w:spacing w:val="2"/>
                <w:szCs w:val="18"/>
              </w:rPr>
              <w:t>5.配置2个双口25Gb光口（含光模块），4个</w:t>
            </w:r>
            <w:r>
              <w:rPr>
                <w:rFonts w:hint="eastAsia"/>
                <w:spacing w:val="2"/>
                <w:szCs w:val="18"/>
              </w:rPr>
              <w:t>千兆电口</w:t>
            </w:r>
            <w:r>
              <w:rPr>
                <w:rFonts w:hint="eastAsia"/>
                <w:spacing w:val="2"/>
                <w:szCs w:val="18"/>
              </w:rPr>
              <w:t>；</w:t>
            </w:r>
          </w:p>
          <w:p w:rsidR="00402E54">
            <w:pPr>
              <w:pStyle w:val="NoSpacing"/>
              <w:keepNext/>
              <w:snapToGrid w:val="0"/>
              <w:spacing w:line="240" w:lineRule="auto"/>
              <w:jc w:val="left"/>
              <w:rPr>
                <w:rFonts w:hint="eastAsia"/>
                <w:spacing w:val="2"/>
                <w:szCs w:val="18"/>
              </w:rPr>
            </w:pPr>
            <w:r>
              <w:rPr>
                <w:rFonts w:hint="eastAsia"/>
                <w:spacing w:val="2"/>
                <w:szCs w:val="18"/>
              </w:rPr>
              <w:t>6.含分布式存储软件（含块、文件、对象）及配套国产操作系统，5年7*24小时技术支持和5年硬盘故障不回收服务。</w:t>
            </w:r>
          </w:p>
        </w:tc>
      </w:tr>
    </w:tbl>
    <w:p w:rsidR="00402E54">
      <w:pPr>
        <w:spacing w:line="570" w:lineRule="exact"/>
        <w:ind w:firstLine="455"/>
        <w:outlineLvl w:val="1"/>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四、验收要求（检验考核要求等）</w:t>
      </w:r>
    </w:p>
    <w:p w:rsidR="00402E54">
      <w:pPr>
        <w:spacing w:line="570" w:lineRule="exact"/>
        <w:ind w:firstLine="45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参照可行性研究报告、合同、《X波段双线偏振一维相控阵天气雷达测试大纲》（中国气象局综合观测司）、《“十四五”期间综合观测类工程项目新上设备验收技术指南》等文件的要求开展检验考核。同时，采购人可根据合同以及采购人的有关规定修改完善验收文件，经双方</w:t>
      </w:r>
      <w:r>
        <w:rPr>
          <w:rFonts w:ascii="仿宋_GB2312" w:eastAsia="仿宋_GB2312" w:hAnsi="仿宋_GB2312" w:cs="仿宋_GB2312" w:hint="eastAsia"/>
          <w:sz w:val="28"/>
          <w:szCs w:val="28"/>
        </w:rPr>
        <w:t>确认后作为验收依据。</w:t>
      </w:r>
    </w:p>
    <w:p w:rsidR="00402E54">
      <w:pPr>
        <w:spacing w:line="570" w:lineRule="exact"/>
        <w:ind w:firstLine="560" w:firstLineChars="200"/>
        <w:outlineLvl w:val="1"/>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五、技术服务和</w:t>
      </w:r>
      <w:r>
        <w:rPr>
          <w:rFonts w:ascii="仿宋_GB2312" w:eastAsia="仿宋_GB2312" w:hAnsi="仿宋_GB2312" w:cs="仿宋_GB2312" w:hint="eastAsia"/>
          <w:b/>
          <w:bCs/>
          <w:sz w:val="28"/>
          <w:szCs w:val="28"/>
        </w:rPr>
        <w:t>质保</w:t>
      </w:r>
      <w:r>
        <w:rPr>
          <w:rFonts w:ascii="仿宋_GB2312" w:eastAsia="仿宋_GB2312" w:hAnsi="仿宋_GB2312" w:cs="仿宋_GB2312" w:hint="eastAsia"/>
          <w:b/>
          <w:bCs/>
          <w:sz w:val="28"/>
          <w:szCs w:val="28"/>
        </w:rPr>
        <w:t>服务要求</w:t>
      </w:r>
    </w:p>
    <w:p w:rsidR="00402E54">
      <w:pPr>
        <w:spacing w:line="570" w:lineRule="exact"/>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5.1培训</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在采购方指定地点，中标方对相关技术人员进行雷达使用培训和机务培训，使相关人员能够熟练掌握雷达基本操作、维护维修方法等。参训人员的培训时间不少于16课时，每课时45分钟，培训至少应包括以下内容：</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1.熟悉雷达系统工作原理；</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2.掌握雷达总体、各系统和配套设备的安装与布局位置；</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3.掌握雷达的结构和性能特点；</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4.在使用过程中，台站人员能熟练进行雷达操作；</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5.能完成雷达常见故障的判断；</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6.掌握雷达的日常维护、标定流程；</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7.具备雷达回波识别能力。</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8.掌握仪器仪表使用方法。</w:t>
      </w:r>
    </w:p>
    <w:p w:rsidR="00402E54">
      <w:pPr>
        <w:ind w:firstLine="560" w:firstLineChars="200"/>
        <w:outlineLvl w:val="2"/>
        <w:rPr>
          <w:rFonts w:ascii="仿宋_GB2312" w:eastAsia="仿宋_GB2312" w:hAnsi="仿宋_GB2312" w:cs="仿宋_GB2312" w:hint="eastAsia"/>
          <w:b/>
          <w:sz w:val="28"/>
          <w:szCs w:val="28"/>
          <w:highlight w:val="yellow"/>
        </w:rPr>
      </w:pPr>
      <w:r>
        <w:rPr>
          <w:rFonts w:ascii="仿宋_GB2312" w:eastAsia="仿宋_GB2312" w:hAnsi="仿宋_GB2312" w:cs="仿宋_GB2312" w:hint="eastAsia"/>
          <w:b/>
          <w:sz w:val="28"/>
          <w:szCs w:val="28"/>
          <w:highlight w:val="yellow"/>
        </w:rPr>
        <w:t>*5.2软件调试</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中标方应负责完成雷达系统相关软件（含 ROSE－X 天气雷达产品软件、监控显示软件、数据处理软件、组网协同控制软件、AI 外推算法等）的现场部署、安装、配置、调试及联调联试工作，确保软件与雷达硬件、采购人现有气象数据平台、</w:t>
      </w:r>
      <w:r>
        <w:rPr>
          <w:rFonts w:ascii="仿宋_GB2312" w:eastAsia="仿宋_GB2312" w:hAnsi="仿宋_GB2312" w:cs="仿宋_GB2312" w:hint="eastAsia"/>
          <w:sz w:val="28"/>
          <w:szCs w:val="28"/>
        </w:rPr>
        <w:t>智能算力资源</w:t>
      </w:r>
      <w:r>
        <w:rPr>
          <w:rFonts w:ascii="仿宋_GB2312" w:eastAsia="仿宋_GB2312" w:hAnsi="仿宋_GB2312" w:cs="仿宋_GB2312" w:hint="eastAsia"/>
          <w:sz w:val="28"/>
          <w:szCs w:val="28"/>
        </w:rPr>
        <w:t>、综合处理单元、集中存储单元、远程控制平台无缝对接，并</w:t>
      </w:r>
      <w:r>
        <w:rPr>
          <w:rFonts w:ascii="仿宋_GB2312" w:eastAsia="仿宋_GB2312" w:hAnsi="仿宋_GB2312" w:cs="仿宋_GB2312" w:hint="eastAsia"/>
          <w:sz w:val="28"/>
          <w:szCs w:val="28"/>
        </w:rPr>
        <w:t>满足信创</w:t>
      </w:r>
      <w:r>
        <w:rPr>
          <w:rFonts w:ascii="仿宋_GB2312" w:eastAsia="仿宋_GB2312" w:hAnsi="仿宋_GB2312" w:cs="仿宋_GB2312" w:hint="eastAsia"/>
          <w:sz w:val="28"/>
          <w:szCs w:val="28"/>
        </w:rPr>
        <w:t>要求，实现数据正常采集、处理、存储、显示、上传及指令交互，保障系统整体安全稳定运行。</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需完成的软件调试具体包括：</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1.ROSE－X 软件安装配置、产品生成与显示调试、数据上传归档功能调试，确保具备产品文件生成、显示、上传及归档功能；</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雷达本地</w:t>
      </w:r>
      <w:r>
        <w:rPr>
          <w:rFonts w:ascii="仿宋_GB2312" w:eastAsia="仿宋_GB2312" w:hAnsi="仿宋_GB2312" w:cs="仿宋_GB2312" w:hint="eastAsia"/>
          <w:sz w:val="28"/>
          <w:szCs w:val="28"/>
        </w:rPr>
        <w:t>监控与显示软件调试，实现雷达运行状态、在线标定参数、告警信息实时监测与显示，支持本地及远程控制操作；</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3.信号处理、数据质控算法软件调试，完成强度、速度、偏振</w:t>
      </w:r>
      <w:r>
        <w:rPr>
          <w:rFonts w:ascii="仿宋_GB2312" w:eastAsia="仿宋_GB2312" w:hAnsi="仿宋_GB2312" w:cs="仿宋_GB2312" w:hint="eastAsia"/>
          <w:sz w:val="28"/>
          <w:szCs w:val="28"/>
        </w:rPr>
        <w:t>参数等基数据处理</w:t>
      </w:r>
      <w:r>
        <w:rPr>
          <w:rFonts w:ascii="仿宋_GB2312" w:eastAsia="仿宋_GB2312" w:hAnsi="仿宋_GB2312" w:cs="仿宋_GB2312" w:hint="eastAsia"/>
          <w:sz w:val="28"/>
          <w:szCs w:val="28"/>
        </w:rPr>
        <w:t>，及地物抑制、干扰剔除、速度退模糊、衰减订正等质</w:t>
      </w:r>
      <w:r>
        <w:rPr>
          <w:rFonts w:ascii="仿宋_GB2312" w:eastAsia="仿宋_GB2312" w:hAnsi="仿宋_GB2312" w:cs="仿宋_GB2312" w:hint="eastAsia"/>
          <w:sz w:val="28"/>
          <w:szCs w:val="28"/>
        </w:rPr>
        <w:t>控功能</w:t>
      </w:r>
      <w:r>
        <w:rPr>
          <w:rFonts w:ascii="仿宋_GB2312" w:eastAsia="仿宋_GB2312" w:hAnsi="仿宋_GB2312" w:cs="仿宋_GB2312" w:hint="eastAsia"/>
          <w:sz w:val="28"/>
          <w:szCs w:val="28"/>
        </w:rPr>
        <w:t>验证；</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4.多雷达组网协同控制软件调试，统一控制接口、通信协议及数据格式，实现雷达集中调度、扫描策略协同调整、组</w:t>
      </w:r>
      <w:r>
        <w:rPr>
          <w:rFonts w:ascii="仿宋_GB2312" w:eastAsia="仿宋_GB2312" w:hAnsi="仿宋_GB2312" w:cs="仿宋_GB2312" w:hint="eastAsia"/>
          <w:sz w:val="28"/>
          <w:szCs w:val="28"/>
        </w:rPr>
        <w:t>网数据</w:t>
      </w:r>
      <w:r>
        <w:rPr>
          <w:rFonts w:ascii="仿宋_GB2312" w:eastAsia="仿宋_GB2312" w:hAnsi="仿宋_GB2312" w:cs="仿宋_GB2312" w:hint="eastAsia"/>
          <w:sz w:val="28"/>
          <w:szCs w:val="28"/>
        </w:rPr>
        <w:t>融合；</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5. AI 天气雷达三维回波外推、降水外推软件调试，完成算法部署、模型验证，确保外推准确率、时序连续性及省级平台兼容性；</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6.完成相控阵雷达组网智能分析系统调试，实现与云南省气象局智能分析底座和智能驱动框架无缝对接。</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7.软件功能完整性、稳定性、兼容性测试，配合采购方开展全流程试运行，排查并整改运行漏洞，确保软件符合招标文件、合同及相关技术规范要求。</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投标方须提供软件调试服务相关承诺函。</w:t>
      </w:r>
    </w:p>
    <w:p w:rsidR="00402E54">
      <w:pPr>
        <w:ind w:firstLine="560" w:firstLineChars="200"/>
        <w:outlineLvl w:val="2"/>
        <w:rPr>
          <w:rFonts w:ascii="仿宋_GB2312" w:eastAsia="仿宋_GB2312" w:hAnsi="仿宋_GB2312" w:cs="仿宋_GB2312" w:hint="eastAsia"/>
          <w:b/>
          <w:sz w:val="28"/>
          <w:szCs w:val="28"/>
          <w:highlight w:val="yellow"/>
        </w:rPr>
      </w:pPr>
      <w:bookmarkStart w:id="63" w:name="_Hlk168594784"/>
      <w:r>
        <w:rPr>
          <w:rFonts w:ascii="仿宋_GB2312" w:eastAsia="仿宋_GB2312" w:hAnsi="仿宋_GB2312" w:cs="仿宋_GB2312" w:hint="eastAsia"/>
          <w:b/>
          <w:sz w:val="28"/>
          <w:szCs w:val="28"/>
          <w:highlight w:val="yellow"/>
        </w:rPr>
        <w:t>*5.3质保期服务</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中标方按照中国气象局有关要求和双方协商约定的内容提供服务，确保设备稳定运行，以及自验收合格后8年的整机及雷达分系统质保服务等。</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按照中国气象局有关业务规范要求，在三级及以上气象应急响应期间，24小时全天候现场值守保障，并定期编制和上报雷达运行状态及故障处置报告。</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质保费按设备费的20%比例配置。设备厂家以履约保函等形式支付20%担保金额，后续逐年返还。备品备件按质保总额的20%比例配置。质保服务若不符合要求，在合同中规定相应明细条款针对不符合内容进行质保费扣减。此外，按照雷达维修保障要求配置整机备品备件和随机资料、随机工具，确保维修保障时效内配送至雷达站。</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备品备件、维护标校、故障维修和巡检巡查等各项要求参照《X波段天气雷达观测规范（试行）》、《X波段天气雷达标校业务规范（试行）》等文件要求执行。</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投标方须提供质保期服务相关承诺函。</w:t>
      </w:r>
    </w:p>
    <w:bookmarkEnd w:id="63"/>
    <w:p w:rsidR="00402E54">
      <w:pPr>
        <w:spacing w:line="570" w:lineRule="exact"/>
        <w:ind w:firstLine="560" w:firstLineChars="200"/>
        <w:outlineLvl w:val="1"/>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六、其他技术及商务要求</w:t>
      </w:r>
    </w:p>
    <w:p w:rsidR="00402E54">
      <w:pPr>
        <w:spacing w:line="570" w:lineRule="exact"/>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6.1售后服务要求</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设备供应商需提供详细售后服务方案，包括设备售后服务组织机构、人员组成、技术支持文档等。其中，售后服务组织机构设置合理，人员技术能力强，技术文档内容全面。</w:t>
      </w:r>
    </w:p>
    <w:p w:rsidR="00402E54">
      <w:pPr>
        <w:spacing w:line="570" w:lineRule="exact"/>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6.2培训要求</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除“技术服务和</w:t>
      </w:r>
      <w:r>
        <w:rPr>
          <w:rFonts w:ascii="仿宋_GB2312" w:eastAsia="仿宋_GB2312" w:hAnsi="仿宋_GB2312" w:cs="仿宋_GB2312" w:hint="eastAsia"/>
          <w:sz w:val="28"/>
          <w:szCs w:val="28"/>
        </w:rPr>
        <w:t>质保</w:t>
      </w:r>
      <w:r>
        <w:rPr>
          <w:rFonts w:ascii="仿宋_GB2312" w:eastAsia="仿宋_GB2312" w:hAnsi="仿宋_GB2312" w:cs="仿宋_GB2312" w:hint="eastAsia"/>
          <w:sz w:val="28"/>
          <w:szCs w:val="28"/>
        </w:rPr>
        <w:t>服务要求5.1培训”的基本要求外，还应满足以下要求；</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需要特定的安全操作规程，工作人员需要了解并遵守这些规程，以确保自身和他人的安全。书面承诺每种设备的培训讲师具有中级以上职称或从事该设备技术工作至少2年；</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中标供应商对相关技术人员进行雷达使用培训和机务培训，使相关人员能够熟练掌握雷达基本操作、维护维修方法等。每位参训人员的培训时间不少于 16课时，每课时45分钟，培训时间及地点双方协商确定。</w:t>
      </w:r>
    </w:p>
    <w:p w:rsidR="00402E54" w:rsidP="00A87971">
      <w:pPr>
        <w:spacing w:line="570" w:lineRule="exact"/>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6.3交货要求及履约地点</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中标供应商将所有设备运送至指定地点，运输、货运保险、二次转运、吊装相关费用由供应商负责，并负责安装调试。</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合同签订后180</w:t>
      </w:r>
      <w:r>
        <w:rPr>
          <w:rFonts w:ascii="仿宋_GB2312" w:eastAsia="仿宋_GB2312" w:hAnsi="仿宋_GB2312" w:cs="仿宋_GB2312" w:hint="eastAsia"/>
          <w:sz w:val="28"/>
          <w:szCs w:val="28"/>
        </w:rPr>
        <w:t>日历天</w:t>
      </w:r>
      <w:r>
        <w:rPr>
          <w:rFonts w:ascii="仿宋_GB2312" w:eastAsia="仿宋_GB2312" w:hAnsi="仿宋_GB2312" w:cs="仿宋_GB2312" w:hint="eastAsia"/>
          <w:sz w:val="28"/>
          <w:szCs w:val="28"/>
        </w:rPr>
        <w:t>内完成供货、安装调试并具备验收条件。</w:t>
      </w:r>
    </w:p>
    <w:p w:rsidR="00402E54" w:rsidP="00A87971">
      <w:pPr>
        <w:spacing w:line="570" w:lineRule="exact"/>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6.4服务团队要求</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402E54" w:rsidP="00A87971">
      <w:pPr>
        <w:spacing w:line="570" w:lineRule="exact"/>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6.5投标产品软件兼容性要求</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设备软件兼容性强，设备数据传输模式、数据格式、数据通讯协议满足气象部门功能要求，可无缝接入气象业务内网网络系统，实现与气象业务内网网络系统省级业务平台无缝接入，完全符合甲方相关要求和规范，保证其系统的兼容性和功能的完整性。</w:t>
      </w:r>
    </w:p>
    <w:p w:rsidR="00402E54" w:rsidP="00A87971">
      <w:pPr>
        <w:spacing w:line="570" w:lineRule="exact"/>
        <w:ind w:firstLine="560" w:firstLineChars="200"/>
        <w:outlineLvl w:val="2"/>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6.6其他</w:t>
      </w:r>
    </w:p>
    <w:p w:rsidR="00402E54">
      <w:pPr>
        <w:spacing w:line="57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采购内容包含主机设备（质保期8年）、附属设备（含UPS不间断电源、发电机、电站设备、通信辅助设备、消防设施、安防机监控设施、人员安全保护设施）、X波段天气雷达测试仪器、X波段自动金属球标定设备和单站软件产品及相控阵多雷达组网智能分析与应用</w:t>
      </w:r>
      <w:r>
        <w:rPr>
          <w:rFonts w:ascii="仿宋_GB2312" w:eastAsia="仿宋_GB2312" w:hAnsi="仿宋_GB2312" w:cs="仿宋_GB2312" w:hint="eastAsia"/>
          <w:sz w:val="28"/>
          <w:szCs w:val="28"/>
        </w:rPr>
        <w:t>系统软</w:t>
      </w:r>
      <w:r w:rsidR="00A87971">
        <w:rPr>
          <w:rFonts w:ascii="仿宋_GB2312" w:eastAsia="仿宋_GB2312" w:hAnsi="仿宋_GB2312" w:cs="仿宋_GB2312" w:hint="eastAsia"/>
          <w:sz w:val="28"/>
          <w:szCs w:val="28"/>
        </w:rPr>
        <w:t>硬</w:t>
      </w:r>
      <w:r>
        <w:rPr>
          <w:rFonts w:ascii="仿宋_GB2312" w:eastAsia="仿宋_GB2312" w:hAnsi="仿宋_GB2312" w:cs="仿宋_GB2312" w:hint="eastAsia"/>
          <w:sz w:val="28"/>
          <w:szCs w:val="28"/>
        </w:rPr>
        <w:t>件产品。</w:t>
      </w:r>
    </w:p>
    <w:p w:rsidR="00402E54">
      <w:pPr>
        <w:spacing w:line="570" w:lineRule="exact"/>
        <w:ind w:firstLine="560" w:firstLineChars="200"/>
        <w:rPr>
          <w:rFonts w:ascii="仿宋" w:eastAsia="仿宋" w:hAnsi="仿宋" w:hint="eastAsia"/>
          <w:sz w:val="28"/>
          <w:szCs w:val="28"/>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0"/>
        <w:gridCol w:w="1041"/>
        <w:gridCol w:w="739"/>
        <w:gridCol w:w="1027"/>
        <w:gridCol w:w="1171"/>
        <w:gridCol w:w="3695"/>
        <w:gridCol w:w="43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X波段相控阵天气雷达系统</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24,750,000.00</w:t>
            </w:r>
          </w:p>
        </w:tc>
        <w:tc>
          <w:tcPr/>
          <w:p>
            <w:pPr>
              <w:autoSpaceDE w:val="0"/>
              <w:jc w:val="center"/>
              <w:rPr>
                <w:rFonts w:asciiTheme="minorEastAsia" w:hAnsiTheme="minorEastAsia" w:cstheme="minorEastAsia" w:hint="eastAsia"/>
                <w:kern w:val="0"/>
                <w:szCs w:val="21"/>
              </w:rPr>
            </w:pPr>
            <w:r>
              <w:t>合同签订后180天内完成供货、安装调试并具备验收条件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24,750,000.00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50"/>
        <w:gridCol w:w="1958"/>
        <w:gridCol w:w="1271"/>
        <w:gridCol w:w="550"/>
        <w:gridCol w:w="1254"/>
        <w:gridCol w:w="1134"/>
        <w:gridCol w:w="1254"/>
        <w:gridCol w:w="55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云南省气象局(001053)</w:t>
            </w:r>
          </w:p>
        </w:tc>
        <w:tc>
          <w:tcPr/>
          <w:p>
            <w:r>
              <w:t>X波段相控阵天气雷达系统</w:t>
            </w:r>
          </w:p>
        </w:tc>
        <w:tc>
          <w:tcPr/>
          <w:p>
            <w:r>
              <w:t>3</w:t>
            </w:r>
          </w:p>
        </w:tc>
        <w:tc>
          <w:tcPr/>
          <w:p>
            <w:r>
              <w:t>24750000.00</w:t>
            </w:r>
          </w:p>
        </w:tc>
        <w:tc>
          <w:tcPr/>
          <w:p>
            <w:r>
              <w:t xml:space="preserve">24750000.00  </w:t>
            </w:r>
          </w:p>
        </w:tc>
        <w:tc>
          <w:tcPr/>
          <w:p>
            <w:r>
              <w:t>甲方指定地点</w:t>
            </w:r>
          </w:p>
        </w:tc>
        <w:tc>
          <w:tcP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402E54">
      <w:pPr>
        <w:spacing w:before="156" w:beforeLines="50" w:line="360" w:lineRule="auto"/>
        <w:jc w:val="center"/>
        <w:outlineLvl w:val="1"/>
        <w:rPr>
          <w:rFonts w:ascii="宋体" w:hAnsi="宋体" w:hint="eastAsia"/>
          <w:b/>
          <w:sz w:val="30"/>
          <w:szCs w:val="30"/>
        </w:rPr>
        <w:sectPr>
          <w:pgSz w:w="11906" w:h="16838"/>
          <w:pgMar w:top="1418" w:right="1418" w:bottom="1418" w:left="1701" w:header="851" w:footer="851" w:gutter="0"/>
          <w:cols w:space="708"/>
          <w:docGrid w:type="linesAndChars" w:linePitch="312"/>
        </w:sectPr>
      </w:pPr>
      <w:bookmarkEnd w:id="59"/>
    </w:p>
    <w:p w:rsidR="0017221F">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7221F">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7221F">
            <w:pPr>
              <w:rPr>
                <w:sz w:val="18"/>
                <w:szCs w:val="18"/>
              </w:rPr>
            </w:pPr>
            <w:r>
              <w:rPr>
                <w:rFonts w:hint="eastAsia"/>
                <w:sz w:val="18"/>
                <w:szCs w:val="18"/>
              </w:rPr>
              <w:t>序号</w:t>
            </w:r>
          </w:p>
        </w:tc>
        <w:tc>
          <w:tcPr>
            <w:tcW w:w="898" w:type="dxa"/>
            <w:vAlign w:val="center"/>
          </w:tcPr>
          <w:p w:rsidR="0017221F">
            <w:pPr>
              <w:jc w:val="center"/>
              <w:rPr>
                <w:sz w:val="18"/>
                <w:szCs w:val="18"/>
              </w:rPr>
            </w:pPr>
            <w:r>
              <w:rPr>
                <w:rFonts w:hint="eastAsia"/>
                <w:sz w:val="18"/>
                <w:szCs w:val="18"/>
              </w:rPr>
              <w:t>对应</w:t>
            </w:r>
          </w:p>
          <w:p w:rsidR="0017221F">
            <w:pPr>
              <w:jc w:val="center"/>
              <w:rPr>
                <w:sz w:val="18"/>
                <w:szCs w:val="18"/>
              </w:rPr>
            </w:pPr>
            <w:r>
              <w:rPr>
                <w:rFonts w:hint="eastAsia"/>
                <w:sz w:val="18"/>
                <w:szCs w:val="18"/>
              </w:rPr>
              <w:t>条款号</w:t>
            </w:r>
          </w:p>
        </w:tc>
        <w:tc>
          <w:tcPr>
            <w:tcW w:w="7347" w:type="dxa"/>
            <w:vAlign w:val="center"/>
          </w:tcPr>
          <w:p w:rsidR="0017221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17221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17221F">
            <w:pPr>
              <w:numPr>
                <w:ilvl w:val="0"/>
                <w:numId w:val="15"/>
              </w:numPr>
              <w:rPr>
                <w:rFonts w:ascii="宋体" w:hAnsi="宋体" w:hint="eastAsia"/>
                <w:sz w:val="18"/>
                <w:szCs w:val="18"/>
              </w:rPr>
            </w:pPr>
          </w:p>
        </w:tc>
        <w:tc>
          <w:tcPr>
            <w:tcW w:w="898" w:type="dxa"/>
            <w:vAlign w:val="center"/>
          </w:tcPr>
          <w:p w:rsidR="0017221F">
            <w:pPr>
              <w:jc w:val="center"/>
              <w:rPr>
                <w:rFonts w:ascii="宋体" w:hAnsi="宋体" w:hint="eastAsia"/>
                <w:sz w:val="18"/>
                <w:szCs w:val="18"/>
              </w:rPr>
            </w:pPr>
            <w:r>
              <w:rPr>
                <w:rFonts w:ascii="宋体" w:hAnsi="宋体" w:hint="eastAsia"/>
                <w:sz w:val="18"/>
                <w:szCs w:val="18"/>
              </w:rPr>
              <w:t>5</w:t>
            </w:r>
            <w:r>
              <w:rPr>
                <w:rFonts w:ascii="宋体" w:hAnsi="宋体"/>
                <w:sz w:val="18"/>
                <w:szCs w:val="18"/>
              </w:rPr>
              <w:t>.2</w:t>
            </w:r>
          </w:p>
        </w:tc>
        <w:tc>
          <w:tcPr>
            <w:tcW w:w="7347" w:type="dxa"/>
          </w:tcPr>
          <w:p w:rsidR="0017221F">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tblPrEx>
          <w:tblW w:w="8789" w:type="dxa"/>
          <w:tblLayout w:type="fixed"/>
          <w:tblLook w:val="04A0"/>
        </w:tblPrEx>
        <w:trPr>
          <w:cantSplit/>
        </w:trPr>
        <w:tc>
          <w:tcPr>
            <w:tcW w:w="8789" w:type="dxa"/>
            <w:gridSpan w:val="3"/>
            <w:vAlign w:val="center"/>
          </w:tcPr>
          <w:p w:rsidR="0017221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17221F">
            <w:pPr>
              <w:numPr>
                <w:ilvl w:val="0"/>
                <w:numId w:val="15"/>
              </w:numPr>
              <w:rPr>
                <w:rFonts w:ascii="宋体" w:hAnsi="宋体" w:hint="eastAsia"/>
                <w:sz w:val="18"/>
                <w:szCs w:val="18"/>
              </w:rPr>
            </w:pPr>
          </w:p>
        </w:tc>
        <w:tc>
          <w:tcPr>
            <w:tcW w:w="898" w:type="dxa"/>
            <w:vAlign w:val="center"/>
          </w:tcPr>
          <w:p w:rsidR="0017221F">
            <w:pPr>
              <w:jc w:val="center"/>
              <w:rPr>
                <w:rFonts w:ascii="宋体" w:hAnsi="宋体" w:hint="eastAsia"/>
                <w:sz w:val="18"/>
                <w:szCs w:val="18"/>
              </w:rPr>
            </w:pPr>
            <w:r>
              <w:rPr>
                <w:rFonts w:ascii="宋体" w:hAnsi="宋体" w:hint="eastAsia"/>
                <w:sz w:val="18"/>
                <w:szCs w:val="18"/>
              </w:rPr>
              <w:t>5</w:t>
            </w:r>
            <w:r>
              <w:rPr>
                <w:rFonts w:ascii="宋体" w:hAnsi="宋体" w:hint="eastAsia"/>
                <w:sz w:val="18"/>
                <w:szCs w:val="18"/>
              </w:rPr>
              <w:t>.2</w:t>
            </w:r>
          </w:p>
        </w:tc>
        <w:tc>
          <w:tcPr>
            <w:tcW w:w="7347" w:type="dxa"/>
            <w:vAlign w:val="center"/>
          </w:tcPr>
          <w:p w:rsidR="0017221F">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中标方应负责完成雷达系统相关软件（含 ROSE－X 天气雷达产品软件、监控显示软件、数据处理软件、组网协同控制软件、AI 外推算法等）的现场部署、安装、配置、调试及联调联试工作，确保软件与雷达硬件、采购人现有气象数据平台、综合处理单元、集中存储单元、远程控制平台无缝对接，实现数据正常采集、处理、存储、显示、上传及指令交互，保障系统整体安全稳定运行。投标方须提供承诺函。</w:t>
            </w:r>
          </w:p>
        </w:tc>
      </w:tr>
      <w:tr>
        <w:tblPrEx>
          <w:tblW w:w="8789" w:type="dxa"/>
          <w:tblLayout w:type="fixed"/>
          <w:tblLook w:val="04A0"/>
        </w:tblPrEx>
        <w:trPr>
          <w:cantSplit/>
        </w:trPr>
        <w:tc>
          <w:tcPr>
            <w:tcW w:w="544" w:type="dxa"/>
            <w:vAlign w:val="center"/>
          </w:tcPr>
          <w:p w:rsidR="0017221F">
            <w:pPr>
              <w:numPr>
                <w:ilvl w:val="0"/>
                <w:numId w:val="15"/>
              </w:numPr>
              <w:rPr>
                <w:rFonts w:ascii="宋体" w:hAnsi="宋体" w:hint="eastAsia"/>
                <w:sz w:val="18"/>
                <w:szCs w:val="18"/>
              </w:rPr>
            </w:pPr>
          </w:p>
        </w:tc>
        <w:tc>
          <w:tcPr>
            <w:tcW w:w="898" w:type="dxa"/>
            <w:vAlign w:val="center"/>
          </w:tcPr>
          <w:p w:rsidR="0017221F">
            <w:pPr>
              <w:jc w:val="center"/>
              <w:rPr>
                <w:rFonts w:ascii="宋体" w:hAnsi="宋体" w:hint="eastAsia"/>
                <w:sz w:val="18"/>
                <w:szCs w:val="18"/>
              </w:rPr>
            </w:pPr>
            <w:r>
              <w:rPr>
                <w:rFonts w:ascii="宋体" w:hAnsi="宋体" w:hint="eastAsia"/>
                <w:sz w:val="18"/>
                <w:szCs w:val="18"/>
              </w:rPr>
              <w:t>5</w:t>
            </w:r>
            <w:r>
              <w:rPr>
                <w:rFonts w:ascii="宋体" w:hAnsi="宋体" w:hint="eastAsia"/>
                <w:sz w:val="18"/>
                <w:szCs w:val="18"/>
              </w:rPr>
              <w:t>.3</w:t>
            </w:r>
          </w:p>
        </w:tc>
        <w:tc>
          <w:tcPr>
            <w:tcW w:w="7347" w:type="dxa"/>
            <w:vAlign w:val="center"/>
          </w:tcPr>
          <w:p w:rsidR="009E4F12" w:rsidP="009E4F12">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设备供应商对所有主机设备提供自验收合格后8年的免费维护维修服务*</w:t>
            </w:r>
          </w:p>
          <w:p w:rsidR="009E4F12" w:rsidP="009E4F12">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按照中国气象局有关业务规范要求，在三级及以上气象应急响应期间，24小时全天候现场值守保障，并定期编制和上报雷达运行状态及故障处置报告。</w:t>
            </w:r>
          </w:p>
          <w:p w:rsidR="009E4F12" w:rsidP="009E4F12">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质保费按设备费的20%比例配置。设备厂家以履约保函等形式支付20%担保金额，后续逐年返还。备品备件按质保总额的20%比例配置。此外，按照雷达维修保障要求配置整机备品备件和随机资料、随机工具，确保维修保障时效内配送至雷达站。</w:t>
            </w:r>
          </w:p>
          <w:p w:rsidR="009E4F12" w:rsidP="009E4F12">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备品备件、维护标校、故障维修和巡检巡查等各项要求参照《X波段天气雷达观测规范（试行）》、《X波段天气雷达标校业务规范（试行）》等文件要求执行。</w:t>
            </w:r>
          </w:p>
          <w:p w:rsidR="0017221F" w:rsidP="009E4F12">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质保期服务提供相关承诺函。</w:t>
            </w:r>
          </w:p>
        </w:tc>
      </w:tr>
    </w:tbl>
    <w:p w:rsidR="0017221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17221F">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pStyle w:val="BodyText"/>
        <w:spacing w:after="0"/>
        <w:jc w:val="center"/>
        <w:rPr>
          <w:rFonts w:ascii="宋体" w:eastAsia="宋体" w:hAnsi="宋体" w:cs="宋体" w:hint="eastAsia"/>
          <w:b/>
          <w:bCs/>
          <w:color w:val="auto"/>
          <w:spacing w:val="-20"/>
          <w:kern w:val="44"/>
          <w:sz w:val="48"/>
          <w:szCs w:val="48"/>
        </w:rPr>
      </w:pPr>
      <w:bookmarkStart w:id="73" w:name="采购公告合同部分_ZBGGHT"/>
      <w:bookmarkStart w:id="74" w:name="_Toc3995_0"/>
    </w:p>
    <w:p>
      <w:pPr>
        <w:pStyle w:val="BodyText"/>
        <w:spacing w:after="0"/>
        <w:jc w:val="center"/>
        <w:rPr>
          <w:rFonts w:ascii="宋体" w:eastAsia="宋体" w:hAnsi="宋体" w:cs="宋体" w:hint="eastAsia"/>
          <w:b/>
          <w:bCs/>
          <w:color w:val="auto"/>
          <w:spacing w:val="-20"/>
          <w:kern w:val="44"/>
          <w:sz w:val="48"/>
          <w:szCs w:val="48"/>
        </w:rPr>
      </w:pPr>
    </w:p>
    <w:p>
      <w:pPr>
        <w:pStyle w:val="BodyText"/>
        <w:spacing w:after="0"/>
        <w:jc w:val="center"/>
        <w:rPr>
          <w:rFonts w:ascii="宋体" w:eastAsia="宋体" w:hAnsi="宋体" w:cs="宋体" w:hint="eastAsia"/>
          <w:b/>
          <w:bCs/>
          <w:color w:val="auto"/>
          <w:spacing w:val="-20"/>
          <w:kern w:val="44"/>
          <w:sz w:val="48"/>
          <w:szCs w:val="48"/>
        </w:rPr>
      </w:pPr>
    </w:p>
    <w:p>
      <w:pPr>
        <w:pStyle w:val="BodyText"/>
        <w:spacing w:after="0"/>
        <w:jc w:val="center"/>
        <w:rPr>
          <w:rFonts w:ascii="宋体" w:eastAsia="宋体" w:hAnsi="宋体" w:cs="宋体" w:hint="eastAsia"/>
          <w:b/>
          <w:bCs/>
          <w:color w:val="auto"/>
          <w:spacing w:val="-20"/>
          <w:kern w:val="44"/>
          <w:sz w:val="48"/>
          <w:szCs w:val="48"/>
        </w:rPr>
      </w:pPr>
    </w:p>
    <w:p>
      <w:pPr>
        <w:pStyle w:val="BodyText"/>
        <w:spacing w:after="0"/>
        <w:jc w:val="center"/>
        <w:rPr>
          <w:rFonts w:ascii="宋体" w:eastAsia="宋体" w:hAnsi="宋体" w:cs="宋体" w:hint="eastAsia"/>
          <w:b/>
          <w:bCs/>
          <w:color w:val="auto"/>
          <w:spacing w:val="-20"/>
          <w:kern w:val="44"/>
          <w:sz w:val="48"/>
          <w:szCs w:val="48"/>
        </w:rPr>
      </w:pPr>
    </w:p>
    <w:p>
      <w:pPr>
        <w:pStyle w:val="BodyText"/>
        <w:spacing w:after="0"/>
        <w:jc w:val="center"/>
        <w:rPr>
          <w:rFonts w:ascii="宋体" w:eastAsia="宋体" w:hAnsi="宋体" w:cs="宋体" w:hint="eastAsia"/>
          <w:b/>
          <w:bCs/>
          <w:color w:val="auto"/>
          <w:spacing w:val="-20"/>
          <w:kern w:val="44"/>
          <w:sz w:val="48"/>
          <w:szCs w:val="48"/>
        </w:rPr>
      </w:pPr>
      <w:r>
        <w:rPr>
          <w:rFonts w:ascii="宋体" w:eastAsia="宋体" w:hAnsi="宋体" w:cs="宋体" w:hint="eastAsia"/>
          <w:b/>
          <w:bCs/>
          <w:color w:val="auto"/>
          <w:spacing w:val="-20"/>
          <w:kern w:val="44"/>
          <w:sz w:val="48"/>
          <w:szCs w:val="48"/>
        </w:rPr>
        <w:t>云南省加密气象观测网建设项目</w:t>
      </w:r>
    </w:p>
    <w:p>
      <w:pPr>
        <w:pStyle w:val="BodyText"/>
        <w:spacing w:after="0"/>
        <w:jc w:val="center"/>
        <w:rPr>
          <w:rFonts w:ascii="宋体" w:eastAsia="宋体" w:hAnsi="宋体" w:cs="宋体" w:hint="eastAsia"/>
          <w:b/>
          <w:bCs/>
          <w:color w:val="auto"/>
          <w:spacing w:val="-20"/>
          <w:kern w:val="44"/>
          <w:sz w:val="48"/>
          <w:szCs w:val="48"/>
        </w:rPr>
      </w:pPr>
      <w:r>
        <w:rPr>
          <w:rFonts w:ascii="宋体" w:eastAsia="宋体" w:hAnsi="宋体" w:cs="宋体" w:hint="eastAsia"/>
          <w:b/>
          <w:bCs/>
          <w:color w:val="auto"/>
          <w:spacing w:val="-20"/>
          <w:kern w:val="44"/>
          <w:sz w:val="48"/>
          <w:szCs w:val="48"/>
        </w:rPr>
        <w:t>X波段双偏振天气雷达系统采购合同</w:t>
      </w:r>
    </w:p>
    <w:p>
      <w:pPr>
        <w:pStyle w:val="BodyText"/>
        <w:spacing w:after="0"/>
        <w:jc w:val="center"/>
        <w:rPr>
          <w:rFonts w:ascii="宋体" w:eastAsia="宋体" w:hAnsi="宋体" w:cs="宋体" w:hint="eastAsia"/>
          <w:b/>
          <w:bCs/>
          <w:color w:val="auto"/>
          <w:spacing w:val="-20"/>
          <w:kern w:val="44"/>
          <w:sz w:val="48"/>
          <w:szCs w:val="48"/>
        </w:rPr>
      </w:pPr>
    </w:p>
    <w:p>
      <w:pPr>
        <w:rPr>
          <w:rFonts w:ascii="宋体" w:eastAsia="宋体" w:hAnsi="宋体" w:cs="宋体" w:hint="eastAsia"/>
          <w:b/>
          <w:bCs/>
          <w:spacing w:val="-20"/>
          <w:kern w:val="44"/>
          <w:sz w:val="40"/>
          <w:szCs w:val="40"/>
        </w:rPr>
      </w:pPr>
    </w:p>
    <w:p>
      <w:pPr>
        <w:rPr>
          <w:rFonts w:ascii="宋体" w:eastAsia="宋体" w:hAnsi="宋体" w:cs="宋体" w:hint="eastAsia"/>
          <w:b/>
          <w:bCs/>
          <w:spacing w:val="-20"/>
          <w:kern w:val="44"/>
          <w:sz w:val="40"/>
          <w:szCs w:val="40"/>
        </w:rPr>
      </w:pPr>
    </w:p>
    <w:p>
      <w:pPr>
        <w:rPr>
          <w:rFonts w:ascii="宋体" w:eastAsia="宋体" w:hAnsi="宋体" w:cs="宋体" w:hint="eastAsia"/>
          <w:b/>
          <w:bCs/>
          <w:spacing w:val="-20"/>
          <w:kern w:val="44"/>
          <w:sz w:val="40"/>
          <w:szCs w:val="40"/>
        </w:rPr>
      </w:pPr>
    </w:p>
    <w:p>
      <w:pPr>
        <w:spacing w:line="360" w:lineRule="auto"/>
        <w:ind w:left="420" w:leftChars="200"/>
        <w:rPr>
          <w:rFonts w:ascii="宋体" w:eastAsia="宋体" w:hAnsi="宋体" w:hint="eastAsia"/>
          <w:sz w:val="32"/>
          <w:szCs w:val="32"/>
        </w:rPr>
      </w:pPr>
      <w:r>
        <w:rPr>
          <w:rFonts w:ascii="宋体" w:eastAsia="宋体" w:hAnsi="宋体" w:cs="宋体" w:hint="eastAsia"/>
          <w:kern w:val="0"/>
          <w:sz w:val="32"/>
          <w:szCs w:val="32"/>
        </w:rPr>
        <w:t>项目名称：</w:t>
      </w:r>
      <w:r>
        <w:rPr>
          <w:rFonts w:ascii="宋体" w:eastAsia="宋体" w:hAnsi="宋体" w:hint="eastAsia"/>
          <w:sz w:val="32"/>
          <w:szCs w:val="32"/>
          <w:highlight w:val="yellow"/>
          <w:u w:val="single"/>
        </w:rPr>
        <w:t>云南省加密气象观测网建设项目-X波段双线偏振一维平面相控阵天气雷达系统采购</w:t>
      </w:r>
    </w:p>
    <w:p>
      <w:pPr>
        <w:spacing w:line="360" w:lineRule="auto"/>
        <w:ind w:left="420" w:leftChars="200"/>
        <w:rPr>
          <w:rFonts w:ascii="宋体" w:eastAsia="宋体" w:hAnsi="宋体" w:hint="eastAsia"/>
          <w:sz w:val="32"/>
          <w:szCs w:val="32"/>
        </w:rPr>
      </w:pPr>
      <w:r>
        <w:rPr>
          <w:rFonts w:ascii="宋体" w:eastAsia="宋体" w:hAnsi="宋体" w:hint="eastAsia"/>
          <w:sz w:val="32"/>
          <w:szCs w:val="32"/>
        </w:rPr>
        <w:t>合同编号：</w:t>
      </w:r>
      <w:r>
        <w:rPr>
          <w:rFonts w:ascii="宋体" w:eastAsia="宋体" w:hAnsi="宋体" w:hint="eastAsia"/>
          <w:sz w:val="32"/>
          <w:szCs w:val="32"/>
          <w:u w:val="single"/>
        </w:rPr>
        <w:t xml:space="preserve">                              </w:t>
      </w:r>
      <w:r>
        <w:rPr>
          <w:rFonts w:ascii="宋体" w:eastAsia="宋体" w:hAnsi="宋体" w:hint="eastAsia"/>
          <w:sz w:val="32"/>
          <w:szCs w:val="32"/>
        </w:rPr>
        <w:t>（甲方）</w:t>
      </w:r>
    </w:p>
    <w:p>
      <w:pPr>
        <w:spacing w:line="360" w:lineRule="auto"/>
        <w:ind w:left="420" w:leftChars="200"/>
        <w:rPr>
          <w:rFonts w:ascii="宋体" w:eastAsia="宋体" w:hAnsi="宋体" w:hint="eastAsia"/>
          <w:sz w:val="32"/>
          <w:szCs w:val="32"/>
        </w:rPr>
      </w:pPr>
      <w:r>
        <w:rPr>
          <w:rFonts w:ascii="宋体" w:eastAsia="宋体" w:hAnsi="宋体" w:hint="eastAsia"/>
          <w:sz w:val="32"/>
          <w:szCs w:val="32"/>
        </w:rPr>
        <w:t>合同编号：</w:t>
      </w:r>
      <w:r>
        <w:rPr>
          <w:rFonts w:ascii="宋体" w:eastAsia="宋体" w:hAnsi="宋体" w:hint="eastAsia"/>
          <w:sz w:val="32"/>
          <w:szCs w:val="32"/>
          <w:u w:val="single"/>
        </w:rPr>
        <w:t xml:space="preserve">                              </w:t>
      </w:r>
      <w:r>
        <w:rPr>
          <w:rFonts w:ascii="宋体" w:eastAsia="宋体" w:hAnsi="宋体" w:hint="eastAsia"/>
          <w:sz w:val="32"/>
          <w:szCs w:val="32"/>
        </w:rPr>
        <w:t>（乙方）</w:t>
      </w:r>
    </w:p>
    <w:p>
      <w:pPr>
        <w:spacing w:line="360" w:lineRule="auto"/>
        <w:ind w:left="420" w:leftChars="200"/>
        <w:rPr>
          <w:rFonts w:ascii="宋体" w:eastAsia="宋体" w:hAnsi="宋体" w:hint="eastAsia"/>
          <w:sz w:val="32"/>
          <w:szCs w:val="32"/>
        </w:rPr>
      </w:pPr>
      <w:r>
        <w:rPr>
          <w:rFonts w:ascii="宋体" w:eastAsia="宋体" w:hAnsi="宋体" w:hint="eastAsia"/>
          <w:sz w:val="32"/>
          <w:szCs w:val="32"/>
        </w:rPr>
        <w:t>合同编号：</w:t>
      </w:r>
      <w:r>
        <w:rPr>
          <w:rFonts w:ascii="宋体" w:eastAsia="宋体" w:hAnsi="宋体" w:hint="eastAsia"/>
          <w:sz w:val="32"/>
          <w:szCs w:val="32"/>
          <w:u w:val="single"/>
        </w:rPr>
        <w:t xml:space="preserve">                              </w:t>
      </w:r>
      <w:r>
        <w:rPr>
          <w:rFonts w:ascii="宋体" w:eastAsia="宋体" w:hAnsi="宋体" w:hint="eastAsia"/>
          <w:sz w:val="32"/>
          <w:szCs w:val="32"/>
        </w:rPr>
        <w:t>（丙方）</w:t>
      </w:r>
    </w:p>
    <w:p>
      <w:pPr>
        <w:spacing w:line="360" w:lineRule="auto"/>
        <w:ind w:left="420" w:leftChars="200"/>
        <w:rPr>
          <w:rFonts w:ascii="宋体" w:eastAsia="宋体" w:hAnsi="宋体" w:hint="eastAsia"/>
          <w:sz w:val="32"/>
          <w:szCs w:val="32"/>
        </w:rPr>
      </w:pPr>
      <w:r>
        <w:rPr>
          <w:rFonts w:ascii="宋体" w:eastAsia="宋体" w:hAnsi="宋体" w:hint="eastAsia"/>
          <w:sz w:val="32"/>
          <w:szCs w:val="32"/>
        </w:rPr>
        <w:t>甲    方：</w:t>
      </w:r>
      <w:r>
        <w:rPr>
          <w:rFonts w:ascii="宋体" w:eastAsia="宋体" w:hAnsi="宋体" w:hint="eastAsia"/>
          <w:sz w:val="32"/>
          <w:szCs w:val="32"/>
          <w:u w:val="single"/>
        </w:rPr>
        <w:t xml:space="preserve">   </w:t>
      </w:r>
      <w:r>
        <w:rPr>
          <w:rFonts w:ascii="宋体" w:hAnsi="宋体" w:hint="eastAsia"/>
          <w:sz w:val="32"/>
          <w:szCs w:val="32"/>
          <w:u w:val="single"/>
        </w:rPr>
        <w:t>云南省气象局</w:t>
      </w:r>
      <w:r>
        <w:rPr>
          <w:rFonts w:ascii="宋体" w:eastAsia="宋体" w:hAnsi="宋体" w:hint="eastAsia"/>
          <w:sz w:val="32"/>
          <w:szCs w:val="32"/>
          <w:u w:val="single"/>
        </w:rPr>
        <w:t xml:space="preserve">               </w:t>
      </w:r>
    </w:p>
    <w:p>
      <w:pPr>
        <w:spacing w:line="360" w:lineRule="auto"/>
        <w:ind w:left="420" w:leftChars="200"/>
        <w:rPr>
          <w:rFonts w:ascii="宋体" w:eastAsia="宋体" w:hAnsi="宋体" w:hint="eastAsia"/>
          <w:sz w:val="32"/>
          <w:szCs w:val="32"/>
          <w:u w:val="single"/>
        </w:rPr>
      </w:pPr>
      <w:r>
        <w:rPr>
          <w:rFonts w:ascii="宋体" w:eastAsia="宋体" w:hAnsi="宋体" w:hint="eastAsia"/>
          <w:sz w:val="32"/>
          <w:szCs w:val="32"/>
        </w:rPr>
        <w:t>乙    方：</w:t>
      </w:r>
      <w:r>
        <w:rPr>
          <w:rFonts w:ascii="宋体" w:eastAsia="宋体" w:hAnsi="宋体" w:hint="eastAsia"/>
          <w:sz w:val="32"/>
          <w:szCs w:val="32"/>
          <w:u w:val="single"/>
        </w:rPr>
        <w:t xml:space="preserve">  ____________________________</w:t>
      </w:r>
    </w:p>
    <w:p>
      <w:pPr>
        <w:spacing w:line="360" w:lineRule="auto"/>
        <w:ind w:left="420" w:leftChars="200"/>
        <w:rPr>
          <w:rFonts w:ascii="宋体" w:eastAsia="宋体" w:hAnsi="宋体" w:hint="eastAsia"/>
          <w:sz w:val="32"/>
          <w:szCs w:val="32"/>
          <w:u w:val="single"/>
        </w:rPr>
      </w:pPr>
      <w:r>
        <w:rPr>
          <w:rFonts w:ascii="宋体" w:eastAsia="宋体" w:hAnsi="宋体" w:hint="eastAsia"/>
          <w:sz w:val="32"/>
          <w:szCs w:val="32"/>
        </w:rPr>
        <w:t>丙    方：</w:t>
      </w:r>
      <w:r>
        <w:rPr>
          <w:rFonts w:ascii="宋体" w:eastAsia="宋体" w:hAnsi="宋体" w:hint="eastAsia"/>
          <w:sz w:val="32"/>
          <w:szCs w:val="32"/>
          <w:u w:val="single"/>
        </w:rPr>
        <w:t>________________________________</w:t>
      </w:r>
    </w:p>
    <w:p>
      <w:pPr>
        <w:spacing w:line="360" w:lineRule="auto"/>
        <w:ind w:left="420" w:leftChars="200"/>
        <w:rPr>
          <w:rFonts w:ascii="宋体" w:eastAsia="宋体" w:hAnsi="宋体" w:hint="eastAsia"/>
          <w:sz w:val="32"/>
          <w:szCs w:val="32"/>
        </w:rPr>
      </w:pPr>
      <w:r>
        <w:rPr>
          <w:rFonts w:ascii="宋体" w:eastAsia="宋体" w:hAnsi="宋体" w:hint="eastAsia"/>
          <w:sz w:val="32"/>
          <w:szCs w:val="32"/>
        </w:rPr>
        <w:t>签订时间：</w:t>
      </w:r>
      <w:r>
        <w:rPr>
          <w:rFonts w:ascii="宋体" w:eastAsia="宋体" w:hAnsi="宋体" w:hint="eastAsia"/>
          <w:sz w:val="32"/>
          <w:szCs w:val="32"/>
          <w:u w:val="single"/>
        </w:rPr>
        <w:t xml:space="preserve">           2026年 月           </w:t>
      </w:r>
    </w:p>
    <w:p>
      <w:pPr>
        <w:rPr>
          <w:rFonts w:ascii="宋体" w:eastAsia="宋体" w:hAnsi="宋体" w:hint="eastAsia"/>
        </w:rPr>
      </w:pPr>
    </w:p>
    <w:p>
      <w:pPr>
        <w:rPr>
          <w:rFonts w:ascii="宋体" w:eastAsia="宋体" w:hAnsi="宋体" w:hint="eastAsia"/>
          <w:sz w:val="44"/>
          <w:szCs w:val="44"/>
        </w:rPr>
        <w:sectPr>
          <w:pgSz w:w="11906" w:h="16838"/>
          <w:pgMar w:top="1440" w:right="1800" w:bottom="1440" w:left="1800" w:header="851" w:footer="992" w:gutter="0"/>
          <w:cols w:num="1" w:space="425"/>
          <w:docGrid w:type="lines" w:linePitch="312" w:charSpace="0"/>
        </w:sectPr>
      </w:pPr>
      <w:r>
        <w:rPr>
          <w:rFonts w:ascii="宋体" w:eastAsia="宋体" w:hAnsi="宋体"/>
          <w:sz w:val="44"/>
          <w:szCs w:val="44"/>
        </w:rPr>
        <w:br w:type="page"/>
      </w:r>
    </w:p>
    <w:bookmarkEnd w:id="74"/>
    <w:p>
      <w:pPr>
        <w:pStyle w:val="Heading2"/>
        <w:adjustRightInd w:val="0"/>
        <w:snapToGrid w:val="0"/>
        <w:spacing w:line="400" w:lineRule="exact"/>
        <w:jc w:val="center"/>
        <w:rPr>
          <w:rFonts w:ascii="宋体" w:eastAsia="宋体" w:hAnsi="宋体" w:hint="eastAsia"/>
          <w:b/>
          <w:bCs/>
          <w:color w:val="auto"/>
          <w:sz w:val="28"/>
          <w:szCs w:val="28"/>
        </w:rPr>
      </w:pPr>
      <w:bookmarkStart w:id="75" w:name="_Toc22209"/>
      <w:r>
        <w:rPr>
          <w:rFonts w:ascii="宋体" w:eastAsia="宋体" w:hAnsi="宋体" w:hint="eastAsia"/>
          <w:color w:val="auto"/>
          <w:sz w:val="28"/>
          <w:szCs w:val="28"/>
        </w:rPr>
        <w:t>第一节 政府采购合同协议书</w:t>
      </w:r>
      <w:bookmarkEnd w:id="75"/>
    </w:p>
    <w:p>
      <w:pPr>
        <w:adjustRightInd w:val="0"/>
        <w:snapToGrid w:val="0"/>
        <w:spacing w:line="400" w:lineRule="exact"/>
        <w:rPr>
          <w:rFonts w:ascii="宋体" w:eastAsia="宋体" w:hAnsi="宋体" w:hint="eastAsia"/>
          <w:szCs w:val="21"/>
        </w:rPr>
      </w:pPr>
      <w:r>
        <w:rPr>
          <w:rFonts w:ascii="宋体" w:eastAsia="宋体" w:hAnsi="宋体" w:hint="eastAsia"/>
          <w:szCs w:val="21"/>
        </w:rPr>
        <w:t>甲方（全称）：</w:t>
      </w:r>
      <w:r>
        <w:rPr>
          <w:rFonts w:ascii="宋体" w:eastAsia="宋体" w:hAnsi="宋体" w:hint="eastAsia"/>
          <w:szCs w:val="21"/>
          <w:u w:val="single"/>
        </w:rPr>
        <w:t>云南省气象局</w:t>
      </w:r>
      <w:r>
        <w:rPr>
          <w:rFonts w:ascii="宋体" w:eastAsia="宋体" w:hAnsi="宋体" w:hint="eastAsia"/>
          <w:szCs w:val="21"/>
        </w:rPr>
        <w:t>（采购人）</w:t>
      </w:r>
    </w:p>
    <w:p>
      <w:pPr>
        <w:adjustRightInd w:val="0"/>
        <w:snapToGrid w:val="0"/>
        <w:spacing w:line="400" w:lineRule="exact"/>
        <w:rPr>
          <w:rFonts w:ascii="宋体" w:eastAsia="宋体" w:hAnsi="宋体" w:hint="eastAsia"/>
          <w:szCs w:val="21"/>
        </w:rPr>
      </w:pPr>
      <w:r>
        <w:rPr>
          <w:rFonts w:ascii="宋体" w:eastAsia="宋体" w:hAnsi="宋体" w:hint="eastAsia"/>
          <w:szCs w:val="21"/>
        </w:rPr>
        <w:t>乙方（全称）：</w:t>
      </w:r>
      <w:r>
        <w:rPr>
          <w:rFonts w:ascii="宋体" w:eastAsia="宋体" w:hAnsi="宋体" w:hint="eastAsia"/>
          <w:szCs w:val="21"/>
          <w:u w:val="single"/>
        </w:rPr>
        <w:t>_____________________________</w:t>
      </w:r>
      <w:r>
        <w:rPr>
          <w:rFonts w:ascii="宋体" w:eastAsia="宋体" w:hAnsi="宋体" w:hint="eastAsia"/>
          <w:szCs w:val="21"/>
        </w:rPr>
        <w:t>（供应商）</w:t>
      </w:r>
    </w:p>
    <w:p>
      <w:pPr>
        <w:adjustRightInd w:val="0"/>
        <w:snapToGrid w:val="0"/>
        <w:spacing w:line="400" w:lineRule="exact"/>
        <w:rPr>
          <w:rFonts w:ascii="宋体" w:eastAsia="宋体" w:hAnsi="宋体" w:hint="eastAsia"/>
          <w:szCs w:val="21"/>
        </w:rPr>
      </w:pPr>
      <w:r>
        <w:rPr>
          <w:rFonts w:ascii="宋体" w:eastAsia="宋体" w:hAnsi="宋体" w:hint="eastAsia"/>
          <w:szCs w:val="21"/>
        </w:rPr>
        <w:t xml:space="preserve">丙方（全称）：                    </w:t>
      </w:r>
      <w:r>
        <w:rPr>
          <w:rFonts w:ascii="宋体" w:eastAsia="宋体" w:hAnsi="宋体" w:hint="eastAsia"/>
          <w:szCs w:val="21"/>
          <w:u w:val="single"/>
        </w:rPr>
        <w:t xml:space="preserve">         </w:t>
      </w:r>
      <w:r>
        <w:rPr>
          <w:rFonts w:ascii="宋体" w:eastAsia="宋体" w:hAnsi="宋体" w:hint="eastAsia"/>
          <w:szCs w:val="21"/>
        </w:rPr>
        <w:t>（资金支付单位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谈判文件等采购文件、乙方的《投标（响应）文件》及《中标（成交）通知书》，甲、乙、丙三方同意签订本合同。</w:t>
      </w:r>
    </w:p>
    <w:p>
      <w:pPr>
        <w:numPr>
          <w:ilvl w:val="0"/>
          <w:numId w:val="12"/>
        </w:numPr>
        <w:adjustRightInd w:val="0"/>
        <w:snapToGrid w:val="0"/>
        <w:spacing w:line="400" w:lineRule="exact"/>
        <w:ind w:firstLine="420" w:firstLineChars="200"/>
        <w:rPr>
          <w:rFonts w:ascii="宋体" w:eastAsia="宋体" w:hAnsi="宋体"/>
          <w:b/>
          <w:szCs w:val="21"/>
        </w:rPr>
      </w:pPr>
      <w:r>
        <w:rPr>
          <w:rFonts w:ascii="宋体" w:eastAsia="宋体" w:hAnsi="宋体"/>
          <w:b/>
          <w:szCs w:val="21"/>
        </w:rPr>
        <w:t>项目信息</w:t>
      </w:r>
    </w:p>
    <w:p>
      <w:pPr>
        <w:numPr>
          <w:ilvl w:val="0"/>
          <w:numId w:val="13"/>
        </w:numPr>
        <w:adjustRightInd w:val="0"/>
        <w:snapToGrid w:val="0"/>
        <w:spacing w:line="400" w:lineRule="exact"/>
        <w:ind w:firstLine="420" w:firstLineChars="200"/>
        <w:rPr>
          <w:rFonts w:ascii="宋体" w:eastAsia="宋体" w:hAnsi="宋体"/>
          <w:szCs w:val="21"/>
          <w:u w:val="single"/>
        </w:rPr>
      </w:pPr>
      <w:r>
        <w:rPr>
          <w:rFonts w:ascii="宋体" w:eastAsia="宋体" w:hAnsi="宋体"/>
          <w:szCs w:val="21"/>
        </w:rPr>
        <w:t>采购项目名称：</w:t>
      </w:r>
      <w:r>
        <w:rPr>
          <w:rFonts w:ascii="宋体" w:eastAsia="宋体" w:hAnsi="宋体"/>
          <w:szCs w:val="21"/>
          <w:u w:val="single"/>
        </w:rPr>
        <w:t>云南省加密气象观测网建设项目-X波段双线偏振一维平面相控阵天气雷达系统采购</w:t>
      </w:r>
    </w:p>
    <w:p>
      <w:pPr>
        <w:tabs>
          <w:tab w:val="left" w:pos="999"/>
        </w:tabs>
        <w:adjustRightInd w:val="0"/>
        <w:snapToGrid w:val="0"/>
        <w:spacing w:line="400" w:lineRule="exact"/>
        <w:rPr>
          <w:rFonts w:ascii="宋体" w:eastAsia="宋体" w:hAnsi="宋体"/>
          <w:szCs w:val="21"/>
        </w:rPr>
      </w:pPr>
      <w:r>
        <w:rPr>
          <w:rFonts w:ascii="宋体" w:eastAsia="宋体" w:hAnsi="宋体"/>
          <w:szCs w:val="21"/>
        </w:rPr>
        <w:t xml:space="preserve">         采购项目编号：</w:t>
      </w:r>
      <w:r>
        <w:rPr>
          <w:rFonts w:ascii="宋体" w:eastAsia="宋体" w:hAnsi="宋体"/>
          <w:szCs w:val="21"/>
          <w:u w:val="single"/>
        </w:rPr>
        <w:t xml:space="preserve">            </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（2）采购计划编号：</w:t>
      </w:r>
      <w:r>
        <w:rPr>
          <w:rFonts w:ascii="宋体" w:eastAsia="宋体" w:hAnsi="宋体"/>
          <w:szCs w:val="21"/>
          <w:u w:val="single"/>
        </w:rPr>
        <w:t xml:space="preserve">    /       </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（3）项目内容：</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 xml:space="preserve">     采购标的及数量（台/套</w:t>
      </w:r>
      <w:r>
        <w:rPr>
          <w:rFonts w:ascii="宋体" w:eastAsia="宋体" w:hAnsi="宋体"/>
          <w:szCs w:val="21"/>
          <w:lang w:val="en"/>
        </w:rPr>
        <w:t>/个/架/组等</w:t>
      </w:r>
      <w:r>
        <w:rPr>
          <w:rFonts w:ascii="宋体" w:eastAsia="宋体" w:hAnsi="宋体"/>
          <w:szCs w:val="21"/>
        </w:rPr>
        <w:t>）：</w:t>
      </w:r>
      <w:r>
        <w:rPr>
          <w:rFonts w:ascii="宋体" w:eastAsia="宋体" w:hAnsi="宋体"/>
          <w:szCs w:val="21"/>
          <w:u w:val="single"/>
        </w:rPr>
        <w:t>3套X波段双线偏振一维平面相控阵天气雷达系统（含主机、附属设备、随机备件、测试仪表、标定系统、相关软件配套及运维服务）</w:t>
      </w:r>
    </w:p>
    <w:p>
      <w:pPr>
        <w:adjustRightInd w:val="0"/>
        <w:snapToGrid w:val="0"/>
        <w:spacing w:line="400" w:lineRule="exact"/>
        <w:ind w:firstLine="420" w:firstLineChars="200"/>
        <w:rPr>
          <w:rFonts w:ascii="宋体" w:eastAsia="宋体" w:hAnsi="宋体" w:cs="宋体"/>
          <w:szCs w:val="21"/>
        </w:rPr>
      </w:pPr>
      <w:r>
        <w:rPr>
          <w:rFonts w:ascii="宋体" w:eastAsia="宋体" w:hAnsi="宋体"/>
          <w:szCs w:val="21"/>
        </w:rPr>
        <w:t xml:space="preserve">     </w:t>
      </w:r>
      <w:r>
        <w:rPr>
          <w:rFonts w:ascii="宋体" w:eastAsia="宋体" w:hAnsi="宋体" w:cs="宋体"/>
          <w:szCs w:val="21"/>
        </w:rPr>
        <w:t>品牌：</w:t>
      </w:r>
      <w:r>
        <w:rPr>
          <w:rFonts w:ascii="宋体" w:eastAsia="宋体" w:hAnsi="宋体" w:cs="宋体"/>
          <w:szCs w:val="21"/>
          <w:u w:val="single"/>
        </w:rPr>
        <w:t xml:space="preserve">            </w:t>
      </w:r>
      <w:r>
        <w:rPr>
          <w:rFonts w:ascii="宋体" w:eastAsia="宋体" w:hAnsi="宋体" w:cs="宋体"/>
          <w:szCs w:val="21"/>
          <w:lang w:val="en"/>
        </w:rPr>
        <w:t xml:space="preserve">    </w:t>
      </w:r>
      <w:r>
        <w:rPr>
          <w:rFonts w:ascii="宋体" w:eastAsia="宋体" w:hAnsi="宋体" w:cs="宋体"/>
          <w:szCs w:val="21"/>
        </w:rPr>
        <w:t>规格型号：</w:t>
      </w:r>
      <w:r>
        <w:rPr>
          <w:rFonts w:ascii="宋体" w:eastAsia="宋体" w:hAnsi="宋体" w:cs="宋体"/>
          <w:szCs w:val="21"/>
          <w:u w:val="single"/>
        </w:rPr>
        <w:t xml:space="preserve">             </w:t>
      </w:r>
    </w:p>
    <w:p>
      <w:pPr>
        <w:adjustRightInd w:val="0"/>
        <w:snapToGrid w:val="0"/>
        <w:spacing w:line="400" w:lineRule="exact"/>
        <w:ind w:firstLine="945" w:firstLineChars="450"/>
        <w:rPr>
          <w:rFonts w:ascii="宋体" w:eastAsia="宋体" w:hAnsi="宋体"/>
          <w:szCs w:val="21"/>
          <w:u w:val="single"/>
        </w:rPr>
      </w:pPr>
      <w:r>
        <w:rPr>
          <w:rFonts w:ascii="宋体" w:eastAsia="宋体" w:hAnsi="宋体"/>
          <w:szCs w:val="21"/>
        </w:rPr>
        <w:t>采购标的的技术要求、商务要求具体见附件，其中附属设备、随机备件和测试仪表配置详见附件三《附属设备清单》、附件二《X 波段天气雷达分项报价》以及甲方招标文件及乙方投标响应承诺中的相关内容。</w:t>
      </w:r>
    </w:p>
    <w:p>
      <w:pPr>
        <w:widowControl/>
        <w:autoSpaceDE w:val="0"/>
        <w:autoSpaceDN w:val="0"/>
        <w:adjustRightInd w:val="0"/>
        <w:snapToGrid w:val="0"/>
        <w:spacing w:line="400" w:lineRule="exact"/>
        <w:ind w:firstLine="424" w:firstLineChars="202"/>
        <w:jc w:val="left"/>
        <w:rPr>
          <w:rFonts w:ascii="宋体" w:eastAsia="宋体" w:hAnsi="宋体" w:cs="宋体"/>
          <w:kern w:val="0"/>
          <w:szCs w:val="21"/>
        </w:rPr>
      </w:pPr>
      <w:r>
        <w:rPr>
          <w:rFonts w:ascii="宋体" w:eastAsia="宋体" w:hAnsi="宋体" w:cs="宋体"/>
          <w:kern w:val="0"/>
          <w:szCs w:val="21"/>
        </w:rPr>
        <w:t>（</w:t>
      </w:r>
      <w:r>
        <w:rPr>
          <w:rFonts w:ascii="宋体" w:eastAsia="宋体" w:hAnsi="宋体" w:cs="宋体"/>
          <w:kern w:val="0"/>
          <w:szCs w:val="21"/>
          <w:lang w:val="en"/>
        </w:rPr>
        <w:t>4</w:t>
      </w:r>
      <w:r>
        <w:rPr>
          <w:rFonts w:ascii="宋体" w:eastAsia="宋体" w:hAnsi="宋体" w:cs="宋体"/>
          <w:kern w:val="0"/>
          <w:szCs w:val="21"/>
        </w:rPr>
        <w:t>）政府采购组织形式：</w:t>
      </w:r>
      <w:r>
        <w:rPr>
          <w:rFonts w:ascii="Wingdings" w:eastAsia="宋体" w:hAnsi="Wingdings" w:cs="宋体"/>
          <w:kern w:val="0"/>
          <w:szCs w:val="21"/>
        </w:rPr>
        <w:sym w:font="Wingdings" w:char="F0A8"/>
      </w:r>
      <w:r>
        <w:rPr>
          <w:rFonts w:ascii="宋体" w:eastAsia="宋体" w:hAnsi="宋体" w:cs="宋体"/>
          <w:kern w:val="0"/>
          <w:szCs w:val="21"/>
        </w:rPr>
        <w:t xml:space="preserve">政府集中采购  </w:t>
      </w:r>
      <w:r>
        <w:rPr>
          <w:rFonts w:ascii="Wingdings" w:eastAsia="宋体" w:hAnsi="Wingdings" w:cs="宋体"/>
          <w:kern w:val="0"/>
          <w:szCs w:val="21"/>
        </w:rPr>
        <w:sym w:font="Wingdings" w:char="F0FE"/>
      </w:r>
      <w:r>
        <w:rPr>
          <w:rFonts w:ascii="宋体" w:eastAsia="宋体" w:hAnsi="宋体" w:cs="宋体"/>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kern w:val="0"/>
          <w:szCs w:val="21"/>
        </w:rPr>
        <w:t>分散采购</w:t>
      </w:r>
    </w:p>
    <w:p>
      <w:pPr>
        <w:widowControl/>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kern w:val="0"/>
          <w:szCs w:val="21"/>
        </w:rPr>
        <w:t>（</w:t>
      </w:r>
      <w:r>
        <w:rPr>
          <w:rFonts w:ascii="宋体" w:eastAsia="宋体" w:hAnsi="宋体" w:cs="宋体"/>
          <w:kern w:val="0"/>
          <w:szCs w:val="21"/>
          <w:lang w:val="en"/>
        </w:rPr>
        <w:t>5</w:t>
      </w:r>
      <w:r>
        <w:rPr>
          <w:rFonts w:ascii="宋体" w:eastAsia="宋体" w:hAnsi="宋体" w:cs="宋体"/>
          <w:kern w:val="0"/>
          <w:szCs w:val="21"/>
        </w:rPr>
        <w:t>）政府采购方式：</w:t>
      </w:r>
      <w:r>
        <w:rPr>
          <w:rFonts w:ascii="Wingdings" w:eastAsia="宋体" w:hAnsi="Wingdings" w:cs="宋体"/>
          <w:kern w:val="0"/>
          <w:szCs w:val="21"/>
        </w:rPr>
        <w:sym w:font="Wingdings" w:char="F0FE"/>
      </w:r>
      <w:r>
        <w:rPr>
          <w:rFonts w:ascii="宋体" w:eastAsia="宋体" w:hAnsi="宋体" w:cs="宋体"/>
          <w:kern w:val="0"/>
          <w:szCs w:val="21"/>
        </w:rPr>
        <w:t xml:space="preserve">公开招标 </w:t>
      </w:r>
      <w:r>
        <w:rPr>
          <w:rFonts w:ascii="Wingdings" w:eastAsia="宋体" w:hAnsi="Wingdings" w:cs="宋体"/>
          <w:kern w:val="0"/>
          <w:szCs w:val="21"/>
        </w:rPr>
        <w:sym w:font="Wingdings" w:char="F0A8"/>
      </w:r>
      <w:r>
        <w:rPr>
          <w:rFonts w:ascii="宋体" w:eastAsia="宋体" w:hAnsi="宋体" w:cs="宋体"/>
          <w:kern w:val="0"/>
          <w:szCs w:val="21"/>
        </w:rPr>
        <w:t xml:space="preserve">邀请招标 </w:t>
      </w:r>
      <w:r>
        <w:rPr>
          <w:rFonts w:ascii="Wingdings" w:eastAsia="宋体" w:hAnsi="Wingdings" w:cs="宋体"/>
          <w:kern w:val="0"/>
          <w:szCs w:val="21"/>
        </w:rPr>
        <w:sym w:font="Wingdings" w:char="F0A8"/>
      </w:r>
      <w:r>
        <w:rPr>
          <w:rFonts w:ascii="宋体" w:eastAsia="宋体" w:hAnsi="宋体" w:cs="宋体"/>
          <w:kern w:val="0"/>
          <w:szCs w:val="21"/>
        </w:rPr>
        <w:t xml:space="preserve">竞争性谈判 </w:t>
      </w:r>
      <w:r>
        <w:rPr>
          <w:rFonts w:ascii="Wingdings" w:eastAsia="宋体" w:hAnsi="Wingdings" w:cs="宋体"/>
          <w:kern w:val="0"/>
          <w:szCs w:val="21"/>
        </w:rPr>
        <w:sym w:font="Wingdings" w:char="F0A8"/>
      </w:r>
      <w:r>
        <w:rPr>
          <w:rFonts w:ascii="宋体" w:eastAsia="宋体" w:hAnsi="宋体" w:cs="宋体"/>
          <w:kern w:val="0"/>
          <w:szCs w:val="21"/>
        </w:rPr>
        <w:t>竞争性磋商</w:t>
      </w:r>
    </w:p>
    <w:p>
      <w:pPr>
        <w:widowControl/>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宋体" w:hAnsi="宋体" w:cs="宋体"/>
          <w:kern w:val="0"/>
          <w:sz w:val="22"/>
          <w:szCs w:val="21"/>
        </w:rPr>
        <w:t xml:space="preserve">                  </w:t>
      </w:r>
      <w:r>
        <w:rPr>
          <w:rFonts w:ascii="Wingdings" w:eastAsia="宋体" w:hAnsi="Wingdings" w:cs="宋体"/>
          <w:kern w:val="0"/>
          <w:szCs w:val="21"/>
        </w:rPr>
        <w:sym w:font="Wingdings" w:char="F0A8"/>
      </w:r>
      <w:r>
        <w:rPr>
          <w:rFonts w:ascii="宋体" w:eastAsia="宋体" w:hAnsi="宋体" w:cs="宋体"/>
          <w:kern w:val="0"/>
          <w:szCs w:val="21"/>
        </w:rPr>
        <w:t xml:space="preserve">询价 </w:t>
      </w:r>
      <w:r>
        <w:rPr>
          <w:rFonts w:ascii="Wingdings" w:eastAsia="宋体" w:hAnsi="Wingdings" w:cs="宋体"/>
          <w:kern w:val="0"/>
          <w:szCs w:val="21"/>
        </w:rPr>
        <w:sym w:font="Wingdings" w:char="F0A8"/>
      </w:r>
      <w:r>
        <w:rPr>
          <w:rFonts w:ascii="宋体" w:eastAsia="宋体" w:hAnsi="宋体" w:cs="宋体"/>
          <w:kern w:val="0"/>
          <w:szCs w:val="21"/>
        </w:rPr>
        <w:t xml:space="preserve">单一来源 </w:t>
      </w:r>
      <w:r>
        <w:rPr>
          <w:rFonts w:ascii="Wingdings" w:eastAsia="宋体" w:hAnsi="Wingdings" w:cs="宋体"/>
          <w:kern w:val="0"/>
          <w:szCs w:val="21"/>
        </w:rPr>
        <w:sym w:font="Wingdings" w:char="F0A8"/>
      </w:r>
      <w:r>
        <w:rPr>
          <w:rFonts w:ascii="宋体" w:eastAsia="宋体" w:hAnsi="宋体" w:cs="宋体"/>
          <w:kern w:val="0"/>
          <w:szCs w:val="21"/>
        </w:rPr>
        <w:t xml:space="preserve">框架协议 </w:t>
      </w:r>
      <w:r>
        <w:rPr>
          <w:rFonts w:ascii="Wingdings" w:eastAsia="宋体" w:hAnsi="Wingdings" w:cs="宋体"/>
          <w:kern w:val="0"/>
          <w:szCs w:val="21"/>
        </w:rPr>
        <w:sym w:font="Wingdings" w:char="F0A8"/>
      </w:r>
      <w:r>
        <w:rPr>
          <w:rFonts w:ascii="宋体" w:eastAsia="宋体" w:hAnsi="宋体" w:cs="宋体"/>
          <w:kern w:val="0"/>
          <w:szCs w:val="21"/>
        </w:rPr>
        <w:t>其他：</w:t>
      </w:r>
      <w:r>
        <w:rPr>
          <w:rFonts w:ascii="宋体" w:eastAsia="宋体" w:hAnsi="宋体" w:cs="宋体"/>
          <w:kern w:val="0"/>
          <w:szCs w:val="21"/>
          <w:u w:val="single"/>
        </w:rPr>
        <w:t xml:space="preserve">          </w:t>
      </w:r>
    </w:p>
    <w:p>
      <w:pPr>
        <w:widowControl/>
        <w:autoSpaceDE w:val="0"/>
        <w:autoSpaceDN w:val="0"/>
        <w:adjustRightInd w:val="0"/>
        <w:snapToGrid w:val="0"/>
        <w:spacing w:line="400" w:lineRule="exact"/>
        <w:ind w:firstLine="425" w:firstLineChars="193"/>
        <w:jc w:val="left"/>
        <w:rPr>
          <w:rFonts w:ascii="宋体" w:eastAsia="宋体" w:hAnsi="宋体"/>
          <w:szCs w:val="21"/>
        </w:rPr>
      </w:pPr>
      <w:r>
        <w:rPr>
          <w:rFonts w:ascii="宋体" w:eastAsia="宋体" w:hAnsi="宋体" w:cs="华文楷体"/>
          <w:kern w:val="0"/>
          <w:sz w:val="22"/>
          <w:szCs w:val="21"/>
        </w:rPr>
        <w:t>（</w:t>
      </w:r>
      <w:r>
        <w:rPr>
          <w:rFonts w:ascii="宋体" w:eastAsia="宋体" w:hAnsi="宋体" w:cs="华文楷体"/>
          <w:kern w:val="0"/>
          <w:sz w:val="22"/>
          <w:szCs w:val="21"/>
          <w:lang w:val="en"/>
        </w:rPr>
        <w:t>6</w:t>
      </w:r>
      <w:r>
        <w:rPr>
          <w:rFonts w:ascii="宋体" w:eastAsia="宋体" w:hAnsi="宋体" w:cs="华文楷体"/>
          <w:kern w:val="0"/>
          <w:sz w:val="22"/>
          <w:szCs w:val="21"/>
        </w:rPr>
        <w:t>）</w:t>
      </w:r>
      <w:r>
        <w:rPr>
          <w:rFonts w:ascii="宋体" w:eastAsia="宋体" w:hAnsi="宋体"/>
          <w:szCs w:val="21"/>
        </w:rPr>
        <w:t>中标（成交）采购标的制造商是否为中小企业：</w:t>
      </w:r>
      <w:r>
        <w:rPr>
          <w:rFonts w:ascii="Wingdings" w:eastAsia="宋体" w:hAnsi="Wingdings"/>
          <w:szCs w:val="21"/>
        </w:rPr>
        <w:sym w:font="Wingdings" w:char="F0A8"/>
      </w:r>
      <w:r>
        <w:rPr>
          <w:rFonts w:ascii="宋体" w:eastAsia="宋体" w:hAnsi="宋体"/>
          <w:szCs w:val="21"/>
        </w:rPr>
        <w:t xml:space="preserve">是      </w:t>
      </w:r>
      <w:r>
        <w:rPr>
          <w:rFonts w:ascii="Wingdings" w:eastAsia="宋体" w:hAnsi="Wingdings"/>
          <w:szCs w:val="21"/>
        </w:rPr>
        <w:sym w:font="Wingdings" w:char="F0A8"/>
      </w:r>
      <w:r>
        <w:rPr>
          <w:rFonts w:ascii="宋体" w:eastAsia="宋体" w:hAnsi="宋体"/>
          <w:szCs w:val="21"/>
        </w:rPr>
        <w:t>否</w:t>
      </w:r>
    </w:p>
    <w:p>
      <w:pPr>
        <w:adjustRightInd w:val="0"/>
        <w:snapToGrid w:val="0"/>
        <w:spacing w:line="400" w:lineRule="exact"/>
        <w:rPr>
          <w:rFonts w:ascii="宋体" w:eastAsia="宋体" w:hAnsi="宋体"/>
          <w:iCs/>
          <w:szCs w:val="21"/>
        </w:rPr>
      </w:pPr>
      <w:r>
        <w:rPr>
          <w:rFonts w:ascii="宋体" w:eastAsia="宋体" w:hAnsi="宋体"/>
          <w:szCs w:val="21"/>
        </w:rPr>
        <w:t xml:space="preserve">         本合同是否为专门面向中小企业的采购合同（中小企业预留合同）：</w:t>
      </w:r>
      <w:r>
        <w:rPr>
          <w:rFonts w:ascii="Wingdings" w:eastAsia="宋体" w:hAnsi="Wingdings"/>
          <w:iCs/>
          <w:szCs w:val="21"/>
        </w:rPr>
        <w:sym w:font="Wingdings" w:char="F0A8"/>
      </w:r>
      <w:r>
        <w:rPr>
          <w:rFonts w:ascii="宋体" w:eastAsia="宋体" w:hAnsi="宋体"/>
          <w:iCs/>
          <w:szCs w:val="21"/>
        </w:rPr>
        <w:t xml:space="preserve">是    </w:t>
      </w:r>
      <w:r>
        <w:rPr>
          <w:rFonts w:ascii="Wingdings" w:eastAsia="宋体" w:hAnsi="Wingdings"/>
          <w:iCs/>
          <w:szCs w:val="21"/>
        </w:rPr>
        <w:sym w:font="Wingdings" w:char="F0A8"/>
      </w:r>
      <w:r>
        <w:rPr>
          <w:rFonts w:ascii="宋体" w:eastAsia="宋体" w:hAnsi="宋体"/>
          <w:iCs/>
          <w:szCs w:val="21"/>
        </w:rPr>
        <w:t>否</w:t>
      </w:r>
    </w:p>
    <w:p>
      <w:pPr>
        <w:adjustRightInd w:val="0"/>
        <w:snapToGrid w:val="0"/>
        <w:spacing w:line="400" w:lineRule="exact"/>
        <w:rPr>
          <w:rFonts w:ascii="宋体" w:eastAsia="宋体" w:hAnsi="宋体"/>
          <w:iCs/>
          <w:szCs w:val="21"/>
        </w:rPr>
      </w:pPr>
      <w:r>
        <w:rPr>
          <w:rFonts w:ascii="宋体" w:eastAsia="宋体" w:hAnsi="宋体"/>
          <w:szCs w:val="20"/>
        </w:rPr>
        <w:t xml:space="preserve">         若本项目不专门面向中小企业采购，是否给予小微企业评审优惠：</w:t>
      </w:r>
      <w:r>
        <w:rPr>
          <w:rFonts w:ascii="Wingdings" w:eastAsia="宋体" w:hAnsi="Wingdings"/>
          <w:iCs/>
          <w:szCs w:val="21"/>
        </w:rPr>
        <w:sym w:font="Wingdings" w:char="F0A8"/>
      </w:r>
      <w:r>
        <w:rPr>
          <w:rFonts w:ascii="宋体" w:eastAsia="宋体" w:hAnsi="宋体"/>
          <w:iCs/>
          <w:szCs w:val="21"/>
        </w:rPr>
        <w:t xml:space="preserve">是   </w:t>
      </w:r>
      <w:r>
        <w:rPr>
          <w:rFonts w:ascii="Wingdings" w:eastAsia="宋体" w:hAnsi="Wingdings"/>
          <w:iCs/>
          <w:szCs w:val="21"/>
        </w:rPr>
        <w:sym w:font="Wingdings" w:char="F0A8"/>
      </w:r>
      <w:r>
        <w:rPr>
          <w:rFonts w:ascii="宋体" w:eastAsia="宋体" w:hAnsi="宋体"/>
          <w:iCs/>
          <w:szCs w:val="21"/>
        </w:rPr>
        <w:t>否</w:t>
      </w:r>
    </w:p>
    <w:p>
      <w:pPr>
        <w:adjustRightInd w:val="0"/>
        <w:snapToGrid w:val="0"/>
        <w:spacing w:line="400" w:lineRule="exact"/>
        <w:rPr>
          <w:rFonts w:ascii="宋体" w:eastAsia="宋体" w:hAnsi="宋体"/>
          <w:iCs/>
          <w:szCs w:val="21"/>
        </w:rPr>
      </w:pPr>
      <w:r>
        <w:rPr>
          <w:rFonts w:ascii="宋体" w:eastAsia="宋体" w:hAnsi="宋体"/>
          <w:szCs w:val="20"/>
        </w:rPr>
        <w:t xml:space="preserve">         中标（成交）采购标的制造商是否为残疾人福利性单位：</w:t>
      </w:r>
      <w:r>
        <w:rPr>
          <w:rFonts w:ascii="Wingdings" w:eastAsia="宋体" w:hAnsi="Wingdings"/>
          <w:iCs/>
          <w:szCs w:val="21"/>
        </w:rPr>
        <w:sym w:font="Wingdings" w:char="F0A8"/>
      </w:r>
      <w:r>
        <w:rPr>
          <w:rFonts w:ascii="宋体" w:eastAsia="宋体" w:hAnsi="宋体"/>
          <w:iCs/>
          <w:szCs w:val="21"/>
        </w:rPr>
        <w:t xml:space="preserve">是   </w:t>
      </w:r>
      <w:r>
        <w:rPr>
          <w:rFonts w:ascii="Wingdings" w:eastAsia="宋体" w:hAnsi="Wingdings" w:cs="宋体"/>
          <w:szCs w:val="20"/>
        </w:rPr>
        <w:sym w:font="Wingdings" w:char="F0A8"/>
      </w:r>
      <w:r>
        <w:rPr>
          <w:rFonts w:ascii="宋体" w:eastAsia="宋体" w:hAnsi="宋体"/>
          <w:iCs/>
          <w:szCs w:val="21"/>
        </w:rPr>
        <w:t>否</w:t>
      </w:r>
    </w:p>
    <w:p>
      <w:pPr>
        <w:snapToGrid w:val="0"/>
        <w:spacing w:line="400" w:lineRule="exact"/>
        <w:rPr>
          <w:rFonts w:ascii="宋体" w:eastAsia="宋体" w:hAnsi="宋体"/>
          <w:szCs w:val="20"/>
        </w:rPr>
      </w:pPr>
      <w:r>
        <w:rPr>
          <w:rFonts w:ascii="宋体" w:eastAsia="宋体" w:hAnsi="宋体"/>
          <w:szCs w:val="20"/>
        </w:rPr>
        <w:t xml:space="preserve">         中标（成交）采购标的制造商是否为监狱企业：</w:t>
      </w:r>
      <w:r>
        <w:rPr>
          <w:rFonts w:ascii="Wingdings" w:eastAsia="宋体" w:hAnsi="Wingdings"/>
          <w:iCs/>
          <w:szCs w:val="21"/>
        </w:rPr>
        <w:sym w:font="Wingdings" w:char="F0A8"/>
      </w:r>
      <w:r>
        <w:rPr>
          <w:rFonts w:ascii="宋体" w:eastAsia="宋体" w:hAnsi="宋体"/>
          <w:iCs/>
          <w:szCs w:val="21"/>
        </w:rPr>
        <w:t xml:space="preserve">是       </w:t>
      </w:r>
      <w:r>
        <w:rPr>
          <w:rFonts w:ascii="Wingdings" w:eastAsia="宋体" w:hAnsi="Wingdings" w:cs="宋体"/>
          <w:szCs w:val="20"/>
        </w:rPr>
        <w:sym w:font="Wingdings" w:char="F0A8"/>
      </w:r>
      <w:r>
        <w:rPr>
          <w:rFonts w:ascii="宋体" w:eastAsia="宋体" w:hAnsi="宋体"/>
          <w:iCs/>
          <w:szCs w:val="21"/>
        </w:rPr>
        <w:t>否</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w:t>
      </w:r>
      <w:r>
        <w:rPr>
          <w:rFonts w:ascii="宋体" w:eastAsia="宋体" w:hAnsi="宋体"/>
          <w:szCs w:val="21"/>
          <w:lang w:val="en"/>
        </w:rPr>
        <w:t>7</w:t>
      </w:r>
      <w:r>
        <w:rPr>
          <w:rFonts w:ascii="宋体" w:eastAsia="宋体" w:hAnsi="宋体"/>
          <w:szCs w:val="21"/>
        </w:rPr>
        <w:t>）合同是否分包：</w:t>
      </w:r>
      <w:r>
        <w:rPr>
          <w:rFonts w:ascii="Wingdings" w:eastAsia="宋体" w:hAnsi="Wingdings"/>
          <w:iCs/>
          <w:szCs w:val="21"/>
        </w:rPr>
        <w:sym w:font="Wingdings" w:char="F0A8"/>
      </w:r>
      <w:r>
        <w:rPr>
          <w:rFonts w:ascii="宋体" w:eastAsia="宋体" w:hAnsi="宋体"/>
          <w:iCs/>
          <w:szCs w:val="21"/>
        </w:rPr>
        <w:t xml:space="preserve">是       </w:t>
      </w:r>
      <w:r>
        <w:rPr>
          <w:rFonts w:ascii="Wingdings" w:eastAsia="宋体" w:hAnsi="Wingdings" w:cs="宋体"/>
          <w:szCs w:val="20"/>
        </w:rPr>
        <w:sym w:font="Wingdings" w:char="F0A8"/>
      </w:r>
      <w:r>
        <w:rPr>
          <w:rFonts w:ascii="宋体" w:eastAsia="宋体" w:hAnsi="宋体"/>
          <w:iCs/>
          <w:szCs w:val="21"/>
        </w:rPr>
        <w:t>否</w:t>
      </w:r>
    </w:p>
    <w:p>
      <w:pPr>
        <w:adjustRightInd w:val="0"/>
        <w:snapToGrid w:val="0"/>
        <w:spacing w:line="400" w:lineRule="exact"/>
        <w:ind w:firstLine="424" w:firstLineChars="202"/>
        <w:rPr>
          <w:rFonts w:ascii="宋体" w:eastAsia="宋体" w:hAnsi="宋体" w:cs="宋体"/>
          <w:iCs/>
          <w:szCs w:val="21"/>
        </w:rPr>
      </w:pPr>
      <w:r>
        <w:rPr>
          <w:rFonts w:ascii="宋体" w:eastAsia="宋体" w:hAnsi="宋体" w:cs="宋体"/>
          <w:szCs w:val="21"/>
        </w:rPr>
        <w:t>（</w:t>
      </w:r>
      <w:r>
        <w:rPr>
          <w:rFonts w:ascii="宋体" w:eastAsia="宋体" w:hAnsi="宋体" w:cs="宋体"/>
          <w:szCs w:val="21"/>
          <w:lang w:val="en"/>
        </w:rPr>
        <w:t>8</w:t>
      </w:r>
      <w:r>
        <w:rPr>
          <w:rFonts w:ascii="宋体" w:eastAsia="宋体" w:hAnsi="宋体" w:cs="宋体"/>
          <w:szCs w:val="21"/>
        </w:rPr>
        <w:t>）中标（成交）供应商是否为外商投资企业：</w:t>
      </w:r>
      <w:r>
        <w:rPr>
          <w:rFonts w:ascii="Wingdings" w:eastAsia="宋体" w:hAnsi="Wingdings" w:cs="宋体"/>
          <w:iCs/>
          <w:szCs w:val="21"/>
        </w:rPr>
        <w:sym w:font="Wingdings" w:char="F0A8"/>
      </w:r>
      <w:r>
        <w:rPr>
          <w:rFonts w:ascii="宋体" w:eastAsia="宋体" w:hAnsi="宋体" w:cs="宋体"/>
          <w:iCs/>
          <w:szCs w:val="21"/>
        </w:rPr>
        <w:t xml:space="preserve">是       </w:t>
      </w:r>
      <w:r>
        <w:rPr>
          <w:rFonts w:ascii="Wingdings" w:eastAsia="宋体" w:hAnsi="Wingdings" w:cs="宋体"/>
          <w:szCs w:val="20"/>
        </w:rPr>
        <w:sym w:font="Wingdings" w:char="F0A8"/>
      </w:r>
      <w:r>
        <w:rPr>
          <w:rFonts w:ascii="宋体" w:eastAsia="宋体" w:hAnsi="宋体" w:cs="宋体"/>
          <w:iCs/>
          <w:szCs w:val="21"/>
        </w:rPr>
        <w:t>否</w:t>
      </w:r>
    </w:p>
    <w:p>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iCs/>
          <w:kern w:val="0"/>
          <w:szCs w:val="21"/>
        </w:rPr>
        <w:t>部分由外国投资者投资</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szCs w:val="21"/>
        </w:rPr>
        <w:t>（</w:t>
      </w:r>
      <w:r>
        <w:rPr>
          <w:rFonts w:ascii="宋体" w:eastAsia="宋体" w:hAnsi="宋体" w:cs="宋体"/>
          <w:szCs w:val="21"/>
          <w:lang w:val="en"/>
        </w:rPr>
        <w:t>9</w:t>
      </w:r>
      <w:r>
        <w:rPr>
          <w:rFonts w:ascii="宋体" w:eastAsia="宋体" w:hAnsi="宋体" w:cs="宋体"/>
          <w:szCs w:val="21"/>
        </w:rPr>
        <w:t>）是否涉及进口产品：</w:t>
      </w:r>
    </w:p>
    <w:p>
      <w:p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szCs w:val="21"/>
        </w:rPr>
        <w:t xml:space="preserve"> </w:t>
      </w:r>
      <w:r>
        <w:rPr>
          <w:rFonts w:ascii="Wingdings" w:eastAsia="宋体" w:hAnsi="Wingdings" w:cs="宋体"/>
          <w:szCs w:val="21"/>
        </w:rPr>
        <w:sym w:font="Wingdings" w:char="F0A8"/>
      </w:r>
      <w:r>
        <w:rPr>
          <w:rFonts w:ascii="宋体" w:eastAsia="宋体" w:hAnsi="宋体" w:cs="宋体"/>
          <w:szCs w:val="21"/>
        </w:rPr>
        <w:t>是，《政府采购品目分类目录》底级品目名称：</w:t>
      </w:r>
      <w:r>
        <w:rPr>
          <w:rFonts w:ascii="宋体" w:eastAsia="宋体" w:hAnsi="宋体" w:cs="宋体"/>
          <w:szCs w:val="21"/>
          <w:u w:val="single"/>
        </w:rPr>
        <w:t xml:space="preserve">         </w:t>
      </w:r>
      <w:r>
        <w:rPr>
          <w:rFonts w:ascii="宋体" w:eastAsia="宋体" w:hAnsi="宋体" w:cs="宋体"/>
          <w:szCs w:val="21"/>
        </w:rPr>
        <w:t xml:space="preserve"> 金额：</w:t>
      </w:r>
      <w:r>
        <w:rPr>
          <w:rFonts w:ascii="宋体" w:eastAsia="宋体" w:hAnsi="宋体" w:cs="宋体"/>
          <w:szCs w:val="21"/>
          <w:u w:val="single"/>
        </w:rPr>
        <w:t xml:space="preserve">        </w:t>
      </w:r>
    </w:p>
    <w:p>
      <w:pPr>
        <w:adjustRightInd w:val="0"/>
        <w:snapToGrid w:val="0"/>
        <w:spacing w:line="400" w:lineRule="exact"/>
        <w:ind w:firstLine="840" w:firstLineChars="400"/>
        <w:rPr>
          <w:rFonts w:ascii="宋体" w:eastAsia="宋体" w:hAnsi="宋体"/>
          <w:szCs w:val="21"/>
        </w:rPr>
      </w:pPr>
      <w:r>
        <w:rPr>
          <w:rFonts w:ascii="宋体" w:eastAsia="宋体" w:hAnsi="宋体" w:cs="宋体"/>
          <w:szCs w:val="21"/>
        </w:rPr>
        <w:t xml:space="preserve">        国别：</w:t>
      </w:r>
      <w:r>
        <w:rPr>
          <w:rFonts w:ascii="宋体" w:eastAsia="宋体" w:hAnsi="宋体" w:cs="宋体"/>
          <w:szCs w:val="21"/>
          <w:u w:val="single"/>
        </w:rPr>
        <w:t xml:space="preserve">        </w:t>
      </w:r>
      <w:r>
        <w:rPr>
          <w:rFonts w:ascii="宋体" w:eastAsia="宋体" w:hAnsi="宋体" w:cs="宋体"/>
          <w:szCs w:val="21"/>
        </w:rPr>
        <w:t xml:space="preserve"> 品牌：</w:t>
      </w:r>
      <w:r>
        <w:rPr>
          <w:rFonts w:ascii="宋体" w:eastAsia="宋体" w:hAnsi="宋体" w:cs="宋体"/>
          <w:szCs w:val="21"/>
          <w:u w:val="single"/>
        </w:rPr>
        <w:t xml:space="preserve">        </w:t>
      </w:r>
      <w:r>
        <w:rPr>
          <w:rFonts w:ascii="宋体" w:eastAsia="宋体" w:hAnsi="宋体" w:cs="宋体"/>
          <w:szCs w:val="21"/>
        </w:rPr>
        <w:t xml:space="preserve"> 规格型号：</w:t>
      </w:r>
      <w:r>
        <w:rPr>
          <w:rFonts w:ascii="宋体" w:eastAsia="宋体" w:hAnsi="宋体" w:cs="宋体"/>
          <w:szCs w:val="21"/>
          <w:u w:val="single"/>
        </w:rPr>
        <w:t xml:space="preserve">        </w:t>
      </w:r>
      <w:r>
        <w:rPr>
          <w:rFonts w:ascii="宋体" w:eastAsia="宋体" w:hAnsi="宋体"/>
          <w:szCs w:val="21"/>
        </w:rPr>
        <w:t xml:space="preserve">      </w:t>
      </w:r>
    </w:p>
    <w:p>
      <w:pPr>
        <w:adjustRightInd w:val="0"/>
        <w:snapToGrid w:val="0"/>
        <w:spacing w:line="400" w:lineRule="exact"/>
        <w:ind w:firstLine="840" w:firstLineChars="400"/>
        <w:rPr>
          <w:rFonts w:ascii="宋体" w:eastAsia="宋体" w:hAnsi="宋体"/>
          <w:szCs w:val="21"/>
        </w:rPr>
      </w:pPr>
      <w:r>
        <w:rPr>
          <w:rFonts w:ascii="宋体" w:eastAsia="宋体" w:hAnsi="宋体"/>
          <w:szCs w:val="21"/>
        </w:rPr>
        <w:t xml:space="preserve"> </w:t>
      </w:r>
      <w:r>
        <w:rPr>
          <w:rFonts w:ascii="Wingdings" w:eastAsia="宋体" w:hAnsi="Wingdings" w:cs="宋体"/>
          <w:szCs w:val="20"/>
        </w:rPr>
        <w:sym w:font="Wingdings" w:char="F0FE"/>
      </w:r>
      <w:r>
        <w:rPr>
          <w:rFonts w:ascii="宋体" w:eastAsia="宋体" w:hAnsi="宋体"/>
          <w:szCs w:val="21"/>
        </w:rPr>
        <w:t>否</w:t>
      </w:r>
    </w:p>
    <w:p>
      <w:pPr>
        <w:tabs>
          <w:tab w:val="left" w:pos="740"/>
        </w:tabs>
        <w:adjustRightInd w:val="0"/>
        <w:snapToGrid w:val="0"/>
        <w:spacing w:line="400" w:lineRule="exact"/>
        <w:rPr>
          <w:rFonts w:ascii="宋体" w:eastAsia="宋体" w:hAnsi="宋体"/>
          <w:szCs w:val="21"/>
        </w:rPr>
      </w:pPr>
      <w:r>
        <w:rPr>
          <w:rFonts w:ascii="宋体" w:eastAsia="宋体" w:hAnsi="宋体"/>
          <w:szCs w:val="21"/>
        </w:rPr>
        <w:t xml:space="preserve">    （1</w:t>
      </w:r>
      <w:r>
        <w:rPr>
          <w:rFonts w:ascii="宋体" w:eastAsia="宋体" w:hAnsi="宋体"/>
          <w:szCs w:val="21"/>
          <w:lang w:val="en"/>
        </w:rPr>
        <w:t>0</w:t>
      </w:r>
      <w:r>
        <w:rPr>
          <w:rFonts w:ascii="宋体" w:eastAsia="宋体" w:hAnsi="宋体"/>
          <w:szCs w:val="21"/>
        </w:rPr>
        <w:t>）是否涉及节能产品：</w:t>
      </w:r>
    </w:p>
    <w:p>
      <w:pPr>
        <w:tabs>
          <w:tab w:val="left" w:pos="740"/>
        </w:tabs>
        <w:adjustRightInd w:val="0"/>
        <w:snapToGrid w:val="0"/>
        <w:spacing w:line="400" w:lineRule="exact"/>
        <w:rPr>
          <w:rFonts w:ascii="宋体" w:eastAsia="宋体" w:hAnsi="宋体"/>
          <w:iCs/>
          <w:szCs w:val="21"/>
        </w:rPr>
      </w:pPr>
      <w:r>
        <w:rPr>
          <w:rFonts w:ascii="宋体" w:eastAsia="宋体" w:hAnsi="宋体"/>
          <w:szCs w:val="21"/>
        </w:rPr>
        <w:t xml:space="preserve">         </w:t>
      </w:r>
      <w:r>
        <w:rPr>
          <w:rFonts w:ascii="Wingdings" w:eastAsia="宋体" w:hAnsi="Wingdings"/>
          <w:szCs w:val="21"/>
        </w:rPr>
        <w:sym w:font="Wingdings" w:char="F0A8"/>
      </w:r>
      <w:r>
        <w:rPr>
          <w:rFonts w:ascii="宋体" w:eastAsia="宋体" w:hAnsi="宋体"/>
          <w:szCs w:val="21"/>
        </w:rPr>
        <w:t>是，《节能产品政府采购品目清单》的底级品目名称：</w:t>
      </w:r>
      <w:r>
        <w:rPr>
          <w:rFonts w:ascii="宋体" w:eastAsia="宋体" w:hAnsi="宋体"/>
          <w:szCs w:val="21"/>
          <w:u w:val="single"/>
        </w:rPr>
        <w:t xml:space="preserve">         </w:t>
      </w:r>
    </w:p>
    <w:p>
      <w:pPr>
        <w:tabs>
          <w:tab w:val="left" w:pos="740"/>
        </w:tabs>
        <w:adjustRightInd w:val="0"/>
        <w:snapToGrid w:val="0"/>
        <w:spacing w:line="400" w:lineRule="exact"/>
        <w:rPr>
          <w:rFonts w:ascii="宋体" w:eastAsia="宋体" w:hAnsi="宋体"/>
          <w:iCs/>
          <w:szCs w:val="21"/>
        </w:rPr>
      </w:pPr>
      <w:r>
        <w:rPr>
          <w:rFonts w:ascii="宋体" w:eastAsia="宋体" w:hAnsi="宋体"/>
          <w:iCs/>
          <w:szCs w:val="21"/>
        </w:rPr>
        <w:t xml:space="preserve">                </w:t>
      </w:r>
      <w:r>
        <w:rPr>
          <w:rFonts w:ascii="Wingdings" w:eastAsia="宋体" w:hAnsi="Wingdings"/>
          <w:iCs/>
          <w:szCs w:val="21"/>
        </w:rPr>
        <w:sym w:font="Wingdings" w:char="F0A8"/>
      </w:r>
      <w:r>
        <w:rPr>
          <w:rFonts w:ascii="宋体" w:eastAsia="宋体" w:hAnsi="宋体"/>
          <w:iCs/>
          <w:szCs w:val="21"/>
        </w:rPr>
        <w:t xml:space="preserve">强制采购       </w:t>
      </w:r>
      <w:r>
        <w:rPr>
          <w:rFonts w:ascii="Wingdings" w:eastAsia="宋体" w:hAnsi="Wingdings"/>
          <w:iCs/>
          <w:szCs w:val="21"/>
        </w:rPr>
        <w:sym w:font="Wingdings" w:char="F0A8"/>
      </w:r>
      <w:r>
        <w:rPr>
          <w:rFonts w:ascii="宋体" w:eastAsia="宋体" w:hAnsi="宋体"/>
          <w:iCs/>
          <w:szCs w:val="21"/>
        </w:rPr>
        <w:t xml:space="preserve">优先采购    </w:t>
      </w:r>
    </w:p>
    <w:p>
      <w:pPr>
        <w:tabs>
          <w:tab w:val="left" w:pos="740"/>
        </w:tabs>
        <w:adjustRightInd w:val="0"/>
        <w:snapToGrid w:val="0"/>
        <w:spacing w:line="400" w:lineRule="exact"/>
        <w:rPr>
          <w:rFonts w:ascii="宋体" w:eastAsia="宋体" w:hAnsi="宋体"/>
          <w:szCs w:val="21"/>
        </w:rPr>
      </w:pPr>
      <w:r>
        <w:rPr>
          <w:rFonts w:ascii="宋体" w:eastAsia="宋体" w:hAnsi="宋体"/>
          <w:iCs/>
          <w:szCs w:val="21"/>
        </w:rPr>
        <w:t xml:space="preserve">         </w:t>
      </w:r>
      <w:r>
        <w:rPr>
          <w:rFonts w:ascii="Wingdings" w:eastAsia="宋体" w:hAnsi="Wingdings" w:cs="宋体"/>
          <w:szCs w:val="20"/>
        </w:rPr>
        <w:sym w:font="Wingdings" w:char="F0A8"/>
      </w:r>
      <w:r>
        <w:rPr>
          <w:rFonts w:ascii="宋体" w:eastAsia="宋体" w:hAnsi="宋体"/>
          <w:szCs w:val="21"/>
        </w:rPr>
        <w:t>否</w:t>
      </w:r>
    </w:p>
    <w:p>
      <w:pPr>
        <w:tabs>
          <w:tab w:val="left" w:pos="740"/>
        </w:tabs>
        <w:adjustRightInd w:val="0"/>
        <w:snapToGrid w:val="0"/>
        <w:spacing w:line="400" w:lineRule="exact"/>
        <w:rPr>
          <w:rFonts w:ascii="宋体" w:eastAsia="宋体" w:hAnsi="宋体"/>
          <w:szCs w:val="21"/>
        </w:rPr>
      </w:pPr>
      <w:r>
        <w:rPr>
          <w:rFonts w:ascii="宋体" w:eastAsia="宋体" w:hAnsi="宋体"/>
          <w:szCs w:val="21"/>
        </w:rPr>
        <w:t xml:space="preserve">          是否涉及环境标志产品：</w:t>
      </w:r>
    </w:p>
    <w:p>
      <w:pPr>
        <w:tabs>
          <w:tab w:val="left" w:pos="740"/>
        </w:tabs>
        <w:adjustRightInd w:val="0"/>
        <w:snapToGrid w:val="0"/>
        <w:spacing w:line="400" w:lineRule="exact"/>
        <w:rPr>
          <w:rFonts w:ascii="宋体" w:eastAsia="宋体" w:hAnsi="宋体"/>
          <w:szCs w:val="21"/>
        </w:rPr>
      </w:pPr>
      <w:r>
        <w:rPr>
          <w:rFonts w:ascii="宋体" w:eastAsia="宋体" w:hAnsi="宋体"/>
          <w:szCs w:val="21"/>
        </w:rPr>
        <w:t xml:space="preserve">         </w:t>
      </w:r>
      <w:r>
        <w:rPr>
          <w:rFonts w:ascii="Wingdings" w:eastAsia="宋体" w:hAnsi="Wingdings"/>
          <w:szCs w:val="21"/>
        </w:rPr>
        <w:sym w:font="Wingdings" w:char="F0A8"/>
      </w:r>
      <w:r>
        <w:rPr>
          <w:rFonts w:ascii="宋体" w:eastAsia="宋体" w:hAnsi="宋体"/>
          <w:szCs w:val="21"/>
        </w:rPr>
        <w:t>是，《环境标志产品政府采购品目清单》的底级品目名称：</w:t>
      </w:r>
      <w:r>
        <w:rPr>
          <w:rFonts w:ascii="宋体" w:eastAsia="宋体" w:hAnsi="宋体"/>
          <w:szCs w:val="21"/>
          <w:u w:val="single"/>
        </w:rPr>
        <w:t xml:space="preserve">         </w:t>
      </w:r>
      <w:r>
        <w:rPr>
          <w:rFonts w:ascii="宋体" w:eastAsia="宋体" w:hAnsi="宋体"/>
          <w:iCs/>
          <w:szCs w:val="21"/>
        </w:rPr>
        <w:t xml:space="preserve"> </w:t>
      </w:r>
    </w:p>
    <w:p>
      <w:pPr>
        <w:tabs>
          <w:tab w:val="left" w:pos="740"/>
        </w:tabs>
        <w:adjustRightInd w:val="0"/>
        <w:snapToGrid w:val="0"/>
        <w:spacing w:line="400" w:lineRule="exact"/>
        <w:rPr>
          <w:rFonts w:ascii="宋体" w:eastAsia="宋体" w:hAnsi="宋体"/>
          <w:iCs/>
          <w:szCs w:val="21"/>
        </w:rPr>
      </w:pPr>
      <w:r>
        <w:rPr>
          <w:rFonts w:ascii="宋体" w:eastAsia="宋体" w:hAnsi="宋体"/>
          <w:iCs/>
          <w:szCs w:val="21"/>
        </w:rPr>
        <w:t xml:space="preserve">                </w:t>
      </w:r>
      <w:r>
        <w:rPr>
          <w:rFonts w:ascii="Wingdings" w:eastAsia="宋体" w:hAnsi="Wingdings"/>
          <w:iCs/>
          <w:szCs w:val="21"/>
        </w:rPr>
        <w:sym w:font="Wingdings" w:char="F0A8"/>
      </w:r>
      <w:r>
        <w:rPr>
          <w:rFonts w:ascii="宋体" w:eastAsia="宋体" w:hAnsi="宋体"/>
          <w:iCs/>
          <w:szCs w:val="21"/>
        </w:rPr>
        <w:t xml:space="preserve">强制采购       </w:t>
      </w:r>
      <w:r>
        <w:rPr>
          <w:rFonts w:ascii="Wingdings" w:eastAsia="宋体" w:hAnsi="Wingdings"/>
          <w:iCs/>
          <w:szCs w:val="21"/>
        </w:rPr>
        <w:sym w:font="Wingdings" w:char="F0A8"/>
      </w:r>
      <w:r>
        <w:rPr>
          <w:rFonts w:ascii="宋体" w:eastAsia="宋体" w:hAnsi="宋体"/>
          <w:iCs/>
          <w:szCs w:val="21"/>
        </w:rPr>
        <w:t xml:space="preserve">优先采购    </w:t>
      </w:r>
    </w:p>
    <w:p>
      <w:pPr>
        <w:tabs>
          <w:tab w:val="left" w:pos="740"/>
        </w:tabs>
        <w:adjustRightInd w:val="0"/>
        <w:snapToGrid w:val="0"/>
        <w:spacing w:line="400" w:lineRule="exact"/>
        <w:rPr>
          <w:rFonts w:ascii="宋体" w:eastAsia="宋体" w:hAnsi="宋体"/>
          <w:szCs w:val="21"/>
        </w:rPr>
      </w:pPr>
      <w:r>
        <w:rPr>
          <w:rFonts w:ascii="宋体" w:eastAsia="宋体" w:hAnsi="宋体"/>
          <w:iCs/>
          <w:szCs w:val="21"/>
        </w:rPr>
        <w:t xml:space="preserve">         </w:t>
      </w:r>
      <w:r>
        <w:rPr>
          <w:rFonts w:ascii="Wingdings" w:eastAsia="宋体" w:hAnsi="Wingdings" w:cs="宋体"/>
          <w:szCs w:val="20"/>
        </w:rPr>
        <w:sym w:font="Wingdings" w:char="F0A8"/>
      </w:r>
      <w:r>
        <w:rPr>
          <w:rFonts w:ascii="宋体" w:eastAsia="宋体" w:hAnsi="宋体"/>
          <w:szCs w:val="21"/>
        </w:rPr>
        <w:t>否</w:t>
      </w:r>
    </w:p>
    <w:p>
      <w:pPr>
        <w:widowControl/>
        <w:autoSpaceDE w:val="0"/>
        <w:autoSpaceDN w:val="0"/>
        <w:adjustRightInd w:val="0"/>
        <w:snapToGrid w:val="0"/>
        <w:spacing w:line="400" w:lineRule="exact"/>
        <w:jc w:val="left"/>
        <w:rPr>
          <w:rFonts w:ascii="宋体" w:eastAsia="宋体" w:hAnsi="宋体"/>
          <w:szCs w:val="21"/>
        </w:rPr>
      </w:pPr>
      <w:r>
        <w:rPr>
          <w:rFonts w:ascii="宋体" w:eastAsia="宋体" w:hAnsi="宋体" w:cs="华文楷体"/>
          <w:kern w:val="0"/>
          <w:szCs w:val="21"/>
        </w:rPr>
        <w:t xml:space="preserve">          </w:t>
      </w:r>
      <w:r>
        <w:rPr>
          <w:rFonts w:ascii="宋体" w:eastAsia="宋体" w:hAnsi="宋体"/>
          <w:szCs w:val="21"/>
        </w:rPr>
        <w:t xml:space="preserve">是否涉及绿色产品： </w:t>
      </w:r>
    </w:p>
    <w:p>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szCs w:val="21"/>
        </w:rPr>
        <w:t xml:space="preserve">     </w:t>
      </w:r>
      <w:r>
        <w:rPr>
          <w:rFonts w:ascii="Wingdings" w:eastAsia="宋体" w:hAnsi="Wingdings"/>
          <w:szCs w:val="21"/>
        </w:rPr>
        <w:sym w:font="Wingdings" w:char="F0A8"/>
      </w:r>
      <w:r>
        <w:rPr>
          <w:rFonts w:ascii="宋体" w:eastAsia="宋体" w:hAnsi="宋体"/>
          <w:szCs w:val="21"/>
        </w:rPr>
        <w:t>是，绿色产品政府采购相关政策确定的底级品目名称：</w:t>
      </w:r>
      <w:r>
        <w:rPr>
          <w:rFonts w:ascii="宋体" w:eastAsia="宋体" w:hAnsi="宋体" w:cs="华文楷体"/>
          <w:kern w:val="0"/>
          <w:sz w:val="22"/>
          <w:szCs w:val="21"/>
          <w:u w:val="single"/>
        </w:rPr>
        <w:t xml:space="preserve">         </w:t>
      </w:r>
    </w:p>
    <w:p>
      <w:pPr>
        <w:tabs>
          <w:tab w:val="left" w:pos="740"/>
        </w:tabs>
        <w:adjustRightInd w:val="0"/>
        <w:snapToGrid w:val="0"/>
        <w:spacing w:line="400" w:lineRule="exact"/>
        <w:rPr>
          <w:rFonts w:ascii="宋体" w:eastAsia="宋体" w:hAnsi="宋体"/>
          <w:iCs/>
          <w:szCs w:val="21"/>
        </w:rPr>
      </w:pPr>
      <w:r>
        <w:rPr>
          <w:rFonts w:ascii="宋体" w:eastAsia="宋体" w:hAnsi="宋体"/>
          <w:iCs/>
          <w:szCs w:val="21"/>
        </w:rPr>
        <w:t xml:space="preserve">                </w:t>
      </w:r>
      <w:r>
        <w:rPr>
          <w:rFonts w:ascii="Wingdings" w:eastAsia="宋体" w:hAnsi="Wingdings"/>
          <w:iCs/>
          <w:szCs w:val="21"/>
        </w:rPr>
        <w:sym w:font="Wingdings" w:char="F0A8"/>
      </w:r>
      <w:r>
        <w:rPr>
          <w:rFonts w:ascii="宋体" w:eastAsia="宋体" w:hAnsi="宋体"/>
          <w:iCs/>
          <w:szCs w:val="21"/>
        </w:rPr>
        <w:t xml:space="preserve">强制采购       </w:t>
      </w:r>
      <w:r>
        <w:rPr>
          <w:rFonts w:ascii="Wingdings" w:eastAsia="宋体" w:hAnsi="Wingdings"/>
          <w:iCs/>
          <w:szCs w:val="21"/>
        </w:rPr>
        <w:sym w:font="Wingdings" w:char="F0A8"/>
      </w:r>
      <w:r>
        <w:rPr>
          <w:rFonts w:ascii="宋体" w:eastAsia="宋体" w:hAnsi="宋体"/>
          <w:iCs/>
          <w:szCs w:val="21"/>
        </w:rPr>
        <w:t xml:space="preserve">优先采购    </w:t>
      </w:r>
    </w:p>
    <w:p>
      <w:pPr>
        <w:widowControl/>
        <w:autoSpaceDE w:val="0"/>
        <w:autoSpaceDN w:val="0"/>
        <w:adjustRightInd w:val="0"/>
        <w:spacing w:line="400" w:lineRule="exact"/>
        <w:ind w:firstLine="420"/>
        <w:jc w:val="left"/>
        <w:rPr>
          <w:rFonts w:ascii="宋体" w:eastAsia="宋体" w:hAnsi="宋体" w:cs="华文楷体"/>
          <w:kern w:val="0"/>
          <w:szCs w:val="21"/>
        </w:rPr>
      </w:pPr>
      <w:r>
        <w:rPr>
          <w:rFonts w:ascii="宋体" w:eastAsia="宋体" w:hAnsi="宋体"/>
          <w:szCs w:val="21"/>
        </w:rPr>
        <w:t xml:space="preserve">     </w:t>
      </w:r>
      <w:r>
        <w:rPr>
          <w:rFonts w:ascii="Wingdings" w:eastAsia="宋体" w:hAnsi="Wingdings" w:cs="宋体"/>
          <w:kern w:val="0"/>
          <w:szCs w:val="21"/>
        </w:rPr>
        <w:sym w:font="Wingdings" w:char="F0A8"/>
      </w:r>
      <w:r>
        <w:rPr>
          <w:rFonts w:ascii="宋体" w:eastAsia="宋体" w:hAnsi="宋体"/>
          <w:szCs w:val="21"/>
        </w:rPr>
        <w:t>否</w:t>
      </w:r>
    </w:p>
    <w:p>
      <w:pPr>
        <w:adjustRightInd w:val="0"/>
        <w:snapToGrid w:val="0"/>
        <w:spacing w:line="400" w:lineRule="exact"/>
        <w:ind w:firstLine="424" w:firstLineChars="202"/>
        <w:rPr>
          <w:rFonts w:ascii="宋体" w:eastAsia="宋体" w:hAnsi="宋体"/>
          <w:szCs w:val="21"/>
        </w:rPr>
      </w:pPr>
      <w:r>
        <w:rPr>
          <w:rFonts w:ascii="宋体" w:eastAsia="宋体" w:hAnsi="宋体"/>
          <w:szCs w:val="21"/>
        </w:rPr>
        <w:t>（1</w:t>
      </w:r>
      <w:r>
        <w:rPr>
          <w:rFonts w:ascii="宋体" w:eastAsia="宋体" w:hAnsi="宋体"/>
          <w:szCs w:val="21"/>
          <w:lang w:val="en"/>
        </w:rPr>
        <w:t>1</w:t>
      </w:r>
      <w:r>
        <w:rPr>
          <w:rFonts w:ascii="宋体" w:eastAsia="宋体" w:hAnsi="宋体"/>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eastAsia="宋体" w:hAnsi="宋体"/>
          <w:szCs w:val="21"/>
        </w:rPr>
      </w:pPr>
      <w:r>
        <w:rPr>
          <w:rFonts w:ascii="Wingdings" w:eastAsia="宋体" w:hAnsi="Wingdings"/>
          <w:szCs w:val="21"/>
        </w:rPr>
        <w:sym w:font="Wingdings" w:char="F0A8"/>
      </w:r>
      <w:r>
        <w:rPr>
          <w:rFonts w:ascii="宋体" w:eastAsia="宋体" w:hAnsi="宋体"/>
          <w:szCs w:val="21"/>
        </w:rPr>
        <w:t xml:space="preserve">是       </w:t>
      </w:r>
      <w:r>
        <w:rPr>
          <w:rFonts w:ascii="Wingdings" w:eastAsia="宋体" w:hAnsi="Wingdings"/>
          <w:szCs w:val="21"/>
        </w:rPr>
        <w:sym w:font="Wingdings" w:char="F0A8"/>
      </w:r>
      <w:r>
        <w:rPr>
          <w:rFonts w:ascii="宋体" w:eastAsia="宋体" w:hAnsi="宋体"/>
          <w:szCs w:val="21"/>
        </w:rPr>
        <w:t xml:space="preserve">否      </w:t>
      </w:r>
      <w:r>
        <w:rPr>
          <w:rFonts w:ascii="Wingdings" w:eastAsia="宋体" w:hAnsi="Wingdings" w:cs="宋体"/>
          <w:szCs w:val="20"/>
        </w:rPr>
        <w:sym w:font="Wingdings" w:char="F0A8"/>
      </w:r>
      <w:r>
        <w:rPr>
          <w:rFonts w:ascii="宋体" w:eastAsia="宋体" w:hAnsi="宋体"/>
          <w:szCs w:val="21"/>
        </w:rPr>
        <w:t>不涉及</w:t>
      </w:r>
    </w:p>
    <w:p>
      <w:pPr>
        <w:numPr>
          <w:ilvl w:val="0"/>
          <w:numId w:val="12"/>
        </w:numPr>
        <w:adjustRightInd w:val="0"/>
        <w:snapToGrid w:val="0"/>
        <w:spacing w:line="400" w:lineRule="exact"/>
        <w:ind w:firstLine="420" w:firstLineChars="200"/>
        <w:rPr>
          <w:rFonts w:ascii="宋体" w:eastAsia="宋体" w:hAnsi="宋体"/>
          <w:b/>
          <w:szCs w:val="21"/>
        </w:rPr>
      </w:pPr>
      <w:r>
        <w:rPr>
          <w:rFonts w:ascii="宋体" w:eastAsia="宋体" w:hAnsi="宋体"/>
          <w:b/>
          <w:szCs w:val="21"/>
        </w:rPr>
        <w:t>合同金额</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（1）合同金额小写：</w:t>
      </w:r>
      <w:r>
        <w:rPr>
          <w:rFonts w:ascii="宋体" w:eastAsia="宋体" w:hAnsi="宋体"/>
          <w:szCs w:val="21"/>
          <w:u w:val="single"/>
        </w:rPr>
        <w:t xml:space="preserve">                       </w:t>
      </w:r>
    </w:p>
    <w:p>
      <w:pPr>
        <w:adjustRightInd w:val="0"/>
        <w:snapToGrid w:val="0"/>
        <w:spacing w:line="400" w:lineRule="exact"/>
        <w:rPr>
          <w:rFonts w:ascii="宋体" w:eastAsia="宋体" w:hAnsi="宋体"/>
          <w:szCs w:val="21"/>
          <w:u w:val="single"/>
        </w:rPr>
      </w:pPr>
      <w:r>
        <w:rPr>
          <w:rFonts w:ascii="宋体" w:eastAsia="宋体" w:hAnsi="宋体"/>
          <w:szCs w:val="21"/>
        </w:rPr>
        <w:t xml:space="preserve">                 大写：</w:t>
      </w:r>
      <w:r>
        <w:rPr>
          <w:rFonts w:ascii="宋体" w:eastAsia="宋体" w:hAnsi="宋体"/>
          <w:szCs w:val="21"/>
          <w:u w:val="single"/>
        </w:rPr>
        <w:t xml:space="preserve">                   元整</w:t>
      </w:r>
    </w:p>
    <w:p>
      <w:pPr>
        <w:adjustRightInd w:val="0"/>
        <w:snapToGrid w:val="0"/>
        <w:spacing w:line="400" w:lineRule="exact"/>
        <w:ind w:firstLine="424" w:firstLineChars="202"/>
        <w:rPr>
          <w:rFonts w:ascii="宋体" w:eastAsia="宋体" w:hAnsi="宋体"/>
          <w:szCs w:val="21"/>
        </w:rPr>
      </w:pPr>
      <w:r>
        <w:rPr>
          <w:rFonts w:ascii="宋体" w:eastAsia="宋体" w:hAnsi="宋体"/>
          <w:szCs w:val="21"/>
        </w:rPr>
        <w:t>其中货物类金额                 元，税率13%，服务类金额                  元，税率6%，上述金额为含税价格，不含税价格为               元，税款为              元。（注：实际开票中存在四舍五入的差异，最终以实际开票为准。）</w:t>
      </w:r>
    </w:p>
    <w:p>
      <w:pPr>
        <w:adjustRightInd w:val="0"/>
        <w:snapToGrid w:val="0"/>
        <w:spacing w:line="400" w:lineRule="exact"/>
        <w:rPr>
          <w:rFonts w:ascii="宋体" w:eastAsia="宋体" w:hAnsi="宋体"/>
          <w:szCs w:val="21"/>
        </w:rPr>
      </w:pPr>
      <w:r>
        <w:rPr>
          <w:rFonts w:ascii="宋体" w:eastAsia="宋体" w:hAnsi="宋体"/>
          <w:szCs w:val="21"/>
        </w:rPr>
        <w:t xml:space="preserve">    （注：固定单价合同应填写单价和最高限价）</w:t>
      </w:r>
    </w:p>
    <w:p>
      <w:pPr>
        <w:adjustRightInd w:val="0"/>
        <w:snapToGrid w:val="0"/>
        <w:spacing w:line="400" w:lineRule="exact"/>
        <w:ind w:firstLine="424" w:firstLineChars="202"/>
        <w:rPr>
          <w:rFonts w:ascii="宋体" w:eastAsia="宋体" w:hAnsi="宋体"/>
          <w:szCs w:val="21"/>
        </w:rPr>
      </w:pPr>
      <w:r>
        <w:rPr>
          <w:rFonts w:ascii="宋体" w:eastAsia="宋体" w:hAnsi="宋体"/>
          <w:szCs w:val="21"/>
        </w:rPr>
        <w:t>（2）合同定价方式（采用组合定价方式的，可以勾选多项）：</w:t>
      </w:r>
    </w:p>
    <w:p>
      <w:pPr>
        <w:adjustRightInd w:val="0"/>
        <w:snapToGrid w:val="0"/>
        <w:spacing w:line="400" w:lineRule="exact"/>
        <w:ind w:firstLine="420" w:firstLineChars="200"/>
        <w:rPr>
          <w:rFonts w:ascii="宋体" w:eastAsia="宋体" w:hAnsi="宋体"/>
          <w:szCs w:val="21"/>
        </w:rPr>
      </w:pPr>
      <w:r>
        <w:rPr>
          <w:rFonts w:ascii="宋体" w:eastAsia="宋体" w:hAnsi="宋体"/>
          <w:iCs/>
          <w:szCs w:val="21"/>
        </w:rPr>
        <w:t xml:space="preserve">  </w:t>
      </w:r>
      <w:r>
        <w:rPr>
          <w:rFonts w:ascii="Wingdings" w:eastAsia="宋体" w:hAnsi="Wingdings" w:cs="宋体"/>
          <w:szCs w:val="20"/>
        </w:rPr>
        <w:sym w:font="Wingdings" w:char="F0FE"/>
      </w:r>
      <w:r>
        <w:rPr>
          <w:rFonts w:ascii="宋体" w:eastAsia="宋体" w:hAnsi="宋体"/>
          <w:iCs/>
          <w:szCs w:val="21"/>
        </w:rPr>
        <w:t xml:space="preserve">固定总价 </w:t>
      </w:r>
      <w:r>
        <w:rPr>
          <w:rFonts w:ascii="Wingdings" w:eastAsia="宋体" w:hAnsi="Wingdings"/>
          <w:iCs/>
          <w:szCs w:val="21"/>
        </w:rPr>
        <w:sym w:font="Wingdings" w:char="F0A8"/>
      </w:r>
      <w:r>
        <w:rPr>
          <w:rFonts w:ascii="宋体" w:eastAsia="宋体" w:hAnsi="宋体"/>
          <w:iCs/>
          <w:szCs w:val="21"/>
        </w:rPr>
        <w:t xml:space="preserve">固定单价 </w:t>
      </w:r>
      <w:r>
        <w:rPr>
          <w:rFonts w:ascii="Wingdings" w:eastAsia="宋体" w:hAnsi="Wingdings"/>
          <w:iCs/>
          <w:szCs w:val="21"/>
        </w:rPr>
        <w:sym w:font="Wingdings" w:char="F0A8"/>
      </w:r>
      <w:r>
        <w:rPr>
          <w:rFonts w:ascii="宋体" w:eastAsia="宋体" w:hAnsi="宋体"/>
          <w:iCs/>
          <w:szCs w:val="21"/>
        </w:rPr>
        <w:t xml:space="preserve">固定费率 </w:t>
      </w:r>
      <w:r>
        <w:rPr>
          <w:rFonts w:ascii="Wingdings" w:eastAsia="宋体" w:hAnsi="Wingdings"/>
          <w:iCs/>
          <w:szCs w:val="21"/>
        </w:rPr>
        <w:sym w:font="Wingdings" w:char="F0A8"/>
      </w:r>
      <w:r>
        <w:rPr>
          <w:rFonts w:ascii="宋体" w:eastAsia="宋体" w:hAnsi="宋体"/>
          <w:iCs/>
          <w:szCs w:val="21"/>
        </w:rPr>
        <w:t xml:space="preserve">成本补偿 </w:t>
      </w:r>
      <w:r>
        <w:rPr>
          <w:rFonts w:ascii="Wingdings" w:eastAsia="宋体" w:hAnsi="Wingdings"/>
          <w:iCs/>
          <w:szCs w:val="21"/>
        </w:rPr>
        <w:sym w:font="Wingdings" w:char="F0A8"/>
      </w:r>
      <w:r>
        <w:rPr>
          <w:rFonts w:ascii="宋体" w:eastAsia="宋体" w:hAnsi="宋体"/>
          <w:iCs/>
          <w:szCs w:val="21"/>
        </w:rPr>
        <w:t xml:space="preserve">绩效激励 </w:t>
      </w:r>
      <w:r>
        <w:rPr>
          <w:rFonts w:ascii="Wingdings" w:eastAsia="宋体" w:hAnsi="Wingdings"/>
          <w:iCs/>
          <w:szCs w:val="21"/>
        </w:rPr>
        <w:sym w:font="Wingdings" w:char="F0A8"/>
      </w:r>
      <w:r>
        <w:rPr>
          <w:rFonts w:ascii="宋体" w:eastAsia="宋体" w:hAnsi="宋体"/>
          <w:iCs/>
          <w:szCs w:val="21"/>
        </w:rPr>
        <w:t>其他</w:t>
      </w:r>
      <w:r>
        <w:rPr>
          <w:rFonts w:ascii="宋体" w:eastAsia="宋体" w:hAnsi="宋体"/>
          <w:szCs w:val="21"/>
          <w:u w:val="single"/>
        </w:rPr>
        <w:t xml:space="preserve">       </w:t>
      </w:r>
    </w:p>
    <w:p>
      <w:pPr>
        <w:spacing w:line="400" w:lineRule="exact"/>
        <w:ind w:firstLine="420" w:firstLineChars="200"/>
        <w:rPr>
          <w:rFonts w:ascii="宋体" w:eastAsia="宋体" w:hAnsi="宋体"/>
          <w:szCs w:val="21"/>
        </w:rPr>
      </w:pPr>
      <w:r>
        <w:rPr>
          <w:rFonts w:ascii="宋体" w:eastAsia="宋体" w:hAnsi="宋体"/>
          <w:szCs w:val="21"/>
        </w:rPr>
        <w:t>（3）付款方式（按项目实际勾选填写）：</w:t>
      </w:r>
    </w:p>
    <w:p>
      <w:pPr>
        <w:adjustRightInd w:val="0"/>
        <w:snapToGrid w:val="0"/>
        <w:spacing w:line="400" w:lineRule="exact"/>
        <w:ind w:firstLine="630" w:firstLineChars="300"/>
        <w:rPr>
          <w:rFonts w:ascii="宋体" w:eastAsia="宋体" w:hAnsi="宋体"/>
          <w:szCs w:val="21"/>
          <w:u w:val="single"/>
        </w:rPr>
      </w:pPr>
      <w:r>
        <w:rPr>
          <w:rFonts w:ascii="Wingdings" w:eastAsia="宋体" w:hAnsi="Wingdings"/>
          <w:szCs w:val="21"/>
        </w:rPr>
        <w:sym w:font="Wingdings" w:char="F0A8"/>
      </w:r>
      <w:r>
        <w:rPr>
          <w:rFonts w:ascii="宋体" w:eastAsia="宋体" w:hAnsi="宋体"/>
          <w:szCs w:val="21"/>
        </w:rPr>
        <w:t>全额付款：</w:t>
      </w:r>
      <w:r>
        <w:rPr>
          <w:rFonts w:ascii="宋体" w:eastAsia="宋体" w:hAnsi="宋体"/>
          <w:szCs w:val="21"/>
          <w:u w:val="single"/>
        </w:rPr>
        <w:t xml:space="preserve">     （应明确一次性支付合同款项的条件）                    </w:t>
      </w:r>
    </w:p>
    <w:p>
      <w:pPr>
        <w:snapToGrid w:val="0"/>
        <w:spacing w:line="400" w:lineRule="exact"/>
        <w:ind w:firstLine="630" w:firstLineChars="300"/>
        <w:rPr>
          <w:rFonts w:ascii="宋体" w:eastAsia="宋体" w:hAnsi="宋体"/>
          <w:szCs w:val="21"/>
          <w:u w:val="single"/>
        </w:rPr>
      </w:pPr>
      <w:r>
        <w:rPr>
          <w:rFonts w:ascii="Wingdings" w:eastAsia="宋体" w:hAnsi="Wingdings"/>
          <w:szCs w:val="21"/>
        </w:rPr>
        <w:sym w:font="Wingdings" w:char="F0FE"/>
      </w:r>
      <w:r>
        <w:rPr>
          <w:rFonts w:ascii="宋体" w:eastAsia="宋体" w:hAnsi="宋体"/>
          <w:szCs w:val="21"/>
        </w:rPr>
        <w:t>分期付款：①本</w:t>
      </w:r>
      <w:r>
        <w:rPr>
          <w:rFonts w:ascii="宋体" w:eastAsia="宋体" w:hAnsi="宋体"/>
          <w:szCs w:val="21"/>
          <w:u w:val="single"/>
        </w:rPr>
        <w:t>合同生效且丙方收到乙方开具的发票后30个工作日内，丙方向乙方支付合同总金额</w:t>
      </w:r>
      <w:r>
        <w:rPr>
          <w:rFonts w:ascii="宋体" w:eastAsia="宋体" w:hAnsi="宋体"/>
          <w:szCs w:val="21"/>
          <w:highlight w:val="yellow"/>
          <w:u w:val="single"/>
        </w:rPr>
        <w:t>30%的首付款</w:t>
      </w:r>
      <w:r>
        <w:rPr>
          <w:rFonts w:ascii="宋体" w:eastAsia="宋体" w:hAnsi="宋体"/>
          <w:szCs w:val="21"/>
          <w:u w:val="single"/>
        </w:rPr>
        <w:t>,即人民币</w:t>
      </w:r>
      <w:r>
        <w:rPr>
          <w:rFonts w:ascii="宋体" w:eastAsia="宋体" w:hAnsi="宋体"/>
          <w:b/>
          <w:bCs/>
          <w:szCs w:val="21"/>
          <w:u w:val="single"/>
        </w:rPr>
        <w:t xml:space="preserve">                   元整（大写），¥           （小写）</w:t>
      </w:r>
      <w:r>
        <w:rPr>
          <w:rFonts w:ascii="宋体" w:eastAsia="宋体" w:hAnsi="宋体"/>
          <w:szCs w:val="21"/>
          <w:u w:val="single"/>
        </w:rPr>
        <w:t>,乙方应在合同签署后5个工作日内，向丙方开具符合规定的正规增值税普通发票，发票需载明完整、准确的信息，包括但不限于丙方全称、统一社会信用代码、项目名称、金额、税率、税额等，确保发票可正常用于丙方税务申报及抵扣，丙方在收到符合要求的发票后，于上述30个工作日的付款期限内完成款项支付；若乙方发票不符合要求或迟延交付发票，则丙方有权延迟支付相应款项，且无需承担任何责任</w:t>
      </w:r>
      <w:r>
        <w:rPr>
          <w:rFonts w:ascii="宋体" w:eastAsia="宋体" w:hAnsi="宋体"/>
          <w:szCs w:val="21"/>
        </w:rPr>
        <w:t>；</w:t>
      </w:r>
    </w:p>
    <w:p>
      <w:pPr>
        <w:snapToGrid w:val="0"/>
        <w:spacing w:line="400" w:lineRule="exact"/>
        <w:ind w:firstLine="420" w:firstLineChars="200"/>
        <w:rPr>
          <w:rFonts w:ascii="宋体" w:eastAsia="宋体" w:hAnsi="宋体"/>
          <w:szCs w:val="21"/>
          <w:u w:val="single"/>
        </w:rPr>
      </w:pPr>
      <w:r>
        <w:rPr>
          <w:rFonts w:ascii="宋体" w:eastAsia="宋体" w:hAnsi="宋体"/>
          <w:szCs w:val="21"/>
        </w:rPr>
        <w:t>②</w:t>
      </w:r>
      <w:r>
        <w:rPr>
          <w:rFonts w:ascii="宋体" w:eastAsia="宋体" w:hAnsi="宋体"/>
          <w:szCs w:val="21"/>
          <w:u w:val="single"/>
        </w:rPr>
        <w:t>3部X波段相控阵天气雷达全部完成安装后测试合格且丙方收到乙方开具发票后30个工作日内，丙方向乙方支付合同总金额的</w:t>
      </w:r>
      <w:r>
        <w:rPr>
          <w:rFonts w:ascii="宋体" w:eastAsia="宋体" w:hAnsi="宋体"/>
          <w:szCs w:val="21"/>
          <w:highlight w:val="yellow"/>
          <w:u w:val="single"/>
        </w:rPr>
        <w:t>65%</w:t>
      </w:r>
      <w:r>
        <w:rPr>
          <w:rFonts w:ascii="宋体" w:eastAsia="宋体" w:hAnsi="宋体"/>
          <w:szCs w:val="21"/>
          <w:u w:val="single"/>
        </w:rPr>
        <w:t>，即人民币</w:t>
      </w:r>
      <w:r>
        <w:rPr>
          <w:rFonts w:ascii="宋体" w:eastAsia="宋体" w:hAnsi="宋体"/>
          <w:b/>
          <w:bCs/>
          <w:szCs w:val="21"/>
          <w:u w:val="single"/>
        </w:rPr>
        <w:t xml:space="preserve">                     （大写），¥                （小写）</w:t>
      </w:r>
      <w:r>
        <w:rPr>
          <w:rFonts w:ascii="宋体" w:eastAsia="宋体" w:hAnsi="宋体"/>
          <w:szCs w:val="21"/>
          <w:u w:val="single"/>
        </w:rPr>
        <w:t>,付款前乙方开具发票的义务同上述①款约定。</w:t>
      </w:r>
    </w:p>
    <w:p>
      <w:pPr>
        <w:adjustRightInd w:val="0"/>
        <w:snapToGrid w:val="0"/>
        <w:spacing w:line="400" w:lineRule="exact"/>
        <w:ind w:firstLine="630" w:firstLineChars="300"/>
        <w:rPr>
          <w:rFonts w:ascii="宋体" w:eastAsia="宋体" w:hAnsi="宋体"/>
          <w:szCs w:val="21"/>
          <w:u w:val="single"/>
        </w:rPr>
      </w:pPr>
      <w:r>
        <w:rPr>
          <w:rFonts w:ascii="Wingdings" w:eastAsia="宋体" w:hAnsi="Wingdings"/>
          <w:szCs w:val="21"/>
        </w:rPr>
        <w:sym w:font="Wingdings" w:char="F0A8"/>
      </w:r>
      <w:r>
        <w:rPr>
          <w:rFonts w:ascii="宋体" w:eastAsia="宋体" w:hAnsi="宋体"/>
          <w:szCs w:val="21"/>
        </w:rPr>
        <w:t>成本补偿：</w:t>
      </w:r>
      <w:r>
        <w:rPr>
          <w:rFonts w:ascii="宋体" w:eastAsia="宋体" w:hAnsi="宋体"/>
          <w:szCs w:val="21"/>
          <w:u w:val="single"/>
        </w:rPr>
        <w:t xml:space="preserve">      （应明确按照成本补偿方式的支付方式和支付条件）   </w:t>
      </w:r>
    </w:p>
    <w:p>
      <w:pPr>
        <w:adjustRightInd w:val="0"/>
        <w:snapToGrid w:val="0"/>
        <w:spacing w:line="400" w:lineRule="exact"/>
        <w:ind w:firstLine="630" w:firstLineChars="300"/>
        <w:rPr>
          <w:rFonts w:ascii="宋体" w:eastAsia="宋体" w:hAnsi="宋体"/>
          <w:szCs w:val="21"/>
          <w:u w:val="single"/>
        </w:rPr>
      </w:pPr>
      <w:r>
        <w:rPr>
          <w:rFonts w:ascii="Wingdings" w:eastAsia="宋体" w:hAnsi="Wingdings"/>
          <w:szCs w:val="21"/>
        </w:rPr>
        <w:sym w:font="Wingdings" w:char="F0A8"/>
      </w:r>
      <w:r>
        <w:rPr>
          <w:rFonts w:ascii="宋体" w:eastAsia="宋体" w:hAnsi="宋体"/>
          <w:szCs w:val="21"/>
        </w:rPr>
        <w:t>绩效激励：</w:t>
      </w:r>
      <w:r>
        <w:rPr>
          <w:rFonts w:ascii="宋体" w:eastAsia="宋体" w:hAnsi="宋体"/>
          <w:szCs w:val="21"/>
          <w:u w:val="single"/>
        </w:rPr>
        <w:t xml:space="preserve">      （应明确按照绩效激励方式的支付方式和支付条件）   </w:t>
      </w:r>
    </w:p>
    <w:p>
      <w:pPr>
        <w:adjustRightInd w:val="0"/>
        <w:snapToGrid w:val="0"/>
        <w:spacing w:line="400" w:lineRule="exact"/>
        <w:ind w:left="420" w:firstLine="210" w:leftChars="200" w:firstLineChars="100"/>
        <w:rPr>
          <w:rFonts w:ascii="宋体" w:eastAsia="宋体" w:hAnsi="宋体"/>
          <w:b/>
          <w:bCs/>
          <w:szCs w:val="21"/>
          <w:u w:val="single"/>
        </w:rPr>
      </w:pPr>
      <w:r>
        <w:rPr>
          <w:rFonts w:ascii="Calibri" w:eastAsia="宋体" w:hAnsi="Calibri" w:cs="Calibri"/>
          <w:szCs w:val="21"/>
          <w:u w:val="single"/>
        </w:rPr>
        <w:t>③</w:t>
      </w:r>
      <w:r>
        <w:rPr>
          <w:rFonts w:ascii="宋体" w:eastAsia="宋体" w:hAnsi="宋体"/>
          <w:szCs w:val="21"/>
          <w:u w:val="single"/>
        </w:rPr>
        <w:t>完成合同验收且丙方收到乙方开票发票后30个工作日内，丙方向乙方支付合同总金额的</w:t>
      </w:r>
      <w:r>
        <w:rPr>
          <w:rFonts w:ascii="宋体" w:eastAsia="宋体" w:hAnsi="宋体"/>
          <w:szCs w:val="21"/>
          <w:highlight w:val="yellow"/>
          <w:u w:val="single"/>
        </w:rPr>
        <w:t>5%</w:t>
      </w:r>
      <w:r>
        <w:rPr>
          <w:rFonts w:ascii="宋体" w:eastAsia="宋体" w:hAnsi="宋体"/>
          <w:szCs w:val="21"/>
          <w:u w:val="single"/>
        </w:rPr>
        <w:t>，即人民币</w:t>
      </w:r>
      <w:r>
        <w:rPr>
          <w:rFonts w:ascii="宋体" w:eastAsia="宋体" w:hAnsi="宋体"/>
          <w:b/>
          <w:bCs/>
          <w:szCs w:val="21"/>
          <w:u w:val="single"/>
        </w:rPr>
        <w:t xml:space="preserve">      </w:t>
      </w:r>
    </w:p>
    <w:p>
      <w:pPr>
        <w:adjustRightInd w:val="0"/>
        <w:snapToGrid w:val="0"/>
        <w:spacing w:line="400" w:lineRule="exact"/>
        <w:rPr>
          <w:rFonts w:ascii="宋体" w:eastAsia="宋体" w:hAnsi="宋体"/>
          <w:szCs w:val="21"/>
          <w:u w:val="single"/>
        </w:rPr>
      </w:pPr>
      <w:r>
        <w:rPr>
          <w:rFonts w:ascii="宋体" w:eastAsia="宋体" w:hAnsi="宋体"/>
          <w:b/>
          <w:bCs/>
          <w:szCs w:val="21"/>
          <w:u w:val="single"/>
        </w:rPr>
        <w:t>（大写），¥                （小写）</w:t>
      </w:r>
      <w:r>
        <w:rPr>
          <w:rFonts w:ascii="宋体" w:eastAsia="宋体" w:hAnsi="宋体"/>
          <w:szCs w:val="21"/>
          <w:u w:val="single"/>
        </w:rPr>
        <w:t>,付款前乙方开具发票的义务同上述①款约定。</w:t>
      </w:r>
    </w:p>
    <w:p>
      <w:pPr>
        <w:adjustRightInd w:val="0"/>
        <w:snapToGrid w:val="0"/>
        <w:spacing w:line="400" w:lineRule="exact"/>
        <w:ind w:firstLine="630" w:firstLineChars="300"/>
        <w:rPr>
          <w:rFonts w:ascii="宋体" w:eastAsia="宋体" w:hAnsi="宋体"/>
          <w:szCs w:val="21"/>
          <w:u w:val="single"/>
        </w:rPr>
      </w:pPr>
      <w:r>
        <w:rPr>
          <w:rFonts w:ascii="宋体" w:eastAsia="宋体" w:hAnsi="宋体"/>
          <w:szCs w:val="21"/>
          <w:u w:val="single"/>
        </w:rPr>
        <w:t>④乙方在对本项目进行投标响应及报价时已充分考虑本项目款项的来源、支付方式、时间和支付比例等因素，以及存在着因财政资金不能及时拨付而迟延付款的风险。如确因财政资金未拨付而不能在约定时间内支付，甲丙方不承担逾期付款的违约责任，双方应另行协商以补充协议的形式对付款时间进行重新约定，如超过付款时间一年后甲丙方仍不能支付，且双方又不能对付款期限达成补充协议，则自超过付款期限一年时起，乙方可以选择继续履行合同，要求甲方支付按实际欠款金额为基数以合同订立时1年期贷款市场报价利率进行计算的自超过付款期限一年时起至实际付款之日止的逾期付款利息。</w:t>
      </w:r>
    </w:p>
    <w:p>
      <w:pPr>
        <w:numPr>
          <w:ilvl w:val="0"/>
          <w:numId w:val="12"/>
        </w:numPr>
        <w:adjustRightInd w:val="0"/>
        <w:snapToGrid w:val="0"/>
        <w:spacing w:line="400" w:lineRule="exact"/>
        <w:ind w:firstLine="420" w:firstLineChars="200"/>
        <w:rPr>
          <w:rFonts w:ascii="宋体" w:eastAsia="宋体" w:hAnsi="宋体"/>
          <w:b/>
          <w:szCs w:val="21"/>
          <w:u w:val="single"/>
        </w:rPr>
      </w:pPr>
      <w:r>
        <w:rPr>
          <w:rFonts w:ascii="宋体" w:eastAsia="宋体" w:hAnsi="宋体"/>
          <w:b/>
          <w:szCs w:val="21"/>
        </w:rPr>
        <w:t>合同履行</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szCs w:val="21"/>
        </w:rPr>
        <w:t>（1）履约期限：</w:t>
      </w:r>
      <w:r>
        <w:rPr>
          <w:rFonts w:ascii="Segoe UI" w:eastAsia="宋体" w:hAnsi="Segoe UI" w:cs="Segoe UI"/>
          <w:szCs w:val="21"/>
          <w:shd w:val="clear" w:color="auto" w:fill="FFFFFF"/>
        </w:rPr>
        <w:t>3</w:t>
      </w:r>
      <w:r>
        <w:rPr>
          <w:rFonts w:ascii="微软雅黑" w:eastAsia="微软雅黑" w:hAnsi="微软雅黑" w:cs="微软雅黑" w:hint="eastAsia"/>
          <w:szCs w:val="21"/>
          <w:shd w:val="clear" w:color="auto" w:fill="FFFFFF"/>
        </w:rPr>
        <w:t>部雷达</w:t>
      </w:r>
      <w:r>
        <w:rPr>
          <w:rFonts w:ascii="Segoe UI" w:eastAsia="宋体" w:hAnsi="Segoe UI" w:cs="Segoe UI"/>
          <w:szCs w:val="21"/>
          <w:shd w:val="clear" w:color="auto" w:fill="FFFFFF"/>
        </w:rPr>
        <w:t>设备及软件产品在</w:t>
      </w:r>
      <w:r>
        <w:rPr>
          <w:rFonts w:ascii="微软雅黑" w:eastAsia="微软雅黑" w:hAnsi="微软雅黑" w:cs="微软雅黑" w:hint="eastAsia"/>
          <w:szCs w:val="21"/>
          <w:shd w:val="clear" w:color="auto" w:fill="FFFFFF"/>
        </w:rPr>
        <w:t>合同签订后</w:t>
      </w:r>
      <w:r>
        <w:rPr>
          <w:rFonts w:ascii="Segoe UI" w:eastAsia="宋体" w:hAnsi="Segoe UI" w:cs="Segoe UI"/>
          <w:szCs w:val="21"/>
          <w:shd w:val="clear" w:color="auto" w:fill="FFFFFF"/>
        </w:rPr>
        <w:t>6</w:t>
      </w:r>
      <w:r>
        <w:rPr>
          <w:rFonts w:ascii="微软雅黑" w:eastAsia="微软雅黑" w:hAnsi="微软雅黑" w:cs="微软雅黑" w:hint="eastAsia"/>
          <w:szCs w:val="21"/>
          <w:shd w:val="clear" w:color="auto" w:fill="FFFFFF"/>
        </w:rPr>
        <w:t>个月内完成供货、安装调试并</w:t>
      </w:r>
      <w:r>
        <w:rPr>
          <w:rFonts w:ascii="Segoe UI" w:eastAsia="宋体" w:hAnsi="Segoe UI" w:cs="Segoe UI"/>
          <w:szCs w:val="21"/>
          <w:shd w:val="clear" w:color="auto" w:fill="FFFFFF"/>
        </w:rPr>
        <w:t>通过甲方验收</w:t>
      </w:r>
      <w:r>
        <w:rPr>
          <w:rFonts w:ascii="宋体" w:eastAsia="宋体" w:hAnsi="宋体" w:cs="宋体"/>
          <w:szCs w:val="21"/>
        </w:rPr>
        <w:t>。</w:t>
      </w:r>
    </w:p>
    <w:p>
      <w:pPr>
        <w:adjustRightInd w:val="0"/>
        <w:snapToGrid w:val="0"/>
        <w:spacing w:line="400" w:lineRule="exact"/>
        <w:ind w:firstLine="420" w:firstLineChars="200"/>
        <w:rPr>
          <w:rFonts w:ascii="宋体" w:eastAsia="宋体" w:hAnsi="宋体"/>
          <w:szCs w:val="21"/>
          <w:u w:val="single"/>
        </w:rPr>
      </w:pPr>
      <w:r>
        <w:rPr>
          <w:rFonts w:ascii="宋体" w:eastAsia="宋体" w:hAnsi="宋体" w:cs="宋体"/>
          <w:szCs w:val="21"/>
        </w:rPr>
        <w:t>（2）履约地点</w:t>
      </w:r>
      <w:r>
        <w:rPr>
          <w:rFonts w:ascii="宋体" w:eastAsia="宋体" w:hAnsi="宋体" w:cs="宋体"/>
          <w:bCs/>
          <w:szCs w:val="21"/>
        </w:rPr>
        <w:t>：</w:t>
      </w:r>
      <w:r>
        <w:rPr>
          <w:rFonts w:ascii="宋体" w:eastAsia="宋体" w:hAnsi="宋体"/>
          <w:szCs w:val="21"/>
          <w:u w:val="single"/>
        </w:rPr>
        <w:t>云南省内甲方建设的3个建设台站和指定地点</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szCs w:val="21"/>
        </w:rPr>
        <w:t>交货与暂存要求：乙方负责将所有设备运送至甲方对应雷达站的指定吊装地点，并承担安装调试工作；</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szCs w:val="21"/>
        </w:rPr>
        <w:t>若雷达站基础设施（如塔楼、机房等）尚未完成建设，乙方需先将设备运送至各建设单位（甲方各县级气象局或其指定地点）明确的暂存地点妥善保管，待雷达站具备吊装条件后，由乙方负责将设备从暂存地点转运至该雷达站的指定吊装地点。</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szCs w:val="21"/>
        </w:rPr>
        <w:t>根据项目建设要求，提供单站软件产品和多雷达组网软件产品，并依托云南省气象局智能算力资源，实现对常规天气实况和灾害天气的事前智能识别、分析研判，事中智能分析和提醒，事后智能复盘；软件成果以组件化开发，支持面向现有业务平台的组件集成。</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szCs w:val="21"/>
        </w:rPr>
        <w:t>费用承担：设备全流程运输及作业（含从乙方厂区至暂存地点、暂存地点至吊装地点的运输，以及吊装作业）产生的所有费用均由乙方承担，具体包括但不限于运输费、运输保险费、装卸费、叉车租赁费、吊车租赁费、人工服务费、二次搬运费、安全措施费等。</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bCs/>
          <w:szCs w:val="21"/>
        </w:rPr>
        <w:t>（3）履约担保：</w:t>
      </w:r>
      <w:r>
        <w:rPr>
          <w:rFonts w:ascii="宋体" w:eastAsia="宋体" w:hAnsi="宋体" w:cs="宋体"/>
          <w:szCs w:val="20"/>
        </w:rPr>
        <w:t>是否收取履约保证金：</w:t>
      </w:r>
      <w:r>
        <w:rPr>
          <w:rFonts w:ascii="Wingdings" w:eastAsia="宋体" w:hAnsi="Wingdings" w:cs="宋体"/>
          <w:szCs w:val="20"/>
        </w:rPr>
        <w:sym w:font="Wingdings" w:char="F0FE"/>
      </w:r>
      <w:r>
        <w:rPr>
          <w:rFonts w:ascii="宋体" w:eastAsia="宋体" w:hAnsi="宋体" w:cs="宋体"/>
          <w:szCs w:val="21"/>
        </w:rPr>
        <w:t xml:space="preserve">是    </w:t>
      </w:r>
      <w:r>
        <w:rPr>
          <w:rFonts w:ascii="Wingdings" w:eastAsia="宋体" w:hAnsi="Wingdings" w:cs="宋体"/>
          <w:szCs w:val="21"/>
        </w:rPr>
        <w:sym w:font="Wingdings" w:char="F0A8"/>
      </w:r>
      <w:r>
        <w:rPr>
          <w:rFonts w:ascii="宋体" w:eastAsia="宋体" w:hAnsi="宋体" w:cs="宋体"/>
          <w:szCs w:val="21"/>
        </w:rPr>
        <w:t>否</w:t>
      </w:r>
    </w:p>
    <w:p>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宋体" w:hAnsi="宋体" w:cs="宋体"/>
          <w:bCs/>
          <w:kern w:val="0"/>
          <w:sz w:val="22"/>
          <w:szCs w:val="21"/>
        </w:rPr>
        <w:t xml:space="preserve">  </w:t>
      </w:r>
      <w:r>
        <w:rPr>
          <w:rFonts w:ascii="宋体" w:eastAsia="宋体" w:hAnsi="宋体" w:cs="宋体"/>
          <w:kern w:val="0"/>
          <w:szCs w:val="21"/>
        </w:rPr>
        <w:t xml:space="preserve">  收取履约保证金形式：</w:t>
      </w:r>
      <w:r>
        <w:rPr>
          <w:rFonts w:ascii="宋体" w:eastAsia="宋体" w:hAnsi="宋体" w:cs="宋体"/>
          <w:bCs/>
          <w:kern w:val="0"/>
          <w:szCs w:val="21"/>
          <w:u w:val="single"/>
        </w:rPr>
        <w:t>银行保函</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kern w:val="0"/>
          <w:szCs w:val="21"/>
        </w:rPr>
        <w:t xml:space="preserve">    收取履约保证金金额：</w:t>
      </w:r>
      <w:r>
        <w:rPr>
          <w:rFonts w:ascii="宋体" w:eastAsia="宋体" w:hAnsi="宋体" w:cs="宋体"/>
          <w:bCs/>
          <w:kern w:val="0"/>
          <w:szCs w:val="21"/>
          <w:u w:val="single"/>
        </w:rPr>
        <w:t>合同签订后30个工作日内，乙方向甲方提供合同总金额5%的履约保函</w:t>
      </w:r>
    </w:p>
    <w:p>
      <w:pPr>
        <w:snapToGrid w:val="0"/>
        <w:spacing w:line="400" w:lineRule="exact"/>
        <w:ind w:firstLine="420" w:firstLineChars="200"/>
        <w:rPr>
          <w:rFonts w:ascii="宋体" w:eastAsia="宋体" w:hAnsi="宋体" w:cs="宋体"/>
          <w:szCs w:val="20"/>
        </w:rPr>
      </w:pPr>
      <w:r>
        <w:rPr>
          <w:rFonts w:ascii="宋体" w:eastAsia="宋体" w:hAnsi="宋体" w:cs="宋体"/>
          <w:bCs/>
          <w:szCs w:val="21"/>
        </w:rPr>
        <w:t xml:space="preserve">    履约担保期限：</w:t>
      </w:r>
      <w:r>
        <w:rPr>
          <w:rFonts w:ascii="宋体" w:eastAsia="宋体" w:hAnsi="宋体" w:cs="宋体"/>
          <w:bCs/>
          <w:szCs w:val="21"/>
          <w:u w:val="single"/>
        </w:rPr>
        <w:t>自履约保函生效之日起18个月</w:t>
      </w:r>
    </w:p>
    <w:p>
      <w:pPr>
        <w:adjustRightInd w:val="0"/>
        <w:snapToGrid w:val="0"/>
        <w:spacing w:line="400" w:lineRule="exact"/>
        <w:ind w:firstLine="420" w:firstLineChars="200"/>
        <w:rPr>
          <w:rFonts w:ascii="宋体" w:eastAsia="宋体" w:hAnsi="宋体" w:cs="宋体"/>
          <w:bCs/>
          <w:szCs w:val="21"/>
        </w:rPr>
      </w:pPr>
      <w:r>
        <w:rPr>
          <w:rFonts w:ascii="宋体" w:eastAsia="宋体" w:hAnsi="宋体" w:cs="宋体"/>
          <w:bCs/>
          <w:szCs w:val="21"/>
        </w:rPr>
        <w:t>（4）分期履行要求：</w:t>
      </w:r>
      <w:r>
        <w:rPr>
          <w:rFonts w:ascii="宋体" w:eastAsia="宋体" w:hAnsi="宋体" w:cs="宋体"/>
          <w:bCs/>
          <w:szCs w:val="21"/>
          <w:u w:val="single"/>
        </w:rPr>
        <w:t xml:space="preserve">     /     </w:t>
      </w:r>
    </w:p>
    <w:p>
      <w:pPr>
        <w:adjustRightInd w:val="0"/>
        <w:snapToGrid w:val="0"/>
        <w:spacing w:line="400" w:lineRule="exact"/>
        <w:ind w:firstLine="420" w:firstLineChars="200"/>
        <w:rPr>
          <w:rFonts w:ascii="宋体" w:eastAsia="宋体" w:hAnsi="宋体"/>
          <w:szCs w:val="21"/>
          <w:u w:val="single"/>
        </w:rPr>
      </w:pPr>
      <w:r>
        <w:rPr>
          <w:rFonts w:ascii="宋体" w:eastAsia="宋体" w:hAnsi="宋体" w:cs="宋体"/>
          <w:bCs/>
          <w:szCs w:val="21"/>
        </w:rPr>
        <w:t>（5）风险处置措施和替代方案：</w:t>
      </w:r>
      <w:r>
        <w:rPr>
          <w:rFonts w:ascii="宋体" w:eastAsia="宋体" w:hAnsi="宋体"/>
          <w:szCs w:val="21"/>
          <w:u w:val="single"/>
        </w:rPr>
        <w:t>乙方应全面落实安全生产责任制度，采取有效措施，严格执行工程安全生产法律法规和操作规程，避免各类事故的发生，如发生安全相关责任事故所造成的经济损失和法律责任，一律由乙方承担。</w:t>
      </w:r>
    </w:p>
    <w:p>
      <w:pPr>
        <w:numPr>
          <w:ilvl w:val="0"/>
          <w:numId w:val="12"/>
        </w:numPr>
        <w:adjustRightInd w:val="0"/>
        <w:snapToGrid w:val="0"/>
        <w:spacing w:line="400" w:lineRule="exact"/>
        <w:ind w:firstLine="420" w:firstLineChars="200"/>
        <w:rPr>
          <w:rFonts w:ascii="宋体" w:eastAsia="宋体" w:hAnsi="宋体"/>
          <w:b/>
          <w:szCs w:val="21"/>
        </w:rPr>
      </w:pPr>
      <w:r>
        <w:rPr>
          <w:rFonts w:ascii="宋体" w:eastAsia="宋体" w:hAnsi="宋体"/>
          <w:b/>
          <w:szCs w:val="21"/>
        </w:rPr>
        <w:t>合同验收</w:t>
      </w:r>
    </w:p>
    <w:p>
      <w:pPr>
        <w:numPr>
          <w:ilvl w:val="0"/>
          <w:numId w:val="14"/>
        </w:numPr>
        <w:adjustRightInd w:val="0"/>
        <w:snapToGrid w:val="0"/>
        <w:spacing w:line="400" w:lineRule="exact"/>
        <w:ind w:firstLine="420" w:firstLineChars="200"/>
        <w:rPr>
          <w:rFonts w:ascii="宋体" w:eastAsia="宋体" w:hAnsi="宋体"/>
          <w:bCs/>
          <w:szCs w:val="21"/>
        </w:rPr>
      </w:pPr>
      <w:r>
        <w:rPr>
          <w:rFonts w:ascii="宋体" w:eastAsia="宋体" w:hAnsi="宋体"/>
          <w:bCs/>
          <w:szCs w:val="21"/>
        </w:rPr>
        <w:t>验收组织方式：</w:t>
      </w:r>
      <w:r>
        <w:rPr>
          <w:rFonts w:ascii="Wingdings" w:eastAsia="宋体" w:hAnsi="Wingdings" w:cs="宋体"/>
          <w:szCs w:val="20"/>
        </w:rPr>
        <w:sym w:font="Wingdings" w:char="F0FE"/>
      </w:r>
      <w:r>
        <w:rPr>
          <w:rFonts w:ascii="宋体" w:eastAsia="宋体" w:hAnsi="宋体"/>
          <w:bCs/>
          <w:szCs w:val="21"/>
        </w:rPr>
        <w:t xml:space="preserve">自行组织 </w:t>
      </w:r>
      <w:r>
        <w:rPr>
          <w:rFonts w:ascii="Wingdings" w:eastAsia="宋体" w:hAnsi="Wingdings" w:cs="宋体"/>
          <w:szCs w:val="21"/>
        </w:rPr>
        <w:sym w:font="Wingdings" w:char="F0A8"/>
      </w:r>
      <w:r>
        <w:rPr>
          <w:rFonts w:ascii="宋体" w:eastAsia="宋体" w:hAnsi="宋体"/>
          <w:bCs/>
          <w:szCs w:val="21"/>
        </w:rPr>
        <w:t>委托第三方组织</w:t>
      </w:r>
    </w:p>
    <w:p>
      <w:pPr>
        <w:adjustRightInd w:val="0"/>
        <w:snapToGrid w:val="0"/>
        <w:spacing w:line="400" w:lineRule="exact"/>
        <w:rPr>
          <w:rFonts w:ascii="宋体" w:eastAsia="宋体" w:hAnsi="宋体"/>
          <w:bCs/>
          <w:szCs w:val="21"/>
        </w:rPr>
      </w:pPr>
      <w:r>
        <w:rPr>
          <w:rFonts w:ascii="宋体" w:eastAsia="宋体" w:hAnsi="宋体"/>
          <w:bCs/>
          <w:szCs w:val="21"/>
        </w:rPr>
        <w:t xml:space="preserve">        验收主体：</w:t>
      </w:r>
      <w:r>
        <w:rPr>
          <w:rFonts w:ascii="宋体" w:eastAsia="宋体" w:hAnsi="宋体"/>
          <w:bCs/>
          <w:szCs w:val="21"/>
          <w:u w:val="single"/>
        </w:rPr>
        <w:t>云南省气象局</w:t>
      </w:r>
    </w:p>
    <w:p>
      <w:pPr>
        <w:adjustRightInd w:val="0"/>
        <w:snapToGrid w:val="0"/>
        <w:spacing w:line="400" w:lineRule="exact"/>
        <w:rPr>
          <w:rFonts w:ascii="宋体" w:eastAsia="宋体" w:hAnsi="宋体"/>
          <w:bCs/>
          <w:szCs w:val="21"/>
        </w:rPr>
      </w:pPr>
      <w:r>
        <w:rPr>
          <w:rFonts w:ascii="宋体" w:eastAsia="宋体" w:hAnsi="宋体"/>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bCs/>
          <w:szCs w:val="21"/>
        </w:rPr>
        <w:t xml:space="preserve">是  </w:t>
      </w:r>
      <w:r>
        <w:rPr>
          <w:rFonts w:ascii="Wingdings" w:eastAsia="宋体" w:hAnsi="Wingdings" w:cs="宋体"/>
          <w:szCs w:val="21"/>
        </w:rPr>
        <w:sym w:font="Wingdings" w:char="F0FE"/>
      </w:r>
      <w:r>
        <w:rPr>
          <w:rFonts w:ascii="宋体" w:eastAsia="宋体" w:hAnsi="宋体"/>
          <w:bCs/>
          <w:szCs w:val="21"/>
        </w:rPr>
        <w:t>否</w:t>
      </w:r>
    </w:p>
    <w:p>
      <w:pPr>
        <w:adjustRightInd w:val="0"/>
        <w:snapToGrid w:val="0"/>
        <w:spacing w:line="400" w:lineRule="exact"/>
        <w:ind w:firstLine="840" w:firstLineChars="400"/>
        <w:rPr>
          <w:rFonts w:ascii="宋体" w:eastAsia="宋体" w:hAnsi="宋体"/>
          <w:bCs/>
          <w:szCs w:val="21"/>
        </w:rPr>
      </w:pPr>
      <w:r>
        <w:rPr>
          <w:rFonts w:ascii="宋体" w:eastAsia="宋体" w:hAnsi="宋体"/>
          <w:bCs/>
          <w:szCs w:val="21"/>
        </w:rPr>
        <w:t>是否邀请专家参加验收：</w:t>
      </w:r>
      <w:r>
        <w:rPr>
          <w:rFonts w:ascii="Wingdings" w:eastAsia="宋体" w:hAnsi="Wingdings" w:cs="宋体"/>
          <w:szCs w:val="21"/>
        </w:rPr>
        <w:sym w:font="Wingdings" w:char="F0FE"/>
      </w:r>
      <w:r>
        <w:rPr>
          <w:rFonts w:ascii="宋体" w:eastAsia="宋体" w:hAnsi="宋体"/>
          <w:bCs/>
          <w:szCs w:val="21"/>
        </w:rPr>
        <w:t xml:space="preserve">是  </w:t>
      </w:r>
      <w:r>
        <w:rPr>
          <w:rFonts w:ascii="Wingdings" w:eastAsia="宋体" w:hAnsi="Wingdings" w:cs="宋体"/>
          <w:szCs w:val="21"/>
        </w:rPr>
        <w:sym w:font="Wingdings" w:char="F0A8"/>
      </w:r>
      <w:r>
        <w:rPr>
          <w:rFonts w:ascii="宋体" w:eastAsia="宋体" w:hAnsi="宋体"/>
          <w:bCs/>
          <w:szCs w:val="21"/>
        </w:rPr>
        <w:t>否</w:t>
      </w:r>
    </w:p>
    <w:p>
      <w:pPr>
        <w:adjustRightInd w:val="0"/>
        <w:snapToGrid w:val="0"/>
        <w:spacing w:line="400" w:lineRule="exact"/>
        <w:ind w:firstLine="840" w:firstLineChars="400"/>
        <w:rPr>
          <w:rFonts w:ascii="宋体" w:eastAsia="宋体" w:hAnsi="宋体"/>
          <w:bCs/>
          <w:szCs w:val="21"/>
        </w:rPr>
      </w:pPr>
      <w:r>
        <w:rPr>
          <w:rFonts w:ascii="宋体" w:eastAsia="宋体" w:hAnsi="宋体"/>
          <w:bCs/>
          <w:szCs w:val="21"/>
        </w:rPr>
        <w:t>是否邀请服务对象参加验收：</w:t>
      </w:r>
      <w:r>
        <w:rPr>
          <w:rFonts w:ascii="Wingdings" w:eastAsia="宋体" w:hAnsi="Wingdings" w:cs="宋体"/>
          <w:szCs w:val="21"/>
        </w:rPr>
        <w:sym w:font="Wingdings" w:char="F0FE"/>
      </w:r>
      <w:r>
        <w:rPr>
          <w:rFonts w:ascii="宋体" w:eastAsia="宋体" w:hAnsi="宋体"/>
          <w:bCs/>
          <w:szCs w:val="21"/>
        </w:rPr>
        <w:t xml:space="preserve">是  </w:t>
      </w:r>
      <w:r>
        <w:rPr>
          <w:rFonts w:ascii="Wingdings" w:eastAsia="宋体" w:hAnsi="Wingdings" w:cs="宋体"/>
          <w:szCs w:val="21"/>
        </w:rPr>
        <w:sym w:font="Wingdings" w:char="F0A8"/>
      </w:r>
      <w:r>
        <w:rPr>
          <w:rFonts w:ascii="宋体" w:eastAsia="宋体" w:hAnsi="宋体"/>
          <w:bCs/>
          <w:szCs w:val="21"/>
        </w:rPr>
        <w:t>否</w:t>
      </w:r>
    </w:p>
    <w:p>
      <w:pPr>
        <w:adjustRightInd w:val="0"/>
        <w:snapToGrid w:val="0"/>
        <w:spacing w:line="400" w:lineRule="exact"/>
        <w:ind w:firstLine="840" w:firstLineChars="400"/>
        <w:rPr>
          <w:rFonts w:ascii="宋体" w:eastAsia="宋体" w:hAnsi="宋体"/>
          <w:bCs/>
          <w:szCs w:val="21"/>
        </w:rPr>
      </w:pPr>
      <w:r>
        <w:rPr>
          <w:rFonts w:ascii="宋体" w:eastAsia="宋体" w:hAnsi="宋体"/>
          <w:bCs/>
          <w:szCs w:val="21"/>
        </w:rPr>
        <w:t>是否邀请第三方检测机构参加验收：</w:t>
      </w:r>
      <w:r>
        <w:rPr>
          <w:rFonts w:ascii="Wingdings" w:eastAsia="宋体" w:hAnsi="Wingdings" w:cs="宋体"/>
          <w:szCs w:val="21"/>
        </w:rPr>
        <w:sym w:font="Wingdings" w:char="F0A8"/>
      </w:r>
      <w:r>
        <w:rPr>
          <w:rFonts w:ascii="宋体" w:eastAsia="宋体" w:hAnsi="宋体"/>
          <w:bCs/>
          <w:szCs w:val="21"/>
        </w:rPr>
        <w:t xml:space="preserve">是  </w:t>
      </w:r>
      <w:r>
        <w:rPr>
          <w:rFonts w:ascii="Wingdings" w:eastAsia="宋体" w:hAnsi="Wingdings" w:cs="宋体"/>
          <w:szCs w:val="21"/>
        </w:rPr>
        <w:sym w:font="Wingdings" w:char="F0FE"/>
      </w:r>
      <w:r>
        <w:rPr>
          <w:rFonts w:ascii="宋体" w:eastAsia="宋体" w:hAnsi="宋体"/>
          <w:bCs/>
          <w:szCs w:val="21"/>
        </w:rPr>
        <w:t>否</w:t>
      </w:r>
    </w:p>
    <w:p>
      <w:pPr>
        <w:adjustRightInd w:val="0"/>
        <w:snapToGrid w:val="0"/>
        <w:spacing w:line="400" w:lineRule="exact"/>
        <w:ind w:firstLine="840" w:firstLineChars="400"/>
        <w:rPr>
          <w:rFonts w:ascii="宋体" w:eastAsia="宋体" w:hAnsi="宋体"/>
          <w:bCs/>
          <w:szCs w:val="21"/>
        </w:rPr>
      </w:pPr>
      <w:r>
        <w:rPr>
          <w:rFonts w:ascii="宋体" w:eastAsia="宋体" w:hAnsi="宋体"/>
          <w:bCs/>
          <w:szCs w:val="21"/>
        </w:rPr>
        <w:t>是否进行抽查检测：</w:t>
      </w:r>
      <w:r>
        <w:rPr>
          <w:rFonts w:ascii="Wingdings" w:eastAsia="宋体" w:hAnsi="Wingdings" w:cs="宋体"/>
          <w:szCs w:val="21"/>
        </w:rPr>
        <w:sym w:font="Wingdings" w:char="F0A8"/>
      </w:r>
      <w:r>
        <w:rPr>
          <w:rFonts w:ascii="宋体" w:eastAsia="宋体" w:hAnsi="宋体"/>
          <w:bCs/>
          <w:szCs w:val="21"/>
        </w:rPr>
        <w:t>是，抽查比例：</w:t>
      </w:r>
      <w:r>
        <w:rPr>
          <w:rFonts w:ascii="宋体" w:eastAsia="宋体" w:hAnsi="宋体"/>
          <w:bCs/>
          <w:szCs w:val="21"/>
          <w:u w:val="single"/>
        </w:rPr>
        <w:t xml:space="preserve">        </w:t>
      </w:r>
      <w:r>
        <w:rPr>
          <w:rFonts w:ascii="宋体" w:eastAsia="宋体" w:hAnsi="宋体"/>
          <w:bCs/>
          <w:szCs w:val="21"/>
        </w:rPr>
        <w:t xml:space="preserve"> </w:t>
      </w:r>
      <w:r>
        <w:rPr>
          <w:rFonts w:ascii="Wingdings" w:eastAsia="宋体" w:hAnsi="Wingdings" w:cs="宋体"/>
          <w:szCs w:val="21"/>
        </w:rPr>
        <w:sym w:font="Wingdings" w:char="F0FE"/>
      </w:r>
      <w:r>
        <w:rPr>
          <w:rFonts w:ascii="宋体" w:eastAsia="宋体" w:hAnsi="宋体"/>
          <w:bCs/>
          <w:szCs w:val="21"/>
        </w:rPr>
        <w:t>否</w:t>
      </w:r>
    </w:p>
    <w:p>
      <w:pPr>
        <w:adjustRightInd w:val="0"/>
        <w:snapToGrid w:val="0"/>
        <w:spacing w:line="400" w:lineRule="exact"/>
        <w:ind w:firstLine="840" w:firstLineChars="400"/>
        <w:rPr>
          <w:rFonts w:ascii="宋体" w:eastAsia="宋体" w:hAnsi="宋体"/>
          <w:bCs/>
          <w:szCs w:val="21"/>
          <w:u w:val="single"/>
        </w:rPr>
      </w:pPr>
      <w:r>
        <w:rPr>
          <w:rFonts w:ascii="宋体" w:eastAsia="宋体" w:hAnsi="宋体"/>
          <w:bCs/>
          <w:szCs w:val="21"/>
        </w:rPr>
        <w:t>是否存在破坏性检测：</w:t>
      </w:r>
      <w:r>
        <w:rPr>
          <w:rFonts w:ascii="Wingdings" w:eastAsia="宋体" w:hAnsi="Wingdings" w:cs="宋体"/>
          <w:szCs w:val="21"/>
        </w:rPr>
        <w:sym w:font="Wingdings" w:char="F0A8"/>
      </w:r>
      <w:r>
        <w:rPr>
          <w:rFonts w:ascii="宋体" w:eastAsia="宋体" w:hAnsi="宋体"/>
          <w:bCs/>
          <w:szCs w:val="21"/>
        </w:rPr>
        <w:t>是，</w:t>
      </w:r>
      <w:r>
        <w:rPr>
          <w:rFonts w:ascii="宋体" w:eastAsia="宋体" w:hAnsi="宋体"/>
          <w:bCs/>
          <w:szCs w:val="21"/>
          <w:u w:val="single"/>
        </w:rPr>
        <w:t>（应明确对被破坏的检测产品的处理方式）</w:t>
      </w:r>
    </w:p>
    <w:p>
      <w:pPr>
        <w:adjustRightInd w:val="0"/>
        <w:snapToGrid w:val="0"/>
        <w:spacing w:line="400" w:lineRule="exact"/>
        <w:ind w:firstLine="840" w:firstLineChars="400"/>
        <w:rPr>
          <w:rFonts w:ascii="宋体" w:eastAsia="宋体" w:hAnsi="宋体"/>
          <w:bCs/>
          <w:szCs w:val="21"/>
        </w:rPr>
      </w:pPr>
      <w:r>
        <w:rPr>
          <w:rFonts w:ascii="宋体" w:eastAsia="宋体" w:hAnsi="宋体"/>
          <w:bCs/>
          <w:szCs w:val="21"/>
        </w:rPr>
        <w:t xml:space="preserve">                    </w:t>
      </w:r>
      <w:r>
        <w:rPr>
          <w:rFonts w:ascii="Wingdings" w:eastAsia="宋体" w:hAnsi="Wingdings" w:cs="宋体"/>
          <w:szCs w:val="21"/>
        </w:rPr>
        <w:sym w:font="Wingdings" w:char="F0FE"/>
      </w:r>
      <w:r>
        <w:rPr>
          <w:rFonts w:ascii="宋体" w:eastAsia="宋体" w:hAnsi="宋体"/>
          <w:bCs/>
          <w:szCs w:val="21"/>
        </w:rPr>
        <w:t>否</w:t>
      </w:r>
    </w:p>
    <w:p>
      <w:pPr>
        <w:adjustRightInd w:val="0"/>
        <w:snapToGrid w:val="0"/>
        <w:spacing w:line="400" w:lineRule="exact"/>
        <w:ind w:firstLine="840" w:firstLineChars="400"/>
        <w:rPr>
          <w:rFonts w:ascii="宋体" w:eastAsia="宋体" w:hAnsi="宋体"/>
          <w:bCs/>
          <w:szCs w:val="21"/>
          <w:u w:val="single"/>
        </w:rPr>
      </w:pPr>
      <w:r>
        <w:rPr>
          <w:rFonts w:ascii="宋体" w:eastAsia="宋体" w:hAnsi="宋体"/>
          <w:bCs/>
          <w:szCs w:val="21"/>
        </w:rPr>
        <w:t>验收组织的其他事项：</w:t>
      </w:r>
      <w:r>
        <w:rPr>
          <w:rFonts w:ascii="宋体" w:eastAsia="宋体" w:hAnsi="宋体"/>
          <w:bCs/>
          <w:szCs w:val="21"/>
          <w:u w:val="single"/>
        </w:rPr>
        <w:t xml:space="preserve">    无    </w:t>
      </w:r>
    </w:p>
    <w:p>
      <w:pPr>
        <w:adjustRightInd w:val="0"/>
        <w:snapToGrid w:val="0"/>
        <w:spacing w:line="400" w:lineRule="exact"/>
        <w:ind w:firstLine="420" w:firstLineChars="200"/>
        <w:rPr>
          <w:rFonts w:ascii="宋体" w:eastAsia="宋体" w:hAnsi="宋体"/>
          <w:bCs/>
          <w:szCs w:val="21"/>
          <w:u w:val="single"/>
        </w:rPr>
      </w:pPr>
      <w:r>
        <w:rPr>
          <w:rFonts w:ascii="宋体" w:eastAsia="宋体" w:hAnsi="宋体"/>
          <w:bCs/>
          <w:szCs w:val="21"/>
        </w:rPr>
        <w:t>（2）履约验收时间：</w:t>
      </w:r>
      <w:r>
        <w:rPr>
          <w:rFonts w:ascii="宋体" w:eastAsia="宋体" w:hAnsi="宋体"/>
          <w:bCs/>
          <w:szCs w:val="21"/>
          <w:u w:val="single"/>
        </w:rPr>
        <w:t>乙方提出验收申请之日起30日内组织验收</w:t>
      </w:r>
    </w:p>
    <w:p>
      <w:pPr>
        <w:adjustRightInd w:val="0"/>
        <w:snapToGrid w:val="0"/>
        <w:spacing w:line="400" w:lineRule="exact"/>
        <w:ind w:firstLine="420" w:firstLineChars="200"/>
        <w:rPr>
          <w:rFonts w:ascii="宋体" w:eastAsia="宋体" w:hAnsi="宋体"/>
          <w:bCs/>
          <w:szCs w:val="21"/>
        </w:rPr>
      </w:pPr>
      <w:r>
        <w:rPr>
          <w:rFonts w:ascii="宋体" w:eastAsia="宋体" w:hAnsi="宋体"/>
          <w:bCs/>
          <w:szCs w:val="21"/>
        </w:rPr>
        <w:t>（3）履约验收方式：</w:t>
      </w:r>
      <w:r>
        <w:rPr>
          <w:rFonts w:ascii="Wingdings" w:eastAsia="宋体" w:hAnsi="Wingdings" w:cs="宋体"/>
          <w:szCs w:val="21"/>
        </w:rPr>
        <w:sym w:font="Wingdings" w:char="F0FE"/>
      </w:r>
      <w:r>
        <w:rPr>
          <w:rFonts w:ascii="宋体" w:eastAsia="宋体" w:hAnsi="宋体"/>
          <w:bCs/>
          <w:szCs w:val="21"/>
        </w:rPr>
        <w:t xml:space="preserve">一次性验收         </w:t>
      </w:r>
    </w:p>
    <w:p>
      <w:pPr>
        <w:adjustRightInd w:val="0"/>
        <w:snapToGrid w:val="0"/>
        <w:spacing w:line="400" w:lineRule="exact"/>
        <w:rPr>
          <w:rFonts w:ascii="宋体" w:eastAsia="宋体" w:hAnsi="宋体"/>
          <w:bCs/>
          <w:szCs w:val="21"/>
        </w:rPr>
      </w:pPr>
      <w:r>
        <w:rPr>
          <w:rFonts w:ascii="宋体" w:eastAsia="宋体" w:hAnsi="宋体"/>
          <w:bCs/>
          <w:szCs w:val="21"/>
        </w:rPr>
        <w:t xml:space="preserve">                       </w:t>
      </w:r>
      <w:r>
        <w:rPr>
          <w:rFonts w:ascii="Wingdings" w:eastAsia="宋体" w:hAnsi="Wingdings" w:cs="宋体"/>
          <w:szCs w:val="21"/>
        </w:rPr>
        <w:sym w:font="Wingdings" w:char="F0A8"/>
      </w:r>
      <w:r>
        <w:rPr>
          <w:rFonts w:ascii="宋体" w:eastAsia="宋体" w:hAnsi="宋体"/>
          <w:bCs/>
          <w:szCs w:val="21"/>
        </w:rPr>
        <w:t>分期/分项验收：</w:t>
      </w:r>
      <w:r>
        <w:rPr>
          <w:rFonts w:ascii="宋体" w:eastAsia="宋体" w:hAnsi="宋体"/>
          <w:bCs/>
          <w:szCs w:val="21"/>
          <w:u w:val="single"/>
        </w:rPr>
        <w:t xml:space="preserve"> （应明确分期</w:t>
      </w:r>
      <w:r>
        <w:rPr>
          <w:rFonts w:ascii="宋体" w:eastAsia="宋体" w:hAnsi="宋体"/>
          <w:bCs/>
          <w:szCs w:val="21"/>
          <w:u w:val="single"/>
          <w:lang w:val="en"/>
        </w:rPr>
        <w:t>/分项验收的工作安排</w:t>
      </w:r>
      <w:r>
        <w:rPr>
          <w:rFonts w:ascii="宋体" w:eastAsia="宋体" w:hAnsi="宋体"/>
          <w:bCs/>
          <w:szCs w:val="21"/>
          <w:u w:val="single"/>
        </w:rPr>
        <w:t xml:space="preserve">）  </w:t>
      </w:r>
    </w:p>
    <w:p>
      <w:pPr>
        <w:adjustRightInd w:val="0"/>
        <w:snapToGrid w:val="0"/>
        <w:spacing w:line="400" w:lineRule="exact"/>
        <w:ind w:firstLine="420" w:firstLineChars="200"/>
        <w:rPr>
          <w:rFonts w:ascii="宋体" w:eastAsia="宋体" w:hAnsi="宋体"/>
          <w:bCs/>
          <w:szCs w:val="21"/>
        </w:rPr>
      </w:pPr>
      <w:r>
        <w:rPr>
          <w:rFonts w:ascii="宋体" w:eastAsia="宋体" w:hAnsi="宋体"/>
          <w:bCs/>
          <w:szCs w:val="21"/>
        </w:rPr>
        <w:t>（4）履约验收程序：</w:t>
      </w:r>
      <w:r>
        <w:rPr>
          <w:rFonts w:ascii="宋体" w:eastAsia="宋体" w:hAnsi="宋体"/>
          <w:bCs/>
          <w:szCs w:val="21"/>
          <w:u w:val="single"/>
        </w:rPr>
        <w:t xml:space="preserve">  出厂验收→现场验收→合同验收                                       </w:t>
      </w:r>
    </w:p>
    <w:p>
      <w:pPr>
        <w:adjustRightInd w:val="0"/>
        <w:snapToGrid w:val="0"/>
        <w:spacing w:line="400" w:lineRule="exact"/>
        <w:ind w:firstLine="420" w:firstLineChars="200"/>
        <w:rPr>
          <w:rFonts w:ascii="宋体" w:eastAsia="宋体" w:hAnsi="宋体"/>
          <w:bCs/>
          <w:szCs w:val="21"/>
          <w:u w:val="single"/>
        </w:rPr>
      </w:pPr>
      <w:r>
        <w:rPr>
          <w:rFonts w:ascii="宋体" w:eastAsia="宋体" w:hAnsi="宋体"/>
          <w:bCs/>
          <w:szCs w:val="21"/>
        </w:rPr>
        <w:t>（5）履约验收的内容：</w:t>
      </w:r>
      <w:r>
        <w:rPr>
          <w:rFonts w:ascii="宋体" w:eastAsia="宋体" w:hAnsi="宋体"/>
          <w:bCs/>
          <w:szCs w:val="21"/>
          <w:u w:val="single"/>
        </w:rPr>
        <w:t xml:space="preserve"> 按合同内容进行验收   </w:t>
      </w:r>
    </w:p>
    <w:p>
      <w:pPr>
        <w:widowControl/>
        <w:adjustRightInd w:val="0"/>
        <w:snapToGrid w:val="0"/>
        <w:spacing w:line="400" w:lineRule="exact"/>
        <w:ind w:firstLine="420" w:firstLineChars="200"/>
        <w:jc w:val="left"/>
        <w:rPr>
          <w:rFonts w:ascii="宋体" w:eastAsia="宋体" w:hAnsi="宋体"/>
          <w:bCs/>
          <w:szCs w:val="21"/>
          <w:u w:val="single"/>
        </w:rPr>
      </w:pPr>
      <w:r>
        <w:rPr>
          <w:rFonts w:ascii="宋体" w:eastAsia="宋体" w:hAnsi="宋体"/>
          <w:bCs/>
          <w:szCs w:val="21"/>
        </w:rPr>
        <w:t>（6）履约验收标准：</w:t>
      </w:r>
      <w:r>
        <w:rPr>
          <w:rFonts w:ascii="宋体" w:eastAsia="宋体" w:hAnsi="宋体"/>
          <w:bCs/>
          <w:szCs w:val="21"/>
          <w:u w:val="single"/>
        </w:rPr>
        <w:t>参照可行性研究报告、合同、《X 波段双线偏振一维相控阵天气雷达测试大纲》、《“十四五” 综合观测类工程项目新上设备验收技术指南》等文件，以及甲方在招标/采购文件中列明的采购需求、乙方在投标文件中的响应承诺等。</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bCs/>
          <w:kern w:val="0"/>
          <w:szCs w:val="21"/>
        </w:rPr>
        <w:t xml:space="preserve">是  </w:t>
      </w:r>
      <w:r>
        <w:rPr>
          <w:rFonts w:ascii="Wingdings" w:eastAsia="宋体" w:hAnsi="Wingdings" w:cs="宋体"/>
          <w:kern w:val="0"/>
          <w:szCs w:val="21"/>
        </w:rPr>
        <w:sym w:font="Wingdings" w:char="F0FE"/>
      </w:r>
      <w:r>
        <w:rPr>
          <w:rFonts w:ascii="宋体" w:eastAsia="宋体" w:hAnsi="宋体" w:cs="宋体"/>
          <w:bCs/>
          <w:kern w:val="0"/>
          <w:szCs w:val="21"/>
        </w:rPr>
        <w:t>否</w:t>
      </w:r>
    </w:p>
    <w:p>
      <w:pPr>
        <w:adjustRightInd w:val="0"/>
        <w:snapToGrid w:val="0"/>
        <w:spacing w:line="400" w:lineRule="exact"/>
        <w:ind w:firstLine="420" w:firstLineChars="200"/>
        <w:rPr>
          <w:rFonts w:ascii="宋体" w:eastAsia="宋体" w:hAnsi="宋体"/>
          <w:bCs/>
          <w:szCs w:val="21"/>
          <w:u w:val="single"/>
        </w:rPr>
      </w:pPr>
      <w:r>
        <w:rPr>
          <w:rFonts w:ascii="宋体" w:eastAsia="宋体" w:hAnsi="宋体" w:cs="宋体"/>
          <w:bCs/>
          <w:szCs w:val="21"/>
        </w:rPr>
        <w:t>（8）履约验收其他事项：</w:t>
      </w:r>
      <w:r>
        <w:rPr>
          <w:rFonts w:ascii="宋体" w:eastAsia="宋体" w:hAnsi="宋体"/>
          <w:bCs/>
          <w:szCs w:val="21"/>
          <w:u w:val="single"/>
        </w:rPr>
        <w:t>乙方须为验收提供必须的一切条件及承担相关费用。</w:t>
      </w:r>
    </w:p>
    <w:p>
      <w:pPr>
        <w:adjustRightInd w:val="0"/>
        <w:snapToGrid w:val="0"/>
        <w:spacing w:line="400" w:lineRule="exact"/>
        <w:ind w:firstLine="420" w:firstLineChars="200"/>
        <w:rPr>
          <w:rFonts w:ascii="宋体" w:eastAsia="宋体" w:hAnsi="宋体"/>
          <w:bCs/>
          <w:color w:val="000000"/>
          <w:szCs w:val="21"/>
          <w:u w:val="single"/>
        </w:rPr>
      </w:pPr>
      <w:r>
        <w:rPr>
          <w:rFonts w:ascii="宋体" w:eastAsia="宋体" w:hAnsi="宋体"/>
          <w:bCs/>
          <w:color w:val="000000"/>
          <w:szCs w:val="21"/>
          <w:u w:val="single"/>
        </w:rPr>
        <w:t>（9）风险转移：本合同项下产品在乙方安装、调试完毕并通过甲方验收后，产品毁损、灭失的风险转移至甲方。</w:t>
      </w:r>
    </w:p>
    <w:p>
      <w:pPr>
        <w:numPr>
          <w:ilvl w:val="0"/>
          <w:numId w:val="12"/>
        </w:numPr>
        <w:adjustRightInd w:val="0"/>
        <w:snapToGrid w:val="0"/>
        <w:spacing w:line="400" w:lineRule="exact"/>
        <w:ind w:firstLine="420" w:firstLineChars="200"/>
        <w:rPr>
          <w:rFonts w:ascii="宋体" w:eastAsia="宋体" w:hAnsi="宋体"/>
          <w:b/>
          <w:szCs w:val="21"/>
        </w:rPr>
      </w:pPr>
      <w:r>
        <w:rPr>
          <w:rFonts w:ascii="宋体" w:eastAsia="宋体" w:hAnsi="宋体"/>
          <w:b/>
          <w:szCs w:val="21"/>
        </w:rPr>
        <w:t>组成合同的文件</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（1）政府采购合同协议书及其变更、补充协议</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（2）政府采购合同专用条款</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（3）政府采购合同通用条款</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（4）中标（成交）通知书</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（5）投标（响应）文件</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（6）采购文件</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（7）有关技术文件，图纸</w:t>
      </w:r>
    </w:p>
    <w:p>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kern w:val="0"/>
          <w:szCs w:val="21"/>
        </w:rPr>
        <w:t>（8）</w:t>
      </w:r>
      <w:r>
        <w:rPr>
          <w:rFonts w:ascii="宋体" w:eastAsia="宋体" w:hAnsi="宋体" w:cs="宋体"/>
          <w:szCs w:val="21"/>
        </w:rPr>
        <w:t>国家法律、行政法规和规章制度规定或合同约定的作为合同组成部分的其他文件</w:t>
      </w:r>
    </w:p>
    <w:p>
      <w:pPr>
        <w:numPr>
          <w:ilvl w:val="0"/>
          <w:numId w:val="12"/>
        </w:numPr>
        <w:adjustRightInd w:val="0"/>
        <w:snapToGrid w:val="0"/>
        <w:spacing w:line="400" w:lineRule="exact"/>
        <w:ind w:firstLine="420" w:firstLineChars="200"/>
        <w:rPr>
          <w:rFonts w:ascii="宋体" w:eastAsia="宋体" w:hAnsi="宋体"/>
          <w:b/>
          <w:szCs w:val="21"/>
        </w:rPr>
      </w:pPr>
      <w:r>
        <w:rPr>
          <w:rFonts w:ascii="宋体" w:eastAsia="宋体" w:hAnsi="宋体"/>
          <w:b/>
          <w:szCs w:val="21"/>
        </w:rPr>
        <w:t>合同生效</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本合同自各方有权代表</w:t>
      </w:r>
      <w:r>
        <w:rPr>
          <w:rFonts w:ascii="宋体" w:eastAsia="宋体" w:hAnsi="宋体"/>
          <w:szCs w:val="21"/>
          <w:u w:val="single"/>
        </w:rPr>
        <w:t>签字并盖公章（合同专用章）之日</w:t>
      </w:r>
      <w:r>
        <w:rPr>
          <w:rFonts w:ascii="宋体" w:eastAsia="宋体" w:hAnsi="宋体"/>
          <w:szCs w:val="21"/>
        </w:rPr>
        <w:t>生效。</w:t>
      </w:r>
    </w:p>
    <w:p>
      <w:pPr>
        <w:numPr>
          <w:ilvl w:val="0"/>
          <w:numId w:val="12"/>
        </w:numPr>
        <w:adjustRightInd w:val="0"/>
        <w:snapToGrid w:val="0"/>
        <w:spacing w:line="400" w:lineRule="exact"/>
        <w:ind w:firstLine="420" w:firstLineChars="200"/>
        <w:rPr>
          <w:rFonts w:ascii="宋体" w:eastAsia="宋体" w:hAnsi="宋体"/>
          <w:b/>
          <w:szCs w:val="21"/>
        </w:rPr>
      </w:pPr>
      <w:r>
        <w:rPr>
          <w:rFonts w:ascii="宋体" w:eastAsia="宋体" w:hAnsi="宋体"/>
          <w:b/>
          <w:szCs w:val="21"/>
        </w:rPr>
        <w:t>合同份数</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本合同一式陆份，甲方各执</w:t>
      </w:r>
      <w:r>
        <w:rPr>
          <w:rFonts w:ascii="宋体" w:eastAsia="宋体" w:hAnsi="宋体"/>
          <w:szCs w:val="21"/>
          <w:u w:val="single"/>
        </w:rPr>
        <w:t>贰</w:t>
      </w:r>
      <w:r>
        <w:rPr>
          <w:rFonts w:ascii="宋体" w:eastAsia="宋体" w:hAnsi="宋体"/>
          <w:szCs w:val="21"/>
        </w:rPr>
        <w:t>份，乙方执</w:t>
      </w:r>
      <w:r>
        <w:rPr>
          <w:rFonts w:ascii="宋体" w:eastAsia="宋体" w:hAnsi="宋体"/>
          <w:szCs w:val="21"/>
          <w:u w:val="single"/>
        </w:rPr>
        <w:t>贰</w:t>
      </w:r>
      <w:r>
        <w:rPr>
          <w:rFonts w:ascii="宋体" w:eastAsia="宋体" w:hAnsi="宋体"/>
          <w:szCs w:val="21"/>
        </w:rPr>
        <w:t>份，丙方执贰份，均具有同等法律效力。</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合同订立时间：</w:t>
      </w:r>
      <w:r>
        <w:rPr>
          <w:rFonts w:ascii="宋体" w:eastAsia="宋体" w:hAnsi="宋体"/>
          <w:szCs w:val="21"/>
          <w:u w:val="single"/>
        </w:rPr>
        <w:t xml:space="preserve">         </w:t>
      </w:r>
      <w:r>
        <w:rPr>
          <w:rFonts w:ascii="宋体" w:eastAsia="宋体" w:hAnsi="宋体"/>
          <w:szCs w:val="21"/>
        </w:rPr>
        <w:t>年</w:t>
      </w:r>
      <w:r>
        <w:rPr>
          <w:rFonts w:ascii="宋体" w:eastAsia="宋体" w:hAnsi="宋体"/>
          <w:szCs w:val="21"/>
          <w:u w:val="single"/>
        </w:rPr>
        <w:t xml:space="preserve">      </w:t>
      </w:r>
      <w:r>
        <w:rPr>
          <w:rFonts w:ascii="宋体" w:eastAsia="宋体" w:hAnsi="宋体"/>
          <w:szCs w:val="21"/>
        </w:rPr>
        <w:t>月</w:t>
      </w:r>
      <w:r>
        <w:rPr>
          <w:rFonts w:ascii="宋体" w:eastAsia="宋体" w:hAnsi="宋体"/>
          <w:szCs w:val="21"/>
          <w:u w:val="single"/>
        </w:rPr>
        <w:t xml:space="preserve">      </w:t>
      </w:r>
      <w:r>
        <w:rPr>
          <w:rFonts w:ascii="宋体" w:eastAsia="宋体" w:hAnsi="宋体"/>
          <w:szCs w:val="21"/>
        </w:rPr>
        <w:t>日</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合同订立地点：</w:t>
      </w:r>
      <w:r>
        <w:rPr>
          <w:rFonts w:ascii="宋体" w:eastAsia="宋体" w:hAnsi="宋体"/>
          <w:szCs w:val="21"/>
          <w:u w:val="single"/>
        </w:rPr>
        <w:t>云南省昆明市</w:t>
      </w:r>
    </w:p>
    <w:p>
      <w:pPr>
        <w:adjustRightInd w:val="0"/>
        <w:snapToGrid w:val="0"/>
        <w:spacing w:line="400" w:lineRule="exact"/>
        <w:ind w:firstLine="420" w:firstLineChars="200"/>
        <w:rPr>
          <w:rFonts w:ascii="宋体" w:eastAsia="宋体" w:hAnsi="宋体"/>
          <w:szCs w:val="21"/>
        </w:rPr>
      </w:pPr>
      <w:r>
        <w:rPr>
          <w:rFonts w:ascii="宋体" w:eastAsia="宋体" w:hAnsi="宋体"/>
          <w:szCs w:val="21"/>
        </w:rPr>
        <w:t>附件：具体标的及其技术要求和商务要求、联合协议、分包意向协议等。</w:t>
      </w:r>
    </w:p>
    <w:p>
      <w:pPr>
        <w:adjustRightInd w:val="0"/>
        <w:snapToGrid w:val="0"/>
        <w:spacing w:line="400" w:lineRule="exact"/>
        <w:ind w:firstLine="840" w:firstLineChars="400"/>
        <w:rPr>
          <w:rFonts w:ascii="宋体" w:eastAsia="宋体" w:hAnsi="宋体"/>
          <w:szCs w:val="21"/>
        </w:rPr>
      </w:pPr>
      <w:r>
        <w:rPr>
          <w:rFonts w:ascii="宋体" w:eastAsia="宋体" w:hAnsi="宋体"/>
          <w:szCs w:val="21"/>
        </w:rPr>
        <w:t>附件一：X波段天气雷达性能指标</w:t>
      </w:r>
    </w:p>
    <w:p>
      <w:pPr>
        <w:adjustRightInd w:val="0"/>
        <w:snapToGrid w:val="0"/>
        <w:spacing w:line="400" w:lineRule="exact"/>
        <w:ind w:firstLine="840" w:firstLineChars="400"/>
        <w:rPr>
          <w:rFonts w:ascii="宋体" w:eastAsia="宋体" w:hAnsi="宋体"/>
          <w:szCs w:val="21"/>
        </w:rPr>
      </w:pPr>
      <w:r>
        <w:rPr>
          <w:rFonts w:ascii="宋体" w:eastAsia="宋体" w:hAnsi="宋体"/>
          <w:szCs w:val="21"/>
        </w:rPr>
        <w:t>附件二：X波段天气雷达分项报价</w:t>
      </w:r>
    </w:p>
    <w:p>
      <w:pPr>
        <w:adjustRightInd w:val="0"/>
        <w:snapToGrid w:val="0"/>
        <w:spacing w:line="400" w:lineRule="exact"/>
        <w:ind w:firstLine="840" w:firstLineChars="400"/>
        <w:rPr>
          <w:rFonts w:ascii="宋体" w:eastAsia="宋体" w:hAnsi="宋体"/>
          <w:szCs w:val="21"/>
        </w:rPr>
      </w:pPr>
      <w:r>
        <w:rPr>
          <w:rFonts w:ascii="宋体" w:eastAsia="宋体" w:hAnsi="宋体"/>
          <w:szCs w:val="21"/>
        </w:rPr>
        <w:t>附件三：附属设备清单</w:t>
      </w:r>
    </w:p>
    <w:p>
      <w:pPr>
        <w:widowControl/>
        <w:spacing w:beforeAutospacing="1" w:afterAutospacing="1"/>
        <w:jc w:val="left"/>
        <w:rPr>
          <w:rFonts w:ascii="宋体" w:eastAsia="宋体" w:hAnsi="宋体"/>
          <w:szCs w:val="20"/>
        </w:rPr>
        <w:sectPr>
          <w:pgSz w:w="11906" w:h="16838"/>
          <w:pgMar w:top="1440" w:right="1800" w:bottom="1440" w:left="1800" w:header="851" w:footer="992" w:gutter="0"/>
          <w:cols w:num="1" w:space="720"/>
          <w:docGrid w:type="lines" w:linePitch="312" w:charSpace="0"/>
        </w:sectPr>
      </w:pPr>
      <w:r>
        <w:rPr>
          <w:rFonts w:ascii="宋体" w:eastAsia="宋体" w:hAnsi="宋体"/>
          <w:szCs w:val="20"/>
        </w:rPr>
        <w:br w:type="page"/>
      </w:r>
    </w:p>
    <w:p>
      <w:pPr>
        <w:rPr>
          <w:rFonts w:ascii="宋体" w:eastAsia="宋体" w:hAnsi="宋体"/>
          <w:szCs w:val="20"/>
        </w:rPr>
      </w:pPr>
    </w:p>
    <w:p>
      <w:pPr>
        <w:ind w:firstLine="420" w:firstLineChars="200"/>
        <w:rPr>
          <w:rFonts w:ascii="宋体" w:eastAsia="宋体" w:hAnsi="宋体"/>
          <w:szCs w:val="21"/>
        </w:rPr>
      </w:pPr>
    </w:p>
    <w:tbl>
      <w:tblPr>
        <w:tblStyle w:val="TableNormal"/>
        <w:tblW w:w="14175" w:type="dxa"/>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CellMar>
          <w:top w:w="0" w:type="dxa"/>
          <w:left w:w="108" w:type="dxa"/>
          <w:bottom w:w="0" w:type="dxa"/>
          <w:right w:w="108" w:type="dxa"/>
        </w:tblCellMar>
      </w:tblPr>
      <w:tblGrid>
        <w:gridCol w:w="1711"/>
        <w:gridCol w:w="2592"/>
        <w:gridCol w:w="1843"/>
        <w:gridCol w:w="3055"/>
        <w:gridCol w:w="1931"/>
        <w:gridCol w:w="3043"/>
      </w:tblGrid>
      <w:tr>
        <w:tblPrEx>
          <w:tblW w:w="14175" w:type="dxa"/>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CellMar>
            <w:top w:w="0" w:type="dxa"/>
            <w:left w:w="108" w:type="dxa"/>
            <w:bottom w:w="0" w:type="dxa"/>
            <w:right w:w="108" w:type="dxa"/>
          </w:tblCellMar>
        </w:tblPrEx>
        <w:trPr>
          <w:tblHeader/>
          <w:jc w:val="center"/>
        </w:trPr>
        <w:tc>
          <w:tcPr>
            <w:tcW w:w="4302" w:type="dxa"/>
            <w:gridSpan w:val="2"/>
            <w:tcBorders>
              <w:top w:val="single" w:sz="4"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0"/>
              </w:rPr>
            </w:pPr>
            <w:r>
              <w:rPr>
                <w:rFonts w:ascii="宋体" w:eastAsia="宋体" w:hAnsi="宋体"/>
                <w:szCs w:val="21"/>
              </w:rPr>
              <w:t>甲方（采购人、受采购人委托签订合同的单位或采购文件约定的合同甲方）</w:t>
            </w:r>
          </w:p>
        </w:tc>
        <w:tc>
          <w:tcPr>
            <w:tcW w:w="4898" w:type="dxa"/>
            <w:gridSpan w:val="2"/>
            <w:tcBorders>
              <w:top w:val="single" w:sz="4"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0"/>
              </w:rPr>
            </w:pPr>
            <w:r>
              <w:rPr>
                <w:rFonts w:ascii="宋体" w:eastAsia="宋体" w:hAnsi="宋体"/>
                <w:szCs w:val="21"/>
              </w:rPr>
              <w:t>乙方（供应商）</w:t>
            </w:r>
          </w:p>
        </w:tc>
        <w:tc>
          <w:tcPr>
            <w:tcW w:w="4974" w:type="dxa"/>
            <w:gridSpan w:val="2"/>
            <w:tcBorders>
              <w:top w:val="single" w:sz="4"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u w:val="single"/>
              </w:rPr>
              <w:t>丙方</w:t>
            </w: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单位名称（公章或合同章）</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云南省气象局</w:t>
            </w: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单位名称（公章或合同章）</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pacing w:val="20"/>
                <w:szCs w:val="21"/>
              </w:rPr>
            </w:pPr>
            <w:r>
              <w:rPr>
                <w:rFonts w:ascii="宋体" w:eastAsia="宋体" w:hAnsi="宋体"/>
                <w:spacing w:val="20"/>
                <w:szCs w:val="21"/>
              </w:rPr>
              <w:t>________________________________</w:t>
            </w: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单位名称（公章或合同章）</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________________________________</w:t>
            </w: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法定代表人</w:t>
            </w:r>
          </w:p>
          <w:p>
            <w:pPr>
              <w:adjustRightInd w:val="0"/>
              <w:snapToGrid w:val="0"/>
              <w:spacing w:line="300" w:lineRule="exact"/>
              <w:ind w:firstLine="101" w:firstLineChars="48"/>
              <w:jc w:val="center"/>
              <w:rPr>
                <w:rFonts w:ascii="宋体" w:eastAsia="宋体" w:hAnsi="宋体"/>
                <w:szCs w:val="21"/>
              </w:rPr>
            </w:pPr>
            <w:r>
              <w:rPr>
                <w:rFonts w:ascii="宋体" w:eastAsia="宋体" w:hAnsi="宋体"/>
                <w:szCs w:val="21"/>
              </w:rPr>
              <w:t>或其委托代理人（签章）</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法定代表人</w:t>
            </w:r>
          </w:p>
          <w:p>
            <w:pPr>
              <w:adjustRightInd w:val="0"/>
              <w:snapToGrid w:val="0"/>
              <w:spacing w:line="300" w:lineRule="exact"/>
              <w:jc w:val="center"/>
              <w:rPr>
                <w:rFonts w:ascii="宋体" w:eastAsia="宋体" w:hAnsi="宋体"/>
                <w:szCs w:val="21"/>
              </w:rPr>
            </w:pPr>
            <w:r>
              <w:rPr>
                <w:rFonts w:ascii="宋体" w:eastAsia="宋体" w:hAnsi="宋体"/>
                <w:szCs w:val="21"/>
              </w:rPr>
              <w:t>或其委托代理人（签章）</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法定代表人</w:t>
            </w:r>
          </w:p>
          <w:p>
            <w:pPr>
              <w:adjustRightInd w:val="0"/>
              <w:snapToGrid w:val="0"/>
              <w:spacing w:line="300" w:lineRule="exact"/>
              <w:jc w:val="center"/>
              <w:rPr>
                <w:rFonts w:ascii="宋体" w:eastAsia="宋体" w:hAnsi="宋体"/>
                <w:szCs w:val="21"/>
              </w:rPr>
            </w:pPr>
            <w:r>
              <w:rPr>
                <w:rFonts w:ascii="宋体" w:eastAsia="宋体" w:hAnsi="宋体"/>
                <w:szCs w:val="21"/>
              </w:rPr>
              <w:t>或其委托代理人（签章）</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住  所</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住  所</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pacing w:val="20"/>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住  所</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联 系 人</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联 系 人</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pacing w:val="20"/>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联 系 人</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联系电话</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pacing w:val="20"/>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联系电话</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pacing w:val="20"/>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联系电话</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通信地址</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通信地址</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pacing w:val="20"/>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通信地址</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邮政编码</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邮政编码</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pacing w:val="20"/>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邮政编码</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统一社会信用代码</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统一社会信用代码</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统一社会信用代码</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开户名称</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开户名称</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pacing w:val="20"/>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开户名称</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开户银行</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开户银行</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开户银行</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银行账号</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银行账号</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银行账号</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p>
        </w:tc>
      </w:tr>
      <w:tr>
        <w:tblPrEx>
          <w:tblW w:w="14175" w:type="dxa"/>
          <w:jc w:val="center"/>
          <w:tblLayout w:type="fixed"/>
          <w:tblCellMar>
            <w:top w:w="0" w:type="dxa"/>
            <w:left w:w="108" w:type="dxa"/>
            <w:bottom w:w="0" w:type="dxa"/>
            <w:right w:w="108" w:type="dxa"/>
          </w:tblCellMar>
        </w:tblPrEx>
        <w:trPr>
          <w:tblHeader/>
          <w:jc w:val="center"/>
        </w:trPr>
        <w:tc>
          <w:tcPr>
            <w:tcW w:w="1710" w:type="dxa"/>
            <w:tcBorders>
              <w:top w:val="single" w:sz="2" w:space="0" w:color="auto"/>
              <w:left w:val="single" w:sz="4"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日期</w:t>
            </w:r>
          </w:p>
        </w:tc>
        <w:tc>
          <w:tcPr>
            <w:tcW w:w="2592"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 xml:space="preserve">    年    月    日</w:t>
            </w:r>
          </w:p>
        </w:tc>
        <w:tc>
          <w:tcPr>
            <w:tcW w:w="1843"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日期</w:t>
            </w:r>
          </w:p>
        </w:tc>
        <w:tc>
          <w:tcPr>
            <w:tcW w:w="3055"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 xml:space="preserve">    年    月    日</w:t>
            </w:r>
          </w:p>
        </w:tc>
        <w:tc>
          <w:tcPr>
            <w:tcW w:w="1931" w:type="dxa"/>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日期</w:t>
            </w:r>
          </w:p>
        </w:tc>
        <w:tc>
          <w:tcPr>
            <w:tcW w:w="3043" w:type="dxa"/>
            <w:tcBorders>
              <w:top w:val="single" w:sz="2" w:space="0" w:color="auto"/>
              <w:left w:val="single" w:sz="2" w:space="0" w:color="auto"/>
              <w:bottom w:val="single" w:sz="2" w:space="0" w:color="auto"/>
              <w:right w:val="single" w:sz="4" w:space="0" w:color="auto"/>
            </w:tcBorders>
            <w:vAlign w:val="center"/>
          </w:tcPr>
          <w:p>
            <w:pPr>
              <w:adjustRightInd w:val="0"/>
              <w:snapToGrid w:val="0"/>
              <w:spacing w:line="300" w:lineRule="exact"/>
              <w:jc w:val="center"/>
              <w:rPr>
                <w:rFonts w:ascii="宋体" w:eastAsia="宋体" w:hAnsi="宋体"/>
                <w:szCs w:val="21"/>
              </w:rPr>
            </w:pPr>
            <w:r>
              <w:rPr>
                <w:rFonts w:ascii="宋体" w:eastAsia="宋体" w:hAnsi="宋体"/>
                <w:szCs w:val="21"/>
              </w:rPr>
              <w:t xml:space="preserve">    年    月    日</w:t>
            </w:r>
          </w:p>
        </w:tc>
      </w:tr>
      <w:tr>
        <w:tblPrEx>
          <w:tblW w:w="14175" w:type="dxa"/>
          <w:jc w:val="center"/>
          <w:tblLayout w:type="fixed"/>
          <w:tblCellMar>
            <w:top w:w="0" w:type="dxa"/>
            <w:left w:w="108" w:type="dxa"/>
            <w:bottom w:w="0" w:type="dxa"/>
            <w:right w:w="108" w:type="dxa"/>
          </w:tblCellMar>
        </w:tblPrEx>
        <w:trPr>
          <w:jc w:val="center"/>
        </w:trPr>
        <w:tc>
          <w:tcPr>
            <w:tcW w:w="14174" w:type="dxa"/>
            <w:gridSpan w:val="6"/>
            <w:tcBorders>
              <w:top w:val="single" w:sz="2" w:space="0" w:color="auto"/>
              <w:left w:val="single" w:sz="4" w:space="0" w:color="auto"/>
              <w:bottom w:val="single" w:sz="4" w:space="0" w:color="auto"/>
              <w:right w:val="single" w:sz="4" w:space="0" w:color="auto"/>
            </w:tcBorders>
            <w:vAlign w:val="center"/>
          </w:tcPr>
          <w:p>
            <w:pPr>
              <w:adjustRightInd w:val="0"/>
              <w:snapToGrid w:val="0"/>
              <w:spacing w:before="156" w:beforeLines="50" w:line="360" w:lineRule="auto"/>
              <w:jc w:val="left"/>
              <w:rPr>
                <w:rFonts w:ascii="宋体" w:eastAsia="宋体" w:hAnsi="宋体"/>
                <w:szCs w:val="21"/>
              </w:rPr>
            </w:pPr>
            <w:r>
              <w:rPr>
                <w:rFonts w:ascii="宋体" w:eastAsia="宋体" w:hAnsi="宋体"/>
                <w:szCs w:val="21"/>
              </w:rPr>
              <w:t>注：涉及联合体或其他合同主体的信息应按上表格式加列。</w:t>
            </w:r>
          </w:p>
        </w:tc>
      </w:tr>
    </w:tbl>
    <w:p>
      <w:pPr>
        <w:widowControl/>
        <w:spacing w:beforeAutospacing="1" w:afterAutospacing="1"/>
        <w:jc w:val="left"/>
        <w:rPr>
          <w:rFonts w:ascii="宋体" w:eastAsia="宋体" w:hAnsi="宋体"/>
          <w:szCs w:val="21"/>
          <w:u w:val="single"/>
        </w:rPr>
        <w:sectPr>
          <w:pgSz w:w="16838" w:h="11906" w:orient="landscape"/>
          <w:pgMar w:top="1800" w:right="1440" w:bottom="1800" w:left="1440" w:header="851" w:footer="992" w:gutter="0"/>
          <w:cols w:num="1" w:space="720"/>
          <w:docGrid w:type="lines" w:linePitch="312" w:charSpace="0"/>
        </w:sectPr>
      </w:pPr>
      <w:r>
        <w:rPr>
          <w:rFonts w:ascii="宋体" w:eastAsia="宋体" w:hAnsi="宋体"/>
          <w:szCs w:val="21"/>
          <w:u w:val="single"/>
        </w:rPr>
        <w:br w:type="page"/>
      </w:r>
    </w:p>
    <w:p>
      <w:pPr>
        <w:keepNext/>
        <w:keepLines/>
        <w:adjustRightInd w:val="0"/>
        <w:snapToGrid w:val="0"/>
        <w:spacing w:before="156" w:beforeLines="50" w:after="80"/>
        <w:jc w:val="center"/>
        <w:outlineLvl w:val="1"/>
        <w:rPr>
          <w:rFonts w:ascii="宋体" w:eastAsia="宋体" w:hAnsi="宋体" w:cs="宋体"/>
          <w:sz w:val="28"/>
          <w:szCs w:val="28"/>
        </w:rPr>
      </w:pPr>
      <w:r>
        <w:rPr>
          <w:rFonts w:ascii="宋体" w:eastAsia="宋体" w:hAnsi="宋体" w:cs="宋体"/>
          <w:sz w:val="28"/>
          <w:szCs w:val="28"/>
        </w:rPr>
        <w:t>第二节 政府采购合同通用条款</w:t>
      </w:r>
    </w:p>
    <w:p>
      <w:pPr>
        <w:tabs>
          <w:tab w:val="left" w:pos="8820"/>
          <w:tab w:val="left" w:pos="9345"/>
          <w:tab w:val="left" w:pos="9765"/>
        </w:tabs>
        <w:adjustRightInd w:val="0"/>
        <w:snapToGrid w:val="0"/>
        <w:spacing w:line="400" w:lineRule="exact"/>
        <w:jc w:val="left"/>
        <w:rPr>
          <w:rFonts w:ascii="宋体" w:eastAsia="宋体" w:hAnsi="宋体"/>
          <w:b/>
          <w:bCs/>
          <w:szCs w:val="20"/>
        </w:rPr>
      </w:pPr>
      <w:r>
        <w:rPr>
          <w:rFonts w:ascii="宋体" w:eastAsia="宋体" w:hAnsi="宋体"/>
          <w:b/>
          <w:sz w:val="24"/>
          <w:szCs w:val="20"/>
        </w:rPr>
        <w:t>1.</w:t>
      </w:r>
      <w:r>
        <w:rPr>
          <w:rFonts w:ascii="宋体" w:eastAsia="宋体" w:hAnsi="宋体"/>
          <w:b/>
          <w:bCs/>
          <w:sz w:val="24"/>
          <w:szCs w:val="20"/>
        </w:rPr>
        <w:t>定义</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1.1合同当事人</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（3）资金支付单位（以下称丙方）是指根据甲方安排，履行项目资金支付工作。</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（4）其他合同主体是指除采购人和供应商以外，</w:t>
      </w:r>
      <w:r>
        <w:rPr>
          <w:rFonts w:ascii="宋体" w:eastAsia="宋体" w:hAnsi="宋体" w:cs="宋体"/>
          <w:bCs/>
          <w:szCs w:val="21"/>
        </w:rPr>
        <w:t>依法参与合同缔结或履行，享有权利、承担义务的合同当事人</w:t>
      </w:r>
      <w:r>
        <w:rPr>
          <w:rFonts w:ascii="宋体" w:eastAsia="宋体" w:hAnsi="宋体"/>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1.2本合同下列术语应解释为：</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（1）“合同”系指</w:t>
      </w:r>
      <w:r>
        <w:rPr>
          <w:rFonts w:ascii="宋体" w:eastAsia="宋体" w:hAnsi="宋体" w:cs="宋体"/>
          <w:bCs/>
          <w:szCs w:val="21"/>
        </w:rPr>
        <w:t>合同当事人意思表示达成一致的任何协议，包括签署的</w:t>
      </w:r>
      <w:r>
        <w:rPr>
          <w:rFonts w:ascii="宋体" w:eastAsia="宋体" w:hAnsi="宋体"/>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szCs w:val="21"/>
        </w:rPr>
        <w:t>国家法律、行政法规和规章制度规定或合同约定的作为合同组成部分的其他文件</w:t>
      </w:r>
      <w:r>
        <w:rPr>
          <w:rFonts w:ascii="宋体" w:eastAsia="宋体" w:hAnsi="宋体"/>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（3）“货物”系指乙方根据本合同规定须向甲方提供的各种形态和种类的物品，包括原材料、设备、产品（包括软件）及相关的其备品备件、工具、手册及</w:t>
      </w:r>
      <w:r>
        <w:rPr>
          <w:rFonts w:ascii="宋体" w:eastAsia="宋体" w:hAnsi="宋体"/>
          <w:szCs w:val="21"/>
          <w:lang w:val="en"/>
        </w:rPr>
        <w:t>其他</w:t>
      </w:r>
      <w:r>
        <w:rPr>
          <w:rFonts w:ascii="宋体" w:eastAsia="宋体" w:hAnsi="宋体"/>
          <w:szCs w:val="21"/>
        </w:rPr>
        <w:t>技术资料和材料等。</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（4）“相关服务”系指根据合同规定，乙方应提供的与货物有关的技术、管理和</w:t>
      </w:r>
      <w:r>
        <w:rPr>
          <w:rFonts w:ascii="宋体" w:eastAsia="宋体" w:hAnsi="宋体"/>
          <w:szCs w:val="21"/>
          <w:lang w:val="en"/>
        </w:rPr>
        <w:t>其他</w:t>
      </w:r>
      <w:r>
        <w:rPr>
          <w:rFonts w:ascii="宋体" w:eastAsia="宋体" w:hAnsi="宋体"/>
          <w:szCs w:val="21"/>
        </w:rPr>
        <w:t>服务，包括但不限于：管理和质量保证、运输、保险、检验、现场准备、安装、集成、调试、培训、维修、废弃处置、技术支持等以及合同中规定乙方应承担的</w:t>
      </w:r>
      <w:r>
        <w:rPr>
          <w:rFonts w:ascii="宋体" w:eastAsia="宋体" w:hAnsi="宋体"/>
          <w:szCs w:val="21"/>
          <w:lang w:val="en"/>
        </w:rPr>
        <w:t>其他</w:t>
      </w:r>
      <w:r>
        <w:rPr>
          <w:rFonts w:ascii="宋体" w:eastAsia="宋体" w:hAnsi="宋体"/>
          <w:szCs w:val="21"/>
        </w:rPr>
        <w:t>义务。</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b/>
          <w:bCs/>
          <w:szCs w:val="21"/>
        </w:rPr>
        <w:t>政府采购合同专用条款</w:t>
      </w:r>
      <w:r>
        <w:rPr>
          <w:rFonts w:ascii="宋体" w:eastAsia="宋体" w:hAnsi="宋体"/>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（7）其他术语解释，见【</w:t>
      </w:r>
      <w:r>
        <w:rPr>
          <w:rFonts w:ascii="宋体" w:eastAsia="宋体" w:hAnsi="宋体"/>
          <w:b/>
          <w:bCs/>
          <w:szCs w:val="21"/>
        </w:rPr>
        <w:t>政府采购合同专用条款</w:t>
      </w:r>
      <w:r>
        <w:rPr>
          <w:rFonts w:ascii="宋体" w:eastAsia="宋体" w:hAnsi="宋体"/>
          <w:szCs w:val="21"/>
        </w:rPr>
        <w:t>】。</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sz w:val="24"/>
        </w:rPr>
        <w:t>2.</w:t>
      </w:r>
      <w:r>
        <w:rPr>
          <w:rFonts w:ascii="宋体" w:eastAsia="宋体" w:hAnsi="宋体"/>
          <w:b/>
          <w:sz w:val="24"/>
          <w:szCs w:val="20"/>
        </w:rPr>
        <w:t>合同标的及金额</w:t>
      </w:r>
    </w:p>
    <w:p>
      <w:pPr>
        <w:autoSpaceDE w:val="0"/>
        <w:autoSpaceDN w:val="0"/>
        <w:adjustRightInd w:val="0"/>
        <w:snapToGrid w:val="0"/>
        <w:spacing w:line="400" w:lineRule="exact"/>
        <w:ind w:firstLine="420" w:firstLineChars="200"/>
        <w:jc w:val="left"/>
        <w:rPr>
          <w:rFonts w:ascii="宋体" w:eastAsia="宋体" w:hAnsi="宋体"/>
          <w:b/>
          <w:bCs/>
          <w:i/>
          <w:iCs/>
          <w:szCs w:val="21"/>
        </w:rPr>
      </w:pPr>
      <w:r>
        <w:rPr>
          <w:rFonts w:ascii="宋体" w:eastAsia="宋体" w:hAnsi="宋体"/>
          <w:szCs w:val="21"/>
        </w:rPr>
        <w:t>2.1 合同标的及金额应与中标（成交）结果一致。乙方为履行本合同而发生的所有费用均应包含在合同价款中，甲方不再另行支付</w:t>
      </w:r>
      <w:r>
        <w:rPr>
          <w:rFonts w:ascii="宋体" w:eastAsia="宋体" w:hAnsi="宋体"/>
          <w:szCs w:val="21"/>
          <w:lang w:val="en"/>
        </w:rPr>
        <w:t>其他</w:t>
      </w:r>
      <w:r>
        <w:rPr>
          <w:rFonts w:ascii="宋体" w:eastAsia="宋体" w:hAnsi="宋体"/>
          <w:szCs w:val="21"/>
        </w:rPr>
        <w:t>任何费用。</w:t>
      </w:r>
    </w:p>
    <w:p>
      <w:pPr>
        <w:adjustRightInd w:val="0"/>
        <w:snapToGrid w:val="0"/>
        <w:spacing w:line="400" w:lineRule="exact"/>
        <w:jc w:val="left"/>
        <w:rPr>
          <w:rFonts w:ascii="宋体" w:eastAsia="宋体" w:hAnsi="宋体"/>
          <w:b/>
          <w:szCs w:val="20"/>
        </w:rPr>
      </w:pPr>
      <w:r>
        <w:rPr>
          <w:rFonts w:ascii="宋体" w:eastAsia="宋体" w:hAnsi="宋体"/>
          <w:b/>
          <w:sz w:val="24"/>
          <w:szCs w:val="20"/>
        </w:rPr>
        <w:t>3.履行合同的时间、地点和方式</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 xml:space="preserve">3.1 </w:t>
      </w:r>
      <w:r>
        <w:rPr>
          <w:rFonts w:ascii="宋体" w:eastAsia="宋体" w:hAnsi="宋体" w:cs="宋体"/>
          <w:szCs w:val="21"/>
        </w:rPr>
        <w:t>乙方应当在约定的时间、地点，按照约定方式履行合同。</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4.甲方的权利和义务</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4.1 签署合同后，甲方应确定项目负责人（或项目联系人），负责与本合同有关的事务。甲方有权对乙方的履约行为进行检查，并及时确认乙方提交的事项。甲方应当配合乙方完成相关项目实施工作。</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4.2 甲方有权要求乙方按时提交各阶段有关安排计划，并有权定期核对乙方提供货物数量、规格、质量等内容。甲方有权督促乙方工作并要求乙方更换不符合要求的货物。</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4.3 甲方有权要求乙方对缺陷部分予以修复，并按合同约定享有货物保修及其他合同约定的权利。</w:t>
      </w:r>
    </w:p>
    <w:p>
      <w:pPr>
        <w:snapToGrid w:val="0"/>
        <w:spacing w:line="400" w:lineRule="exact"/>
        <w:ind w:firstLine="420" w:firstLineChars="200"/>
        <w:rPr>
          <w:rFonts w:ascii="宋体" w:eastAsia="宋体" w:hAnsi="宋体"/>
          <w:szCs w:val="20"/>
        </w:rPr>
      </w:pPr>
      <w:r>
        <w:rPr>
          <w:rFonts w:ascii="宋体" w:eastAsia="宋体" w:hAnsi="宋体"/>
          <w:szCs w:val="21"/>
        </w:rPr>
        <w:t>4.4 甲方应当按照合同约定及时对交付的货物进行验收，</w:t>
      </w:r>
      <w:r>
        <w:rPr>
          <w:rFonts w:ascii="宋体" w:eastAsia="宋体" w:hAnsi="宋体" w:cs="宋体"/>
          <w:szCs w:val="21"/>
        </w:rPr>
        <w:t>未</w:t>
      </w:r>
      <w:r>
        <w:rPr>
          <w:rFonts w:ascii="宋体" w:eastAsia="宋体" w:hAnsi="宋体"/>
          <w:szCs w:val="21"/>
        </w:rPr>
        <w:t>在</w:t>
      </w:r>
      <w:r>
        <w:rPr>
          <w:rFonts w:ascii="宋体" w:eastAsia="宋体" w:hAnsi="宋体" w:cs="宋体"/>
          <w:b/>
          <w:bCs/>
          <w:szCs w:val="21"/>
        </w:rPr>
        <w:t>【政府采购合同专用条款】</w:t>
      </w:r>
      <w:r>
        <w:rPr>
          <w:rFonts w:ascii="宋体" w:eastAsia="宋体" w:hAnsi="宋体" w:cs="宋体"/>
          <w:szCs w:val="21"/>
        </w:rPr>
        <w:t>约定的期限内对乙方履约提出任何异议或者向乙方作出任何说明的，</w:t>
      </w:r>
      <w:r>
        <w:rPr>
          <w:rFonts w:ascii="宋体" w:eastAsia="宋体" w:hAnsi="宋体"/>
          <w:szCs w:val="21"/>
        </w:rPr>
        <w:t>视为验收通过。</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4.5 国家法律法规规定及</w:t>
      </w:r>
      <w:r>
        <w:rPr>
          <w:rFonts w:ascii="宋体" w:eastAsia="宋体" w:hAnsi="宋体" w:cs="宋体"/>
          <w:b/>
          <w:bCs/>
          <w:szCs w:val="21"/>
        </w:rPr>
        <w:t>【政府采购合同专用条款】</w:t>
      </w:r>
      <w:r>
        <w:rPr>
          <w:rFonts w:ascii="宋体" w:eastAsia="宋体" w:hAnsi="宋体"/>
          <w:szCs w:val="21"/>
        </w:rPr>
        <w:t>约定应由甲方承担的其他义务和责任。</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5.乙方的权利和义务</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5.1 签署合同后，乙方应确定项目负责人（或项目联系人），负责与本合同有关的事务。</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pPr>
        <w:widowControl/>
        <w:spacing w:line="400" w:lineRule="exact"/>
        <w:ind w:firstLine="370" w:firstLineChars="176"/>
        <w:jc w:val="left"/>
        <w:rPr>
          <w:rFonts w:ascii="宋体" w:eastAsia="宋体" w:hAnsi="宋体" w:cs="宋体"/>
          <w:kern w:val="20"/>
          <w:szCs w:val="21"/>
          <w:lang w:val="zh-CN"/>
        </w:rPr>
      </w:pPr>
      <w:r>
        <w:rPr>
          <w:rFonts w:ascii="宋体" w:eastAsia="宋体" w:hAnsi="宋体"/>
          <w:kern w:val="20"/>
          <w:szCs w:val="21"/>
          <w:lang w:val="zh-CN"/>
        </w:rPr>
        <w:t>5.3乙方有权</w:t>
      </w:r>
      <w:r>
        <w:rPr>
          <w:rFonts w:ascii="宋体" w:eastAsia="宋体" w:hAnsi="宋体" w:cs="宋体"/>
          <w:kern w:val="20"/>
          <w:szCs w:val="21"/>
          <w:lang w:val="zh-CN"/>
        </w:rPr>
        <w:t>根据合同约定向甲方收取合同价款。</w:t>
      </w:r>
    </w:p>
    <w:p>
      <w:pPr>
        <w:widowControl/>
        <w:spacing w:line="400" w:lineRule="exact"/>
        <w:ind w:firstLine="370" w:firstLineChars="176"/>
        <w:jc w:val="left"/>
        <w:rPr>
          <w:rFonts w:ascii="宋体" w:eastAsia="宋体" w:hAnsi="宋体" w:cs="宋体"/>
          <w:kern w:val="20"/>
          <w:szCs w:val="21"/>
          <w:lang w:val="zh-CN"/>
        </w:rPr>
      </w:pPr>
      <w:r>
        <w:rPr>
          <w:rFonts w:ascii="宋体" w:eastAsia="宋体" w:hAnsi="宋体"/>
          <w:kern w:val="20"/>
          <w:szCs w:val="21"/>
          <w:lang w:val="zh-CN"/>
        </w:rPr>
        <w:t>5.4</w:t>
      </w:r>
      <w:r>
        <w:rPr>
          <w:rFonts w:ascii="宋体" w:eastAsia="宋体" w:hAnsi="宋体" w:cs="宋体"/>
          <w:kern w:val="20"/>
          <w:szCs w:val="21"/>
          <w:lang w:val="zh-CN"/>
        </w:rPr>
        <w:t>国家法律法规规定</w:t>
      </w:r>
      <w:r>
        <w:rPr>
          <w:rFonts w:ascii="宋体" w:eastAsia="宋体" w:hAnsi="宋体"/>
          <w:kern w:val="20"/>
          <w:szCs w:val="21"/>
          <w:lang w:val="zh-CN"/>
        </w:rPr>
        <w:t>及</w:t>
      </w:r>
      <w:r>
        <w:rPr>
          <w:rFonts w:ascii="宋体" w:eastAsia="宋体" w:hAnsi="宋体" w:cs="宋体"/>
          <w:b/>
          <w:bCs/>
          <w:kern w:val="20"/>
          <w:szCs w:val="21"/>
          <w:lang w:val="zh-CN"/>
        </w:rPr>
        <w:t>【政府采购合同专用条款】</w:t>
      </w:r>
      <w:r>
        <w:rPr>
          <w:rFonts w:ascii="宋体" w:eastAsia="宋体" w:hAnsi="宋体" w:cs="宋体"/>
          <w:kern w:val="20"/>
          <w:szCs w:val="21"/>
          <w:lang w:val="zh-CN"/>
        </w:rPr>
        <w:t>约定应由乙方承担的其他义务和责任。</w:t>
      </w:r>
    </w:p>
    <w:p>
      <w:pPr>
        <w:autoSpaceDE w:val="0"/>
        <w:autoSpaceDN w:val="0"/>
        <w:adjustRightInd w:val="0"/>
        <w:snapToGrid w:val="0"/>
        <w:rPr>
          <w:rFonts w:ascii="宋体" w:eastAsia="宋体" w:hAnsi="宋体" w:cs="宋体"/>
          <w:szCs w:val="21"/>
        </w:rPr>
      </w:pPr>
      <w:r>
        <w:rPr>
          <w:rFonts w:ascii="宋体" w:eastAsia="宋体" w:hAnsi="宋体"/>
          <w:b/>
          <w:bCs/>
          <w:sz w:val="24"/>
        </w:rPr>
        <w:t>6.丙方的权利和义务</w:t>
      </w:r>
    </w:p>
    <w:p>
      <w:pPr>
        <w:widowControl/>
        <w:spacing w:line="400" w:lineRule="exact"/>
        <w:ind w:firstLine="420" w:firstLineChars="200"/>
        <w:jc w:val="left"/>
        <w:rPr>
          <w:rFonts w:ascii="宋体" w:eastAsia="宋体" w:hAnsi="宋体" w:cs="宋体"/>
          <w:kern w:val="20"/>
          <w:szCs w:val="21"/>
        </w:rPr>
      </w:pPr>
      <w:r>
        <w:rPr>
          <w:rFonts w:ascii="宋体" w:eastAsia="宋体" w:hAnsi="宋体" w:cs="宋体"/>
          <w:kern w:val="20"/>
          <w:szCs w:val="21"/>
        </w:rPr>
        <w:t>6.1 丙方按照甲方安排，根据合同约定及时向乙方支付合同价款，不得以内部人员变更、履行内部付款流程等为由，拒绝或迟延支付。</w:t>
      </w:r>
    </w:p>
    <w:p>
      <w:pPr>
        <w:widowControl/>
        <w:spacing w:line="400" w:lineRule="exact"/>
        <w:ind w:firstLine="420" w:firstLineChars="200"/>
        <w:jc w:val="left"/>
        <w:rPr>
          <w:rFonts w:ascii="宋体" w:eastAsia="宋体" w:hAnsi="宋体" w:cs="宋体"/>
          <w:kern w:val="20"/>
          <w:szCs w:val="21"/>
        </w:rPr>
      </w:pPr>
      <w:r>
        <w:rPr>
          <w:rFonts w:ascii="宋体" w:eastAsia="宋体" w:hAnsi="宋体" w:cs="宋体"/>
          <w:kern w:val="20"/>
          <w:szCs w:val="21"/>
        </w:rPr>
        <w:t>6.2 国家法律法规规定及【政府采购合同专用条款】约定应由丙方承担的其他义务和责任。</w:t>
      </w:r>
    </w:p>
    <w:p>
      <w:pPr>
        <w:numPr>
          <w:ilvl w:val="12"/>
          <w:numId w:val="0"/>
        </w:num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7.合同履行</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7.1 各方应当按照</w:t>
      </w:r>
      <w:r>
        <w:rPr>
          <w:rFonts w:ascii="宋体" w:eastAsia="宋体" w:hAnsi="宋体" w:cs="宋体"/>
          <w:b/>
          <w:bCs/>
          <w:szCs w:val="21"/>
        </w:rPr>
        <w:t>【政府采购合同专用条款】</w:t>
      </w:r>
      <w:r>
        <w:rPr>
          <w:rFonts w:ascii="宋体" w:eastAsia="宋体" w:hAnsi="宋体"/>
          <w:szCs w:val="21"/>
        </w:rPr>
        <w:t>约定顺序履行合同义务；如果没有先后顺序的，应当同时履行。</w:t>
      </w:r>
    </w:p>
    <w:p>
      <w:pPr>
        <w:autoSpaceDE w:val="0"/>
        <w:autoSpaceDN w:val="0"/>
        <w:adjustRightInd w:val="0"/>
        <w:snapToGrid w:val="0"/>
        <w:spacing w:line="400" w:lineRule="exact"/>
        <w:ind w:firstLine="420" w:firstLineChars="200"/>
        <w:jc w:val="left"/>
        <w:rPr>
          <w:rFonts w:ascii="宋体" w:eastAsia="宋体" w:hAnsi="宋体"/>
          <w:szCs w:val="20"/>
        </w:rPr>
      </w:pPr>
      <w:r>
        <w:rPr>
          <w:rFonts w:ascii="宋体" w:eastAsia="宋体" w:hAnsi="宋体"/>
          <w:szCs w:val="21"/>
        </w:rPr>
        <w:t>7.2 各方按照合同约定顺序履行合同义务时，应当先履行一方未履行的，后履行一方有权拒绝其履行请求。先履行一方履行不符合约定的，后履行一方有权拒绝其相应的履行请求。</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8.货物包装、运输、保险和交付要求</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8.1 本合同</w:t>
      </w:r>
      <w:r>
        <w:rPr>
          <w:rFonts w:ascii="宋体" w:eastAsia="宋体" w:hAnsi="宋体"/>
          <w:bCs/>
          <w:szCs w:val="21"/>
        </w:rPr>
        <w:t>涉及商品包装、快递包装的，</w:t>
      </w:r>
      <w:r>
        <w:rPr>
          <w:rFonts w:ascii="宋体" w:eastAsia="宋体" w:hAnsi="宋体"/>
          <w:szCs w:val="21"/>
        </w:rPr>
        <w:t>除</w:t>
      </w:r>
      <w:r>
        <w:rPr>
          <w:rFonts w:ascii="宋体" w:eastAsia="宋体" w:hAnsi="宋体"/>
          <w:b/>
          <w:szCs w:val="21"/>
        </w:rPr>
        <w:t>【政府采购合同专用条款】</w:t>
      </w:r>
      <w:r>
        <w:rPr>
          <w:rFonts w:ascii="宋体" w:eastAsia="宋体" w:hAnsi="宋体"/>
          <w:bCs/>
          <w:szCs w:val="21"/>
        </w:rPr>
        <w:t>另有约定外，</w:t>
      </w:r>
      <w:r>
        <w:rPr>
          <w:rFonts w:ascii="宋体" w:eastAsia="宋体" w:hAnsi="宋体"/>
          <w:szCs w:val="21"/>
        </w:rPr>
        <w:t>包装应适应远距离运输、防潮、防震、防锈和防野蛮装卸等要求，确保货物安全无损地运抵</w:t>
      </w:r>
      <w:r>
        <w:rPr>
          <w:rFonts w:ascii="宋体" w:eastAsia="宋体" w:hAnsi="宋体"/>
          <w:b/>
          <w:szCs w:val="21"/>
        </w:rPr>
        <w:t>【政府采购合同专用条款】</w:t>
      </w:r>
      <w:r>
        <w:rPr>
          <w:rFonts w:ascii="宋体" w:eastAsia="宋体" w:hAnsi="宋体"/>
          <w:bCs/>
          <w:szCs w:val="21"/>
        </w:rPr>
        <w:t>约定的</w:t>
      </w:r>
      <w:r>
        <w:rPr>
          <w:rFonts w:ascii="宋体" w:eastAsia="宋体" w:hAnsi="宋体"/>
          <w:szCs w:val="21"/>
        </w:rPr>
        <w:t>指定现场。</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8.2 除</w:t>
      </w:r>
      <w:r>
        <w:rPr>
          <w:rFonts w:ascii="宋体" w:eastAsia="宋体" w:hAnsi="宋体"/>
          <w:b/>
          <w:szCs w:val="21"/>
        </w:rPr>
        <w:t>【政府采购合同专用条款】</w:t>
      </w:r>
      <w:r>
        <w:rPr>
          <w:rFonts w:ascii="宋体" w:eastAsia="宋体" w:hAnsi="宋体"/>
          <w:bCs/>
          <w:szCs w:val="21"/>
        </w:rPr>
        <w:t>另有约定外，</w:t>
      </w:r>
      <w:r>
        <w:rPr>
          <w:rFonts w:ascii="宋体" w:eastAsia="宋体" w:hAnsi="宋体"/>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8.3 货物保险要求按</w:t>
      </w:r>
      <w:r>
        <w:rPr>
          <w:rFonts w:ascii="宋体" w:eastAsia="宋体" w:hAnsi="宋体"/>
          <w:b/>
          <w:szCs w:val="21"/>
        </w:rPr>
        <w:t>【政府采购合同专用条款】</w:t>
      </w:r>
      <w:r>
        <w:rPr>
          <w:rFonts w:ascii="宋体" w:eastAsia="宋体" w:hAnsi="宋体"/>
          <w:bCs/>
          <w:szCs w:val="21"/>
        </w:rPr>
        <w:t>规定执行</w:t>
      </w:r>
      <w:r>
        <w:rPr>
          <w:rFonts w:ascii="宋体" w:eastAsia="宋体" w:hAnsi="宋体"/>
          <w:szCs w:val="21"/>
        </w:rPr>
        <w:t>。</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8.4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 xml:space="preserve">8.5 </w:t>
      </w:r>
      <w:r>
        <w:rPr>
          <w:rFonts w:ascii="宋体" w:eastAsia="宋体" w:hAnsi="宋体" w:cs="宋体"/>
          <w:szCs w:val="21"/>
        </w:rPr>
        <w:t>乙方在运输到达之前应提前通知甲方，并提示货物运输装卸的注意事项，甲方配合乙方做好货物的接收工作。</w:t>
      </w:r>
    </w:p>
    <w:p>
      <w:pPr>
        <w:widowControl/>
        <w:autoSpaceDE w:val="0"/>
        <w:autoSpaceDN w:val="0"/>
        <w:adjustRightInd w:val="0"/>
        <w:spacing w:line="400" w:lineRule="exact"/>
        <w:ind w:firstLine="420" w:firstLineChars="200"/>
        <w:jc w:val="left"/>
        <w:rPr>
          <w:rFonts w:ascii="宋体" w:eastAsia="宋体" w:hAnsi="宋体" w:cs="华文楷体"/>
          <w:kern w:val="0"/>
          <w:szCs w:val="21"/>
        </w:rPr>
      </w:pPr>
      <w:r>
        <w:rPr>
          <w:rFonts w:ascii="宋体" w:eastAsia="宋体" w:hAnsi="宋体"/>
          <w:szCs w:val="21"/>
        </w:rPr>
        <w:t>8.6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eastAsia="宋体" w:hAnsi="宋体"/>
          <w:b/>
          <w:szCs w:val="20"/>
        </w:rPr>
      </w:pPr>
      <w:r>
        <w:rPr>
          <w:rFonts w:ascii="宋体" w:eastAsia="宋体" w:hAnsi="宋体"/>
          <w:b/>
          <w:sz w:val="24"/>
          <w:szCs w:val="20"/>
        </w:rPr>
        <w:t>9.质量标准和保证</w:t>
      </w:r>
    </w:p>
    <w:p>
      <w:pPr>
        <w:adjustRightInd w:val="0"/>
        <w:snapToGrid w:val="0"/>
        <w:spacing w:line="400" w:lineRule="exact"/>
        <w:ind w:firstLine="420" w:firstLineChars="200"/>
        <w:jc w:val="left"/>
        <w:rPr>
          <w:rFonts w:ascii="宋体" w:eastAsia="宋体" w:hAnsi="宋体"/>
          <w:b/>
          <w:szCs w:val="21"/>
        </w:rPr>
      </w:pPr>
      <w:r>
        <w:rPr>
          <w:rFonts w:ascii="宋体" w:eastAsia="宋体" w:hAnsi="宋体"/>
          <w:szCs w:val="21"/>
        </w:rPr>
        <w:t>9.1 质量标准</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（1）本合同下提供的货物应符合合同</w:t>
      </w:r>
      <w:r>
        <w:rPr>
          <w:rFonts w:ascii="宋体" w:eastAsia="宋体" w:hAnsi="宋体" w:cs="宋体"/>
          <w:szCs w:val="21"/>
        </w:rPr>
        <w:t>约定的品牌、规格型号、技术性能、配置、质量、数量等要求。</w:t>
      </w:r>
      <w:r>
        <w:rPr>
          <w:rFonts w:ascii="宋体" w:eastAsia="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（2）采用中华人民共和国法定计量单位。</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9.2 保证</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（1）乙方应保证提供的货物完全符合合同规定的质量、规格和性能要求。乙方应保证货物在正确安装、正常使用和保养条件下，</w:t>
      </w:r>
      <w:r>
        <w:rPr>
          <w:rFonts w:ascii="宋体" w:eastAsia="宋体" w:hAnsi="宋体" w:cs="宋体"/>
          <w:szCs w:val="21"/>
        </w:rPr>
        <w:t>在其使用寿命期内具备合同约定的性能</w:t>
      </w:r>
      <w:r>
        <w:rPr>
          <w:rFonts w:ascii="宋体" w:eastAsia="宋体" w:hAnsi="宋体"/>
          <w:szCs w:val="21"/>
        </w:rPr>
        <w:t>。存在质量保证期的，货物最终交付验收合格后在</w:t>
      </w:r>
      <w:r>
        <w:rPr>
          <w:rFonts w:ascii="宋体" w:eastAsia="宋体" w:hAnsi="宋体"/>
          <w:b/>
          <w:szCs w:val="21"/>
        </w:rPr>
        <w:t>【政府采购合同专用条款】</w:t>
      </w:r>
      <w:r>
        <w:rPr>
          <w:rFonts w:ascii="宋体" w:eastAsia="宋体" w:hAnsi="宋体"/>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（3）乙方收到通知后，应在</w:t>
      </w:r>
      <w:r>
        <w:rPr>
          <w:rFonts w:ascii="宋体" w:eastAsia="宋体" w:hAnsi="宋体"/>
          <w:b/>
          <w:szCs w:val="21"/>
        </w:rPr>
        <w:t>【政府采购合同专用条款】</w:t>
      </w:r>
      <w:r>
        <w:rPr>
          <w:rFonts w:ascii="宋体" w:eastAsia="宋体" w:hAnsi="宋体"/>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pPr>
        <w:adjustRightInd w:val="0"/>
        <w:snapToGrid w:val="0"/>
        <w:spacing w:line="400" w:lineRule="exact"/>
        <w:ind w:firstLine="420" w:firstLineChars="200"/>
        <w:jc w:val="left"/>
        <w:rPr>
          <w:rFonts w:ascii="宋体" w:eastAsia="宋体" w:hAnsi="宋体"/>
          <w:szCs w:val="20"/>
        </w:rPr>
      </w:pPr>
      <w:r>
        <w:rPr>
          <w:rFonts w:ascii="宋体" w:eastAsia="宋体" w:hAnsi="宋体"/>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eastAsia="宋体" w:hAnsi="宋体"/>
          <w:b/>
          <w:bCs/>
          <w:szCs w:val="20"/>
        </w:rPr>
      </w:pPr>
      <w:r>
        <w:rPr>
          <w:rFonts w:ascii="宋体" w:eastAsia="宋体" w:hAnsi="宋体"/>
          <w:b/>
          <w:bCs/>
          <w:sz w:val="24"/>
          <w:szCs w:val="20"/>
        </w:rPr>
        <w:t>10.权利瑕疵担保</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10.1 乙方保证对其出售的货物享有合法的权利。</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 xml:space="preserve">10.2 </w:t>
      </w:r>
      <w:r>
        <w:rPr>
          <w:rFonts w:ascii="宋体" w:eastAsia="宋体" w:hAnsi="宋体" w:cs="宋体"/>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10.3 如甲方使用上述货物构成对第三人侵权的，则由乙方承担全部责任。</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11. 知识产权保护</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11.1 乙方对其所销售的货物应当享有知识产权或经权利人合法授权，保证没有侵犯任何第三人的知识产权等权利。</w:t>
      </w:r>
      <w:r>
        <w:rPr>
          <w:rFonts w:ascii="宋体" w:eastAsia="宋体" w:hAnsi="宋体" w:cs="宋体"/>
          <w:szCs w:val="15"/>
        </w:rPr>
        <w:t>因违反前述约定对第三人构成侵权的，应当由乙方向第三人承担法律责任；甲方依法向第三人赔偿后，有权向乙方追偿。甲方有其他损失的，乙方应当赔偿</w:t>
      </w:r>
      <w:r>
        <w:rPr>
          <w:rFonts w:ascii="宋体" w:eastAsia="宋体" w:hAnsi="宋体"/>
          <w:szCs w:val="21"/>
        </w:rPr>
        <w:t>。</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11.2 如因乙方提供的货物侵犯第三方知识产权给甲方造成损失的，乙方应承担全部赔偿责任，包括但不限于甲方因此支付的赔偿金、律师费、诉讼费等。乙方承诺对其提供的货物的知识产权合法性承担全部法律责任，如出现任何知识产权纠纷，与甲方无关。若因此影响甲方使用的，甲方有权解除合同，要求乙方退还相应价款并承担合同总金额20%违约金。</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12.保密义务</w:t>
      </w:r>
    </w:p>
    <w:p>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szCs w:val="15"/>
        </w:rPr>
        <w:t>12.1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b/>
          <w:bCs/>
          <w:szCs w:val="15"/>
        </w:rPr>
        <w:t>【政府采购合同专用条款】</w:t>
      </w:r>
      <w:r>
        <w:rPr>
          <w:rFonts w:ascii="宋体" w:eastAsia="宋体" w:hAnsi="宋体" w:cs="宋体"/>
          <w:szCs w:val="15"/>
        </w:rPr>
        <w:t>中约定。</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13.合同价款支付</w:t>
      </w:r>
    </w:p>
    <w:p>
      <w:pPr>
        <w:numPr>
          <w:ilvl w:val="12"/>
          <w:numId w:val="0"/>
        </w:numPr>
        <w:adjustRightInd w:val="0"/>
        <w:snapToGrid w:val="0"/>
        <w:spacing w:line="400" w:lineRule="exact"/>
        <w:ind w:left="420"/>
        <w:jc w:val="left"/>
        <w:rPr>
          <w:rFonts w:ascii="宋体" w:eastAsia="宋体" w:hAnsi="宋体"/>
          <w:szCs w:val="21"/>
        </w:rPr>
      </w:pPr>
      <w:r>
        <w:rPr>
          <w:rFonts w:ascii="宋体" w:eastAsia="宋体" w:hAnsi="宋体"/>
          <w:szCs w:val="21"/>
        </w:rPr>
        <w:t>13.1合同价款支付按照国库集中支付制度及财政管理相关规定执行。</w:t>
      </w:r>
    </w:p>
    <w:p>
      <w:pPr>
        <w:spacing w:line="400" w:lineRule="exact"/>
        <w:ind w:firstLine="420" w:firstLineChars="200"/>
        <w:rPr>
          <w:rFonts w:ascii="宋体" w:eastAsia="宋体" w:hAnsi="宋体"/>
          <w:szCs w:val="20"/>
        </w:rPr>
      </w:pPr>
      <w:r>
        <w:rPr>
          <w:rFonts w:ascii="宋体" w:eastAsia="宋体" w:hAnsi="宋体"/>
          <w:szCs w:val="21"/>
        </w:rPr>
        <w:t>13.2 对于满足合同约定支付条件的，丙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widowControl/>
        <w:spacing w:line="400" w:lineRule="exact"/>
        <w:jc w:val="left"/>
        <w:rPr>
          <w:rFonts w:ascii="宋体" w:eastAsia="宋体" w:hAnsi="宋体"/>
          <w:b/>
          <w:bCs/>
          <w:kern w:val="20"/>
          <w:lang w:val="zh-CN"/>
        </w:rPr>
      </w:pPr>
      <w:r>
        <w:rPr>
          <w:rFonts w:ascii="宋体" w:eastAsia="宋体" w:hAnsi="宋体"/>
          <w:b/>
          <w:bCs/>
          <w:kern w:val="20"/>
          <w:sz w:val="24"/>
          <w:szCs w:val="24"/>
          <w:lang w:val="zh-CN"/>
        </w:rPr>
        <w:t>1</w:t>
      </w:r>
      <w:r>
        <w:rPr>
          <w:rFonts w:ascii="宋体" w:eastAsia="宋体" w:hAnsi="宋体"/>
          <w:b/>
          <w:bCs/>
          <w:kern w:val="20"/>
          <w:sz w:val="24"/>
          <w:szCs w:val="24"/>
        </w:rPr>
        <w:t>4</w:t>
      </w:r>
      <w:r>
        <w:rPr>
          <w:rFonts w:ascii="宋体" w:eastAsia="宋体" w:hAnsi="宋体"/>
          <w:b/>
          <w:bCs/>
          <w:kern w:val="20"/>
          <w:sz w:val="24"/>
          <w:szCs w:val="24"/>
          <w:lang w:val="zh-CN"/>
        </w:rPr>
        <w:t>.履约保证金</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 xml:space="preserve">14.1 </w:t>
      </w:r>
      <w:r>
        <w:rPr>
          <w:rFonts w:ascii="宋体" w:eastAsia="宋体" w:hAnsi="宋体" w:cs="宋体"/>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14.2 如果乙方出现</w:t>
      </w:r>
      <w:r>
        <w:rPr>
          <w:rFonts w:ascii="宋体" w:eastAsia="宋体" w:hAnsi="宋体" w:cs="宋体"/>
          <w:b/>
          <w:bCs/>
          <w:szCs w:val="15"/>
        </w:rPr>
        <w:t>【政府采购合同专用条款】</w:t>
      </w:r>
      <w:r>
        <w:rPr>
          <w:rFonts w:ascii="宋体" w:eastAsia="宋体" w:hAnsi="宋体" w:cs="宋体"/>
          <w:szCs w:val="15"/>
        </w:rPr>
        <w:t>约定情形的</w:t>
      </w:r>
      <w:r>
        <w:rPr>
          <w:rFonts w:ascii="宋体" w:eastAsia="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rFonts w:ascii="宋体" w:eastAsia="宋体" w:hAnsi="宋体"/>
          <w:szCs w:val="20"/>
        </w:rPr>
      </w:pPr>
      <w:r>
        <w:rPr>
          <w:rFonts w:ascii="宋体" w:eastAsia="宋体" w:hAnsi="宋体"/>
          <w:szCs w:val="21"/>
        </w:rPr>
        <w:t>14.3 甲方在项目通过验收后按照</w:t>
      </w:r>
      <w:r>
        <w:rPr>
          <w:rFonts w:ascii="宋体" w:eastAsia="宋体" w:hAnsi="宋体"/>
          <w:b/>
          <w:szCs w:val="21"/>
        </w:rPr>
        <w:t>【政府采购合同专用条款】</w:t>
      </w:r>
      <w:r>
        <w:rPr>
          <w:rFonts w:ascii="宋体" w:eastAsia="宋体" w:hAnsi="宋体"/>
          <w:szCs w:val="21"/>
        </w:rPr>
        <w:t>规定的时间内将履约保证金退还乙方；逾期退还的，乙方可要求甲方支付违约金，违约金按照</w:t>
      </w:r>
      <w:r>
        <w:rPr>
          <w:rFonts w:ascii="宋体" w:eastAsia="宋体" w:hAnsi="宋体"/>
          <w:b/>
          <w:szCs w:val="21"/>
        </w:rPr>
        <w:t>【政府采购合同专用条款】</w:t>
      </w:r>
      <w:r>
        <w:rPr>
          <w:rFonts w:ascii="宋体" w:eastAsia="宋体" w:hAnsi="宋体"/>
          <w:szCs w:val="21"/>
        </w:rPr>
        <w:t>规定支付。</w:t>
      </w:r>
    </w:p>
    <w:p>
      <w:pPr>
        <w:autoSpaceDE w:val="0"/>
        <w:autoSpaceDN w:val="0"/>
        <w:adjustRightInd w:val="0"/>
        <w:snapToGrid w:val="0"/>
        <w:spacing w:line="400" w:lineRule="exact"/>
        <w:jc w:val="left"/>
        <w:rPr>
          <w:rFonts w:ascii="宋体" w:eastAsia="宋体" w:hAnsi="宋体"/>
          <w:b/>
          <w:szCs w:val="20"/>
        </w:rPr>
      </w:pPr>
      <w:r>
        <w:rPr>
          <w:rFonts w:ascii="宋体" w:eastAsia="宋体" w:hAnsi="宋体"/>
          <w:b/>
          <w:bCs/>
          <w:sz w:val="24"/>
          <w:szCs w:val="20"/>
        </w:rPr>
        <w:t>15.</w:t>
      </w:r>
      <w:r>
        <w:rPr>
          <w:rFonts w:ascii="宋体" w:eastAsia="宋体" w:hAnsi="宋体"/>
          <w:b/>
          <w:sz w:val="24"/>
          <w:szCs w:val="20"/>
        </w:rPr>
        <w:t>售后服务</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15.1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（3）在</w:t>
      </w:r>
      <w:r>
        <w:rPr>
          <w:rFonts w:ascii="宋体" w:eastAsia="宋体" w:hAnsi="宋体" w:cs="宋体"/>
          <w:b/>
          <w:bCs/>
          <w:szCs w:val="15"/>
        </w:rPr>
        <w:t>【政府采购合同专用条款】</w:t>
      </w:r>
      <w:r>
        <w:rPr>
          <w:rFonts w:ascii="宋体" w:eastAsia="宋体" w:hAnsi="宋体"/>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（4）在制造商所在地或指定现场就货物的安装、启动、运营、维护、废弃处置等对甲方操作人员进行培训</w:t>
      </w:r>
      <w:r>
        <w:rPr>
          <w:rFonts w:ascii="宋体" w:eastAsia="宋体" w:hAnsi="宋体" w:cs="宋体"/>
          <w:szCs w:val="15"/>
        </w:rPr>
        <w:t>；</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kern w:val="0"/>
          <w:szCs w:val="21"/>
        </w:rPr>
        <w:t>（5）依照法律、行政法规的规定或者按照</w:t>
      </w:r>
      <w:r>
        <w:rPr>
          <w:rFonts w:ascii="宋体" w:eastAsia="宋体" w:hAnsi="宋体" w:cs="宋体"/>
          <w:b/>
          <w:bCs/>
          <w:kern w:val="0"/>
          <w:szCs w:val="21"/>
        </w:rPr>
        <w:t>【政府采购合同专用条款】</w:t>
      </w:r>
      <w:r>
        <w:rPr>
          <w:rFonts w:ascii="宋体" w:eastAsia="宋体" w:hAnsi="宋体" w:cs="宋体"/>
          <w:kern w:val="0"/>
          <w:szCs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（6）</w:t>
      </w:r>
      <w:r>
        <w:rPr>
          <w:rFonts w:ascii="宋体" w:eastAsia="宋体" w:hAnsi="宋体"/>
          <w:b/>
          <w:szCs w:val="21"/>
        </w:rPr>
        <w:t>【政府采购合同专用条款】</w:t>
      </w:r>
      <w:r>
        <w:rPr>
          <w:rFonts w:ascii="宋体" w:eastAsia="宋体" w:hAnsi="宋体"/>
          <w:szCs w:val="21"/>
        </w:rPr>
        <w:t>规定由乙方提供的其他服务。</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15.2 乙方提供的售后服务的费用已包含在合同价款中，甲方不再另行支付。</w:t>
      </w:r>
    </w:p>
    <w:p>
      <w:pPr>
        <w:adjustRightInd w:val="0"/>
        <w:snapToGrid w:val="0"/>
        <w:spacing w:line="400" w:lineRule="exact"/>
        <w:jc w:val="left"/>
        <w:rPr>
          <w:rFonts w:ascii="宋体" w:eastAsia="宋体" w:hAnsi="宋体"/>
          <w:b/>
          <w:bCs/>
          <w:szCs w:val="20"/>
        </w:rPr>
      </w:pPr>
      <w:r>
        <w:rPr>
          <w:rFonts w:ascii="宋体" w:eastAsia="宋体" w:hAnsi="宋体"/>
          <w:b/>
          <w:bCs/>
          <w:sz w:val="24"/>
          <w:szCs w:val="20"/>
        </w:rPr>
        <w:t>16.违约责任</w:t>
      </w:r>
    </w:p>
    <w:p>
      <w:pPr>
        <w:adjustRightInd w:val="0"/>
        <w:snapToGrid w:val="0"/>
        <w:spacing w:line="400" w:lineRule="exact"/>
        <w:ind w:firstLine="420" w:firstLineChars="200"/>
        <w:jc w:val="left"/>
        <w:rPr>
          <w:rFonts w:ascii="宋体" w:eastAsia="宋体" w:hAnsi="宋体"/>
          <w:bCs/>
          <w:szCs w:val="21"/>
        </w:rPr>
      </w:pPr>
      <w:r>
        <w:rPr>
          <w:rFonts w:ascii="宋体" w:eastAsia="宋体" w:hAnsi="宋体"/>
          <w:bCs/>
          <w:szCs w:val="21"/>
        </w:rPr>
        <w:t>16.1质量瑕疵的违约责任</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乙方提供的产品不符合合同约定的质量标准或存在产品质量缺陷，甲方有权要求乙方根据</w:t>
      </w:r>
      <w:r>
        <w:rPr>
          <w:rFonts w:ascii="宋体" w:eastAsia="宋体" w:hAnsi="宋体"/>
          <w:b/>
          <w:szCs w:val="21"/>
        </w:rPr>
        <w:t>【政府采购合同专用条款】</w:t>
      </w:r>
      <w:r>
        <w:rPr>
          <w:rFonts w:ascii="宋体" w:eastAsia="宋体" w:hAnsi="宋体"/>
          <w:bCs/>
          <w:szCs w:val="21"/>
        </w:rPr>
        <w:t>要求</w:t>
      </w:r>
      <w:r>
        <w:rPr>
          <w:rFonts w:ascii="宋体" w:eastAsia="宋体" w:hAnsi="宋体"/>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eastAsia="宋体" w:hAnsi="宋体"/>
          <w:bCs/>
          <w:szCs w:val="21"/>
        </w:rPr>
      </w:pPr>
      <w:r>
        <w:rPr>
          <w:rFonts w:ascii="宋体" w:eastAsia="宋体" w:hAnsi="宋体"/>
          <w:bCs/>
          <w:szCs w:val="21"/>
        </w:rPr>
        <w:t>16.2 迟延交货的违约责任</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（2）如果乙方没有按照合同规定的时间交货和提供相关服务，甲方有权从货款中扣除误期赔偿费而不影响合同项下的其他补救方法，赔偿费按</w:t>
      </w:r>
      <w:r>
        <w:rPr>
          <w:rFonts w:ascii="宋体" w:eastAsia="宋体" w:hAnsi="宋体"/>
          <w:b/>
          <w:szCs w:val="21"/>
        </w:rPr>
        <w:t>【政府采购合同专用条款】</w:t>
      </w:r>
      <w:r>
        <w:rPr>
          <w:rFonts w:ascii="宋体" w:eastAsia="宋体" w:hAnsi="宋体"/>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16.3 迟延支付的违约责任</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甲方存在迟延支付乙方合同款项的，应当承担</w:t>
      </w:r>
      <w:r>
        <w:rPr>
          <w:rFonts w:ascii="宋体" w:eastAsia="宋体" w:hAnsi="宋体"/>
          <w:b/>
          <w:bCs/>
          <w:szCs w:val="21"/>
        </w:rPr>
        <w:t>【政府采购合同专用条款】</w:t>
      </w:r>
      <w:r>
        <w:rPr>
          <w:rFonts w:ascii="宋体" w:eastAsia="宋体" w:hAnsi="宋体"/>
          <w:szCs w:val="21"/>
        </w:rPr>
        <w:t>规定的逾期付款利息。</w:t>
      </w:r>
    </w:p>
    <w:p>
      <w:pPr>
        <w:adjustRightInd w:val="0"/>
        <w:snapToGrid w:val="0"/>
        <w:spacing w:line="400" w:lineRule="exact"/>
        <w:ind w:firstLine="420" w:firstLineChars="200"/>
        <w:jc w:val="left"/>
        <w:rPr>
          <w:rFonts w:ascii="宋体" w:eastAsia="宋体" w:hAnsi="宋体"/>
          <w:szCs w:val="21"/>
        </w:rPr>
      </w:pPr>
      <w:r>
        <w:rPr>
          <w:rFonts w:ascii="宋体" w:eastAsia="宋体" w:hAnsi="宋体"/>
          <w:bCs/>
          <w:szCs w:val="21"/>
        </w:rPr>
        <w:t>16.4其他违约责任根据项目实际需要按</w:t>
      </w:r>
      <w:r>
        <w:rPr>
          <w:rFonts w:ascii="宋体" w:eastAsia="宋体" w:hAnsi="宋体"/>
          <w:b/>
          <w:bCs/>
          <w:szCs w:val="21"/>
        </w:rPr>
        <w:t>【政府采购合同专用条款】</w:t>
      </w:r>
      <w:r>
        <w:rPr>
          <w:rFonts w:ascii="宋体" w:eastAsia="宋体" w:hAnsi="宋体"/>
          <w:szCs w:val="21"/>
        </w:rPr>
        <w:t>规定执行。</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rPr>
        <w:t>17.</w:t>
      </w:r>
      <w:r>
        <w:rPr>
          <w:rFonts w:ascii="宋体" w:eastAsia="宋体" w:hAnsi="宋体"/>
          <w:b/>
          <w:bCs/>
          <w:sz w:val="24"/>
          <w:szCs w:val="20"/>
        </w:rPr>
        <w:t>合同变更、中止与终止</w:t>
      </w:r>
    </w:p>
    <w:p>
      <w:pPr>
        <w:adjustRightInd w:val="0"/>
        <w:snapToGrid w:val="0"/>
        <w:spacing w:line="400" w:lineRule="exact"/>
        <w:jc w:val="left"/>
        <w:rPr>
          <w:rFonts w:ascii="宋体" w:eastAsia="宋体" w:hAnsi="宋体"/>
          <w:szCs w:val="21"/>
        </w:rPr>
      </w:pPr>
      <w:r>
        <w:rPr>
          <w:rFonts w:ascii="宋体" w:eastAsia="宋体" w:hAnsi="宋体"/>
          <w:szCs w:val="21"/>
        </w:rPr>
        <w:t xml:space="preserve">    17.1合同的变更</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17.2合同的中止</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widowControl/>
        <w:autoSpaceDE w:val="0"/>
        <w:autoSpaceDN w:val="0"/>
        <w:adjustRightInd w:val="0"/>
        <w:spacing w:line="400" w:lineRule="exact"/>
        <w:ind w:firstLine="420" w:firstLineChars="200"/>
        <w:rPr>
          <w:rFonts w:ascii="宋体" w:eastAsia="宋体" w:hAnsi="宋体" w:cs="华文楷体"/>
          <w:kern w:val="0"/>
          <w:szCs w:val="21"/>
        </w:rPr>
      </w:pPr>
      <w:r>
        <w:rPr>
          <w:rFonts w:ascii="宋体" w:eastAsia="宋体" w:hAnsi="宋体" w:cs="宋体"/>
          <w:kern w:val="0"/>
          <w:szCs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rFonts w:ascii="宋体" w:eastAsia="宋体" w:hAnsi="宋体"/>
          <w:szCs w:val="20"/>
        </w:rPr>
      </w:pPr>
      <w:r>
        <w:rPr>
          <w:rFonts w:ascii="宋体" w:eastAsia="宋体" w:hAnsi="宋体"/>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17.3合同的终止</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（1）合同因有效期限届满而终止；</w:t>
      </w:r>
    </w:p>
    <w:p>
      <w:pPr>
        <w:snapToGrid w:val="0"/>
        <w:spacing w:line="400" w:lineRule="exact"/>
        <w:ind w:firstLine="420" w:firstLineChars="200"/>
        <w:rPr>
          <w:rFonts w:ascii="宋体" w:eastAsia="宋体" w:hAnsi="宋体" w:cs="宋体"/>
          <w:szCs w:val="21"/>
        </w:rPr>
      </w:pPr>
      <w:r>
        <w:rPr>
          <w:rFonts w:ascii="宋体" w:eastAsia="宋体" w:hAnsi="宋体"/>
          <w:szCs w:val="21"/>
        </w:rPr>
        <w:t>（2）乙方未按合同约定履行，构成根本性违约的，甲方有权终止合同，</w:t>
      </w:r>
      <w:r>
        <w:rPr>
          <w:rFonts w:ascii="宋体" w:eastAsia="宋体" w:hAnsi="宋体" w:cs="宋体"/>
          <w:szCs w:val="21"/>
        </w:rPr>
        <w:t>并追究乙方的违约责任</w:t>
      </w:r>
      <w:r>
        <w:rPr>
          <w:rFonts w:ascii="宋体" w:eastAsia="宋体" w:hAnsi="宋体"/>
          <w:szCs w:val="21"/>
        </w:rPr>
        <w:t>。</w:t>
      </w:r>
    </w:p>
    <w:p>
      <w:pPr>
        <w:widowControl/>
        <w:autoSpaceDE w:val="0"/>
        <w:autoSpaceDN w:val="0"/>
        <w:adjustRightInd w:val="0"/>
        <w:spacing w:line="400" w:lineRule="exact"/>
        <w:ind w:firstLine="440" w:firstLineChars="200"/>
        <w:jc w:val="left"/>
        <w:rPr>
          <w:rFonts w:ascii="宋体" w:eastAsia="宋体" w:hAnsi="宋体" w:cs="华文楷体"/>
          <w:kern w:val="0"/>
          <w:sz w:val="22"/>
          <w:szCs w:val="21"/>
        </w:rPr>
      </w:pPr>
      <w:r>
        <w:rPr>
          <w:rFonts w:ascii="宋体" w:eastAsia="宋体" w:hAnsi="宋体" w:cs="华文楷体"/>
          <w:kern w:val="0"/>
          <w:sz w:val="22"/>
          <w:szCs w:val="21"/>
        </w:rPr>
        <w:t xml:space="preserve">17.4 </w:t>
      </w:r>
      <w:r>
        <w:rPr>
          <w:rFonts w:ascii="宋体" w:eastAsia="宋体" w:hAnsi="宋体"/>
          <w:szCs w:val="21"/>
        </w:rPr>
        <w:t>涉及国家利益、社会公共利益的情形</w:t>
      </w:r>
    </w:p>
    <w:p>
      <w:pPr>
        <w:widowControl/>
        <w:autoSpaceDE w:val="0"/>
        <w:autoSpaceDN w:val="0"/>
        <w:adjustRightInd w:val="0"/>
        <w:spacing w:line="400" w:lineRule="exact"/>
        <w:ind w:firstLine="420" w:firstLineChars="200"/>
        <w:rPr>
          <w:rFonts w:ascii="宋体" w:eastAsia="宋体" w:hAnsi="宋体" w:cs="华文楷体"/>
          <w:kern w:val="0"/>
          <w:szCs w:val="21"/>
        </w:rPr>
      </w:pPr>
      <w:r>
        <w:rPr>
          <w:rFonts w:ascii="宋体" w:eastAsia="宋体" w:hAnsi="宋体" w:cs="宋体"/>
          <w:kern w:val="0"/>
          <w:szCs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18.合同分包</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18.1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18.2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19.不可抗力</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19.1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19.2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19.3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bCs/>
          <w:sz w:val="24"/>
          <w:szCs w:val="20"/>
        </w:rPr>
        <w:t>20.解决争议的方法</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kern w:val="0"/>
          <w:szCs w:val="21"/>
        </w:rPr>
        <w:t>20.1 因本合同及合同有关事项发生的争议，由甲乙双方友好协商解决。协商不成时，可以向有关组织申请调解。合同一方或双方不愿调解或调解不成的，可以通过仲裁或诉讼的方式解决争议。</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kern w:val="0"/>
          <w:szCs w:val="21"/>
        </w:rPr>
        <w:t>20.2 选择仲裁的，应在</w:t>
      </w:r>
      <w:r>
        <w:rPr>
          <w:rFonts w:ascii="宋体" w:eastAsia="宋体" w:hAnsi="宋体" w:cs="宋体"/>
          <w:b/>
          <w:bCs/>
          <w:kern w:val="0"/>
          <w:szCs w:val="21"/>
        </w:rPr>
        <w:t>【政府采购合同专用条款】</w:t>
      </w:r>
      <w:r>
        <w:rPr>
          <w:rFonts w:ascii="宋体" w:eastAsia="宋体" w:hAnsi="宋体" w:cs="宋体"/>
          <w:kern w:val="0"/>
          <w:szCs w:val="21"/>
        </w:rPr>
        <w:t>中明确仲裁机构及仲裁地；通过诉讼方式解决的，可以在</w:t>
      </w:r>
      <w:r>
        <w:rPr>
          <w:rFonts w:ascii="宋体" w:eastAsia="宋体" w:hAnsi="宋体" w:cs="宋体"/>
          <w:b/>
          <w:bCs/>
          <w:kern w:val="0"/>
          <w:szCs w:val="21"/>
        </w:rPr>
        <w:t>【政府采购合同专用条款】</w:t>
      </w:r>
      <w:r>
        <w:rPr>
          <w:rFonts w:ascii="宋体" w:eastAsia="宋体" w:hAnsi="宋体" w:cs="宋体"/>
          <w:kern w:val="0"/>
          <w:szCs w:val="21"/>
        </w:rPr>
        <w:t>中进一步约定选择与争议有实际联系的地点的人民法院管辖，但管辖法院的约定不得违反级别管辖和专属管辖的规定。</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kern w:val="0"/>
          <w:szCs w:val="21"/>
        </w:rPr>
        <w:t>20.3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eastAsia="宋体" w:hAnsi="宋体"/>
          <w:szCs w:val="20"/>
        </w:rPr>
      </w:pPr>
      <w:r>
        <w:rPr>
          <w:rFonts w:ascii="宋体" w:eastAsia="宋体" w:hAnsi="宋体"/>
          <w:b/>
          <w:sz w:val="24"/>
          <w:szCs w:val="20"/>
        </w:rPr>
        <w:t>21.政府采购政策</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 xml:space="preserve">21.1 </w:t>
      </w:r>
      <w:r>
        <w:rPr>
          <w:rFonts w:ascii="宋体" w:eastAsia="宋体" w:hAnsi="宋体" w:cs="宋体"/>
          <w:szCs w:val="20"/>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21.2 本合同依法执行政府采购政策的方式和内容，属于合同履约验收的范围。</w:t>
      </w:r>
      <w:r>
        <w:rPr>
          <w:rFonts w:ascii="宋体" w:eastAsia="宋体" w:hAnsi="宋体" w:cs="宋体"/>
          <w:szCs w:val="20"/>
        </w:rPr>
        <w:t>甲乙双方</w:t>
      </w:r>
      <w:r>
        <w:rPr>
          <w:rFonts w:ascii="宋体" w:eastAsia="宋体" w:hAnsi="宋体" w:cs="宋体"/>
          <w:szCs w:val="20"/>
          <w:lang w:val="en-GB"/>
        </w:rPr>
        <w:t>未按规定要求执行政府采购政策造成损失的</w:t>
      </w:r>
      <w:r>
        <w:rPr>
          <w:rFonts w:ascii="宋体" w:eastAsia="宋体" w:hAnsi="宋体"/>
          <w:szCs w:val="21"/>
        </w:rPr>
        <w:t>，有过错的一方应当承担赔偿责任，双方都有过错的，各自承担相应的责任。</w:t>
      </w:r>
    </w:p>
    <w:p>
      <w:pPr>
        <w:widowControl/>
        <w:spacing w:line="400" w:lineRule="exact"/>
        <w:ind w:firstLine="420" w:firstLineChars="200"/>
        <w:jc w:val="left"/>
        <w:rPr>
          <w:rFonts w:ascii="宋体" w:eastAsia="宋体" w:hAnsi="宋体"/>
          <w:kern w:val="20"/>
          <w:szCs w:val="20"/>
          <w:lang w:val="zh-CN"/>
        </w:rPr>
      </w:pPr>
      <w:r>
        <w:rPr>
          <w:rFonts w:ascii="宋体" w:eastAsia="宋体" w:hAnsi="宋体"/>
          <w:kern w:val="20"/>
          <w:szCs w:val="21"/>
          <w:lang w:val="zh-CN"/>
        </w:rPr>
        <w:t>2</w:t>
      </w:r>
      <w:r>
        <w:rPr>
          <w:rFonts w:ascii="宋体" w:eastAsia="宋体" w:hAnsi="宋体"/>
          <w:kern w:val="20"/>
          <w:szCs w:val="21"/>
        </w:rPr>
        <w:t>1</w:t>
      </w:r>
      <w:r>
        <w:rPr>
          <w:rFonts w:ascii="宋体" w:eastAsia="宋体" w:hAnsi="宋体"/>
          <w:kern w:val="20"/>
          <w:szCs w:val="21"/>
          <w:lang w:val="zh-CN"/>
        </w:rPr>
        <w:t>.</w:t>
      </w:r>
      <w:r>
        <w:rPr>
          <w:rFonts w:ascii="宋体" w:eastAsia="宋体" w:hAnsi="宋体"/>
          <w:kern w:val="20"/>
          <w:szCs w:val="21"/>
        </w:rPr>
        <w:t xml:space="preserve">3 </w:t>
      </w:r>
      <w:r>
        <w:rPr>
          <w:rFonts w:ascii="宋体" w:eastAsia="宋体" w:hAnsi="宋体"/>
          <w:kern w:val="20"/>
          <w:szCs w:val="21"/>
          <w:lang w:val="zh-CN"/>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eastAsia="宋体" w:hAnsi="宋体"/>
          <w:b/>
          <w:szCs w:val="20"/>
        </w:rPr>
      </w:pPr>
      <w:r>
        <w:rPr>
          <w:rFonts w:ascii="宋体" w:eastAsia="宋体" w:hAnsi="宋体"/>
          <w:b/>
          <w:sz w:val="24"/>
          <w:szCs w:val="20"/>
        </w:rPr>
        <w:t>22.法律适用</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kern w:val="0"/>
          <w:szCs w:val="21"/>
        </w:rPr>
        <w:t>22.1 本合同的订立、生效、解释、履行及与本合同有关的争议解决，均适用法律、行政法规。</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kern w:val="0"/>
          <w:szCs w:val="21"/>
        </w:rPr>
        <w:t>22.2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eastAsia="宋体" w:hAnsi="宋体"/>
          <w:b/>
          <w:szCs w:val="20"/>
        </w:rPr>
      </w:pPr>
      <w:r>
        <w:rPr>
          <w:rFonts w:ascii="宋体" w:eastAsia="宋体" w:hAnsi="宋体"/>
          <w:b/>
          <w:sz w:val="24"/>
          <w:szCs w:val="20"/>
        </w:rPr>
        <w:t>23.通知</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kern w:val="0"/>
          <w:szCs w:val="21"/>
        </w:rPr>
        <w:t>23.1 本合同任何一方向对方发出的通知、信件、数据电文等，应当发送至本合同第一部分《政府采购合同协议书》所约定的通讯地址、联系人、联系电话或电子邮箱。</w:t>
      </w:r>
    </w:p>
    <w:p>
      <w:pPr>
        <w:widowControl/>
        <w:autoSpaceDE w:val="0"/>
        <w:autoSpaceDN w:val="0"/>
        <w:adjustRightInd w:val="0"/>
        <w:spacing w:line="400" w:lineRule="exact"/>
        <w:rPr>
          <w:rFonts w:ascii="宋体" w:eastAsia="宋体" w:hAnsi="宋体" w:cs="华文楷体"/>
          <w:kern w:val="0"/>
          <w:szCs w:val="21"/>
        </w:rPr>
      </w:pPr>
      <w:r>
        <w:rPr>
          <w:rFonts w:ascii="宋体" w:eastAsia="宋体" w:hAnsi="宋体" w:cs="宋体"/>
          <w:kern w:val="0"/>
          <w:szCs w:val="21"/>
        </w:rPr>
        <w:t xml:space="preserve">    23.2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23.3本合同一方给另一方的通知均应采用书面形式，传真或快递送到本合同中规定的对方的地址和办理签收手续。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eastAsia="宋体" w:hAnsi="宋体"/>
          <w:szCs w:val="21"/>
        </w:rPr>
      </w:pPr>
      <w:r>
        <w:rPr>
          <w:rFonts w:ascii="宋体" w:eastAsia="宋体" w:hAnsi="宋体"/>
          <w:szCs w:val="21"/>
        </w:rPr>
        <w:t>23.4通知以送达之日或通知书中规定的生效之日起生效，两者中以较迟之日为准。</w:t>
      </w:r>
    </w:p>
    <w:p>
      <w:pPr>
        <w:autoSpaceDE w:val="0"/>
        <w:autoSpaceDN w:val="0"/>
        <w:adjustRightInd w:val="0"/>
        <w:snapToGrid w:val="0"/>
        <w:spacing w:line="400" w:lineRule="exact"/>
        <w:jc w:val="left"/>
        <w:rPr>
          <w:rFonts w:ascii="宋体" w:eastAsia="宋体" w:hAnsi="宋体"/>
          <w:b/>
          <w:bCs/>
          <w:szCs w:val="20"/>
        </w:rPr>
      </w:pPr>
      <w:r>
        <w:rPr>
          <w:rFonts w:ascii="宋体" w:eastAsia="宋体" w:hAnsi="宋体"/>
          <w:b/>
          <w:sz w:val="24"/>
        </w:rPr>
        <w:t>24.</w:t>
      </w:r>
      <w:r>
        <w:rPr>
          <w:rFonts w:ascii="宋体" w:eastAsia="宋体" w:hAnsi="宋体"/>
          <w:b/>
          <w:sz w:val="24"/>
          <w:szCs w:val="20"/>
        </w:rPr>
        <w:t>合同</w:t>
      </w:r>
      <w:r>
        <w:rPr>
          <w:rFonts w:ascii="宋体" w:eastAsia="宋体" w:hAnsi="宋体"/>
          <w:b/>
          <w:bCs/>
          <w:sz w:val="24"/>
          <w:szCs w:val="20"/>
        </w:rPr>
        <w:t>未尽事项</w:t>
      </w:r>
    </w:p>
    <w:p>
      <w:pPr>
        <w:adjustRightInd w:val="0"/>
        <w:snapToGrid w:val="0"/>
        <w:spacing w:line="400" w:lineRule="exact"/>
        <w:ind w:firstLine="420" w:firstLineChars="200"/>
        <w:jc w:val="left"/>
        <w:rPr>
          <w:rFonts w:ascii="宋体" w:eastAsia="宋体" w:hAnsi="宋体"/>
          <w:bCs/>
          <w:szCs w:val="21"/>
        </w:rPr>
      </w:pPr>
      <w:r>
        <w:rPr>
          <w:rFonts w:ascii="宋体" w:eastAsia="宋体" w:hAnsi="宋体"/>
          <w:bCs/>
          <w:szCs w:val="21"/>
        </w:rPr>
        <w:t>24.1合同未尽事项见</w:t>
      </w:r>
      <w:r>
        <w:rPr>
          <w:rFonts w:ascii="宋体" w:eastAsia="宋体" w:hAnsi="宋体"/>
          <w:b/>
          <w:szCs w:val="21"/>
        </w:rPr>
        <w:t>【政府采购合同专用条款】</w:t>
      </w:r>
      <w:r>
        <w:rPr>
          <w:rFonts w:ascii="宋体" w:eastAsia="宋体" w:hAnsi="宋体"/>
          <w:bCs/>
          <w:szCs w:val="21"/>
        </w:rPr>
        <w:t>。</w:t>
      </w:r>
    </w:p>
    <w:p>
      <w:pPr>
        <w:adjustRightInd w:val="0"/>
        <w:snapToGrid w:val="0"/>
        <w:spacing w:line="400" w:lineRule="exact"/>
        <w:jc w:val="left"/>
        <w:rPr>
          <w:rFonts w:ascii="宋体" w:eastAsia="宋体" w:hAnsi="宋体"/>
          <w:sz w:val="28"/>
          <w:szCs w:val="28"/>
        </w:rPr>
      </w:pPr>
      <w:r>
        <w:rPr>
          <w:rFonts w:ascii="宋体" w:eastAsia="宋体" w:hAnsi="宋体"/>
          <w:bCs/>
          <w:szCs w:val="21"/>
        </w:rPr>
        <w:t xml:space="preserve">    24.2 合同附件与合同正文具有同等的法律效力。</w:t>
      </w:r>
    </w:p>
    <w:p>
      <w:pPr>
        <w:adjustRightInd w:val="0"/>
        <w:snapToGrid w:val="0"/>
        <w:jc w:val="center"/>
        <w:rPr>
          <w:rFonts w:ascii="宋体" w:eastAsia="宋体" w:hAnsi="宋体"/>
          <w:sz w:val="28"/>
          <w:szCs w:val="28"/>
        </w:rPr>
      </w:pPr>
      <w:r>
        <w:rPr>
          <w:rFonts w:ascii="宋体" w:eastAsia="宋体" w:hAnsi="宋体"/>
          <w:sz w:val="28"/>
          <w:szCs w:val="28"/>
        </w:rPr>
        <w:br w:type="page"/>
      </w:r>
    </w:p>
    <w:p>
      <w:pPr>
        <w:keepNext/>
        <w:keepLines/>
        <w:adjustRightInd w:val="0"/>
        <w:snapToGrid w:val="0"/>
        <w:spacing w:before="160" w:after="80"/>
        <w:jc w:val="center"/>
        <w:outlineLvl w:val="1"/>
        <w:rPr>
          <w:rFonts w:ascii="宋体" w:eastAsia="宋体" w:hAnsi="宋体" w:cs="宋体"/>
          <w:b/>
          <w:bCs/>
          <w:sz w:val="28"/>
          <w:szCs w:val="28"/>
        </w:rPr>
      </w:pPr>
      <w:r>
        <w:rPr>
          <w:rFonts w:ascii="宋体" w:eastAsia="宋体" w:hAnsi="宋体" w:cs="宋体"/>
          <w:sz w:val="28"/>
          <w:szCs w:val="28"/>
        </w:rPr>
        <w:t>第三节 政府采购合同专用条款</w:t>
      </w:r>
    </w:p>
    <w:tbl>
      <w:tblPr>
        <w:tblStyle w:val="TableNormal"/>
        <w:tblW w:w="8520"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1"/>
      </w:tblGrid>
      <w:tr>
        <w:tblPrEx>
          <w:tblW w:w="8520"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tcBorders>
              <w:top w:val="double" w:sz="4"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第1.2（6）项</w:t>
            </w:r>
          </w:p>
        </w:tc>
        <w:tc>
          <w:tcPr>
            <w:tcW w:w="1742" w:type="dxa"/>
            <w:tcBorders>
              <w:top w:val="double" w:sz="4"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联合体具体要求</w:t>
            </w:r>
          </w:p>
        </w:tc>
        <w:tc>
          <w:tcPr>
            <w:tcW w:w="5170" w:type="dxa"/>
            <w:tcBorders>
              <w:top w:val="double" w:sz="4"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按照合同条款约定</w:t>
            </w:r>
          </w:p>
        </w:tc>
      </w:tr>
      <w:tr>
        <w:tblPrEx>
          <w:tblW w:w="8520" w:type="dxa"/>
          <w:tblInd w:w="108" w:type="dxa"/>
          <w:tblLayout w:type="fixed"/>
          <w:tblCellMar>
            <w:top w:w="0" w:type="dxa"/>
            <w:left w:w="108" w:type="dxa"/>
            <w:bottom w:w="0" w:type="dxa"/>
            <w:right w:w="108" w:type="dxa"/>
          </w:tblCellMar>
        </w:tblPrEx>
        <w:trPr>
          <w:trHeight w:val="604"/>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第1.2（7）项</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其他术语解释</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按照合同条款约定</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第4.4款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履约验收中甲方提出异议或作出说明的期限</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7个工作日</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第4.5款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约定甲方承担的其他义务和责任</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1、甲方有权对项目进行全面的技术指导、检查、管理和监督，对检查中发现的质量问题及时向乙方提出书面或口头改进意见，并要求乙方进行整改，乙方拒绝或拖延整改的，甲方有权追求违约责任直至终止本合同。</w:t>
            </w:r>
          </w:p>
          <w:p>
            <w:pPr>
              <w:adjustRightInd w:val="0"/>
              <w:snapToGrid w:val="0"/>
              <w:jc w:val="left"/>
              <w:rPr>
                <w:rFonts w:ascii="宋体" w:eastAsia="宋体" w:hAnsi="宋体"/>
                <w:szCs w:val="21"/>
              </w:rPr>
            </w:pPr>
            <w:r>
              <w:rPr>
                <w:rFonts w:ascii="宋体" w:eastAsia="宋体" w:hAnsi="宋体"/>
                <w:szCs w:val="21"/>
              </w:rPr>
              <w:t>2、甲方有权要求乙方提供有关技术资料、说明文件等。</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snapToGrid w:val="0"/>
              <w:jc w:val="center"/>
              <w:rPr>
                <w:rFonts w:ascii="宋体" w:eastAsia="宋体" w:hAnsi="宋体"/>
                <w:szCs w:val="20"/>
              </w:rPr>
            </w:pPr>
            <w:r>
              <w:rPr>
                <w:rFonts w:ascii="宋体" w:eastAsia="宋体" w:hAnsi="宋体"/>
                <w:szCs w:val="21"/>
              </w:rPr>
              <w:t>第5.4款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约定乙方承担的其他义务和责任</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1、乙方须按照合同规定的交付时间、地点交付符合招标文件、合同约定的合格产品；</w:t>
            </w:r>
          </w:p>
          <w:p>
            <w:pPr>
              <w:adjustRightInd w:val="0"/>
              <w:snapToGrid w:val="0"/>
              <w:jc w:val="left"/>
              <w:rPr>
                <w:rFonts w:ascii="宋体" w:eastAsia="宋体" w:hAnsi="宋体"/>
                <w:szCs w:val="21"/>
              </w:rPr>
            </w:pPr>
            <w:r>
              <w:rPr>
                <w:rFonts w:ascii="宋体" w:eastAsia="宋体" w:hAnsi="宋体"/>
                <w:szCs w:val="21"/>
              </w:rPr>
              <w:t>2、乙方须按照合同规定的质保期进行质保；</w:t>
            </w:r>
          </w:p>
          <w:p>
            <w:pPr>
              <w:adjustRightInd w:val="0"/>
              <w:snapToGrid w:val="0"/>
              <w:jc w:val="left"/>
              <w:rPr>
                <w:rFonts w:ascii="宋体" w:eastAsia="宋体" w:hAnsi="宋体"/>
                <w:szCs w:val="21"/>
              </w:rPr>
            </w:pPr>
            <w:r>
              <w:rPr>
                <w:rFonts w:ascii="宋体" w:eastAsia="宋体" w:hAnsi="宋体"/>
                <w:szCs w:val="21"/>
              </w:rPr>
              <w:t>3、乙方需按照甲方的要求提供甲方指定地点的现场服务工作；</w:t>
            </w:r>
          </w:p>
          <w:p>
            <w:pPr>
              <w:adjustRightInd w:val="0"/>
              <w:snapToGrid w:val="0"/>
              <w:jc w:val="left"/>
              <w:rPr>
                <w:rFonts w:ascii="宋体" w:eastAsia="宋体" w:hAnsi="宋体"/>
                <w:szCs w:val="21"/>
              </w:rPr>
            </w:pPr>
            <w:r>
              <w:rPr>
                <w:rFonts w:ascii="宋体" w:eastAsia="宋体" w:hAnsi="宋体"/>
                <w:szCs w:val="21"/>
              </w:rPr>
              <w:t>4、乙方负责组织设备的交付和验收工作；</w:t>
            </w:r>
          </w:p>
          <w:p>
            <w:pPr>
              <w:adjustRightInd w:val="0"/>
              <w:snapToGrid w:val="0"/>
              <w:jc w:val="left"/>
              <w:rPr>
                <w:rFonts w:ascii="宋体" w:eastAsia="宋体" w:hAnsi="宋体"/>
                <w:szCs w:val="21"/>
              </w:rPr>
            </w:pPr>
            <w:r>
              <w:rPr>
                <w:rFonts w:ascii="宋体" w:eastAsia="宋体" w:hAnsi="宋体"/>
                <w:szCs w:val="21"/>
              </w:rPr>
              <w:t>5、乙方必须提供设备的售后服务，且满足合同约定的响应要求；</w:t>
            </w:r>
          </w:p>
          <w:p>
            <w:pPr>
              <w:adjustRightInd w:val="0"/>
              <w:snapToGrid w:val="0"/>
              <w:jc w:val="left"/>
              <w:rPr>
                <w:rFonts w:ascii="宋体" w:eastAsia="宋体" w:hAnsi="宋体"/>
                <w:szCs w:val="21"/>
              </w:rPr>
            </w:pPr>
            <w:r>
              <w:rPr>
                <w:rFonts w:ascii="宋体" w:eastAsia="宋体" w:hAnsi="宋体"/>
                <w:szCs w:val="21"/>
              </w:rPr>
              <w:t>6、乙方须接受甲方的监督及检查；</w:t>
            </w:r>
          </w:p>
          <w:p>
            <w:pPr>
              <w:adjustRightInd w:val="0"/>
              <w:snapToGrid w:val="0"/>
              <w:jc w:val="left"/>
              <w:rPr>
                <w:rFonts w:ascii="宋体" w:eastAsia="宋体" w:hAnsi="宋体"/>
                <w:szCs w:val="21"/>
              </w:rPr>
            </w:pPr>
            <w:r>
              <w:rPr>
                <w:rFonts w:ascii="宋体" w:eastAsia="宋体" w:hAnsi="宋体"/>
                <w:szCs w:val="21"/>
              </w:rPr>
              <w:t>7、乙方对派出人员的薪酬、福利、保险、安全等负责，并自行承担风险和责任；</w:t>
            </w:r>
          </w:p>
          <w:p>
            <w:pPr>
              <w:adjustRightInd w:val="0"/>
              <w:snapToGrid w:val="0"/>
              <w:jc w:val="left"/>
              <w:rPr>
                <w:rFonts w:ascii="宋体" w:eastAsia="宋体" w:hAnsi="宋体"/>
                <w:szCs w:val="21"/>
              </w:rPr>
            </w:pPr>
            <w:r>
              <w:rPr>
                <w:rFonts w:ascii="宋体" w:eastAsia="宋体" w:hAnsi="宋体"/>
                <w:szCs w:val="21"/>
              </w:rPr>
              <w:t>8、乙方要对本项目的安全生产工作全面负责，全面落实安全生产责任制度，严格按安全生产规章制度和安全操作规程施工、服务。乙方在服务期内，在执行事务过程中，加强消除现场风险隐患，全力确保现场安全。</w:t>
            </w:r>
          </w:p>
          <w:p>
            <w:pPr>
              <w:adjustRightInd w:val="0"/>
              <w:snapToGrid w:val="0"/>
              <w:jc w:val="left"/>
              <w:rPr>
                <w:rFonts w:ascii="宋体" w:eastAsia="宋体" w:hAnsi="宋体"/>
                <w:szCs w:val="21"/>
              </w:rPr>
            </w:pPr>
            <w:r>
              <w:rPr>
                <w:rFonts w:ascii="宋体" w:eastAsia="宋体" w:hAnsi="宋体"/>
                <w:szCs w:val="21"/>
              </w:rPr>
              <w:t>9.乙方应遵守甲方项目现场的各项管理规定，对甲方在项目现场已有的设施设备予以注意和采取必要保护措施，避免安装调试等工作造成其他设施设备的损坏，如造成损害，相关责任、损失和费用由乙方承担。</w:t>
            </w:r>
          </w:p>
          <w:p>
            <w:pPr>
              <w:adjustRightInd w:val="0"/>
              <w:snapToGrid w:val="0"/>
              <w:jc w:val="left"/>
              <w:rPr>
                <w:rFonts w:ascii="宋体" w:eastAsia="宋体" w:hAnsi="宋体"/>
                <w:szCs w:val="21"/>
              </w:rPr>
            </w:pPr>
            <w:r>
              <w:rPr>
                <w:rFonts w:ascii="宋体" w:eastAsia="宋体" w:hAnsi="宋体"/>
                <w:szCs w:val="21"/>
              </w:rPr>
              <w:t>10.乙方保证有权向甲方合法交付本合同项下的产品，且乙方在本合同项下的任何行为均不侵犯任何第三方的合法权益，特别是不侵犯任何第三方的知识产权。</w:t>
            </w:r>
          </w:p>
          <w:p>
            <w:pPr>
              <w:adjustRightInd w:val="0"/>
              <w:snapToGrid w:val="0"/>
              <w:jc w:val="left"/>
              <w:rPr>
                <w:rFonts w:ascii="宋体" w:eastAsia="宋体" w:hAnsi="宋体"/>
                <w:szCs w:val="21"/>
              </w:rPr>
            </w:pPr>
            <w:r>
              <w:rPr>
                <w:rFonts w:ascii="宋体" w:eastAsia="宋体" w:hAnsi="宋体"/>
                <w:szCs w:val="21"/>
              </w:rPr>
              <w:t>11.乙方保证向甲方交付的产品上没有设定任何抵押或其它担保物权。任何第三方不会向甲方主张其对该产品享有任何权利。</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snapToGrid w:val="0"/>
              <w:jc w:val="center"/>
              <w:rPr>
                <w:rFonts w:ascii="宋体" w:eastAsia="宋体" w:hAnsi="宋体"/>
                <w:szCs w:val="21"/>
              </w:rPr>
            </w:pPr>
            <w:r>
              <w:rPr>
                <w:rFonts w:ascii="宋体" w:eastAsia="宋体" w:hAnsi="宋体"/>
                <w:szCs w:val="21"/>
              </w:rPr>
              <w:t>第7.1款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履行合同义务的顺序</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甲、乙、丙三方按合同约定履行自己的义务。</w:t>
            </w:r>
          </w:p>
        </w:tc>
      </w:tr>
      <w:tr>
        <w:tblPrEx>
          <w:tblW w:w="8520" w:type="dxa"/>
          <w:tblInd w:w="108" w:type="dxa"/>
          <w:tblLayout w:type="fixed"/>
          <w:tblCellMar>
            <w:top w:w="0" w:type="dxa"/>
            <w:left w:w="108" w:type="dxa"/>
            <w:bottom w:w="0" w:type="dxa"/>
            <w:right w:w="108" w:type="dxa"/>
          </w:tblCellMar>
        </w:tblPrEx>
        <w:trPr>
          <w:trHeight w:val="667"/>
        </w:trPr>
        <w:tc>
          <w:tcPr>
            <w:tcW w:w="1607" w:type="dxa"/>
            <w:vMerge w:val="restart"/>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第8.1款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包装特殊要求</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乙方需保证所有设备的包装需满足设备安全正常运输需要，所有设备的精密零部件要用木箱或其它方式包装，箱内应有填充物，以防振动。箱外要有防水、朝上标记或“小心轻放”字样。一般不易损坏的零部件可用纸箱或其它方式包装。如因乙方包装不当等原因造成损坏和丢失，应由乙方负责免费修复或补缺，因此而拖延的工期，按照本合同中关于延迟发货处理。</w:t>
            </w:r>
          </w:p>
        </w:tc>
      </w:tr>
      <w:tr>
        <w:tblPrEx>
          <w:tblW w:w="8520" w:type="dxa"/>
          <w:tblInd w:w="108" w:type="dxa"/>
          <w:tblLayout w:type="fixed"/>
          <w:tblCellMar>
            <w:top w:w="0" w:type="dxa"/>
            <w:left w:w="108" w:type="dxa"/>
            <w:bottom w:w="0" w:type="dxa"/>
            <w:right w:w="108" w:type="dxa"/>
          </w:tblCellMar>
        </w:tblPrEx>
        <w:trPr>
          <w:trHeight w:val="667"/>
        </w:trPr>
        <w:tc>
          <w:tcPr>
            <w:tcW w:w="1607" w:type="dxa"/>
            <w:vMerge/>
            <w:tcBorders>
              <w:top w:val="single" w:sz="6" w:space="0" w:color="auto"/>
              <w:left w:val="double" w:sz="4" w:space="0" w:color="auto"/>
              <w:bottom w:val="single" w:sz="6" w:space="0" w:color="auto"/>
              <w:right w:val="single" w:sz="6" w:space="0" w:color="auto"/>
            </w:tcBorders>
            <w:vAlign w:val="center"/>
          </w:tcPr>
          <w:p>
            <w:pPr>
              <w:widowControl/>
              <w:jc w:val="left"/>
              <w:rPr>
                <w:rFonts w:ascii="宋体" w:eastAsia="宋体" w:hAnsi="宋体"/>
                <w:szCs w:val="21"/>
              </w:rPr>
            </w:pP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智能支撑要求</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无缝对接云南省气象局智能分析底座和智能驱动框架，基于单站雷达探测数据、组网拼图数据和雷达外推产品，面向雷达业务进行流程设计，利用雷达业务算法，构建多种雷达业务智能体，具备雷达业务产品智能分析、灾害天气（短时强降水、雷暴大风、冰雹等）事前智能感知、灾害天气落区智能研判、灾害天气过程事中综合研判、灾害天气过程事后智能复盘等功能，实现智能交互分析和智能驱动，支撑省市县三级雷达业务的自动化辅助。</w:t>
            </w:r>
          </w:p>
        </w:tc>
      </w:tr>
      <w:tr>
        <w:tblPrEx>
          <w:tblW w:w="8520" w:type="dxa"/>
          <w:tblInd w:w="108" w:type="dxa"/>
          <w:tblLayout w:type="fixed"/>
          <w:tblCellMar>
            <w:top w:w="0" w:type="dxa"/>
            <w:left w:w="108" w:type="dxa"/>
            <w:bottom w:w="0" w:type="dxa"/>
            <w:right w:w="108" w:type="dxa"/>
          </w:tblCellMar>
        </w:tblPrEx>
        <w:trPr>
          <w:trHeight w:val="667"/>
        </w:trPr>
        <w:tc>
          <w:tcPr>
            <w:tcW w:w="1607" w:type="dxa"/>
            <w:vMerge/>
            <w:tcBorders>
              <w:top w:val="single" w:sz="6" w:space="0" w:color="auto"/>
              <w:left w:val="double" w:sz="4" w:space="0" w:color="auto"/>
              <w:bottom w:val="single" w:sz="6" w:space="0" w:color="auto"/>
              <w:right w:val="single" w:sz="6" w:space="0" w:color="auto"/>
            </w:tcBorders>
            <w:vAlign w:val="center"/>
          </w:tcPr>
          <w:p>
            <w:pPr>
              <w:widowControl/>
              <w:jc w:val="left"/>
              <w:rPr>
                <w:rFonts w:ascii="宋体" w:eastAsia="宋体" w:hAnsi="宋体"/>
                <w:szCs w:val="21"/>
              </w:rPr>
            </w:pP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指定现场</w:t>
            </w:r>
          </w:p>
        </w:tc>
        <w:tc>
          <w:tcPr>
            <w:tcW w:w="5170" w:type="dxa"/>
            <w:tcBorders>
              <w:top w:val="single" w:sz="6" w:space="0" w:color="auto"/>
              <w:left w:val="single" w:sz="6" w:space="0" w:color="auto"/>
              <w:bottom w:val="single" w:sz="6" w:space="0" w:color="auto"/>
              <w:right w:val="double" w:sz="4" w:space="0" w:color="auto"/>
            </w:tcBorders>
            <w:vAlign w:val="center"/>
          </w:tcPr>
          <w:p>
            <w:pPr>
              <w:rPr>
                <w:rFonts w:ascii="宋体" w:eastAsia="宋体" w:hAnsi="宋体"/>
                <w:szCs w:val="20"/>
              </w:rPr>
            </w:pPr>
            <w:r>
              <w:rPr>
                <w:rFonts w:ascii="宋体" w:eastAsia="宋体" w:hAnsi="宋体"/>
                <w:szCs w:val="20"/>
              </w:rPr>
              <w:t>甲方指定云南省内3个建设台站地点和其他地点。</w:t>
            </w:r>
          </w:p>
        </w:tc>
      </w:tr>
      <w:tr>
        <w:tblPrEx>
          <w:tblW w:w="8520" w:type="dxa"/>
          <w:tblInd w:w="108" w:type="dxa"/>
          <w:tblLayout w:type="fixed"/>
          <w:tblCellMar>
            <w:top w:w="0" w:type="dxa"/>
            <w:left w:w="108" w:type="dxa"/>
            <w:bottom w:w="0" w:type="dxa"/>
            <w:right w:w="108" w:type="dxa"/>
          </w:tblCellMar>
        </w:tblPrEx>
        <w:trPr>
          <w:trHeight w:val="667"/>
        </w:trPr>
        <w:tc>
          <w:tcPr>
            <w:tcW w:w="1607" w:type="dxa"/>
            <w:vMerge/>
            <w:tcBorders>
              <w:top w:val="single" w:sz="6" w:space="0" w:color="auto"/>
              <w:left w:val="double" w:sz="4" w:space="0" w:color="auto"/>
              <w:bottom w:val="single" w:sz="6" w:space="0" w:color="auto"/>
              <w:right w:val="single" w:sz="6" w:space="0" w:color="auto"/>
            </w:tcBorders>
            <w:vAlign w:val="center"/>
          </w:tcPr>
          <w:p>
            <w:pPr>
              <w:widowControl/>
              <w:jc w:val="left"/>
              <w:rPr>
                <w:rFonts w:ascii="宋体" w:eastAsia="宋体" w:hAnsi="宋体"/>
                <w:szCs w:val="21"/>
              </w:rPr>
            </w:pP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color w:val="EE0000"/>
                <w:szCs w:val="21"/>
              </w:rPr>
            </w:pPr>
            <w:r>
              <w:rPr>
                <w:rFonts w:ascii="宋体" w:eastAsia="宋体" w:hAnsi="宋体"/>
                <w:color w:val="EE0000"/>
                <w:szCs w:val="21"/>
              </w:rPr>
              <w:t>知识产权要求</w:t>
            </w:r>
          </w:p>
        </w:tc>
        <w:tc>
          <w:tcPr>
            <w:tcW w:w="5170" w:type="dxa"/>
            <w:tcBorders>
              <w:top w:val="single" w:sz="6" w:space="0" w:color="auto"/>
              <w:left w:val="single" w:sz="6" w:space="0" w:color="auto"/>
              <w:bottom w:val="single" w:sz="6" w:space="0" w:color="auto"/>
              <w:right w:val="double" w:sz="4" w:space="0" w:color="auto"/>
            </w:tcBorders>
            <w:vAlign w:val="center"/>
          </w:tcPr>
          <w:p>
            <w:pPr>
              <w:rPr>
                <w:rFonts w:ascii="宋体" w:eastAsia="宋体" w:hAnsi="宋体" w:cs="宋体"/>
                <w:color w:val="EE0000"/>
                <w:szCs w:val="21"/>
              </w:rPr>
            </w:pPr>
            <w:r>
              <w:rPr>
                <w:rFonts w:ascii="宋体" w:eastAsia="宋体" w:hAnsi="宋体" w:cs="宋体"/>
                <w:color w:val="EE0000"/>
                <w:szCs w:val="21"/>
              </w:rPr>
              <w:t>本项目3部雷达及相关软硬件设施产生的所有业务数据、业务配置、定制化代码或脚本、技术文档的知识产权归云南省气象局所有，乙方未经甲方允许无权使用上述数据或材料发表论文或申请专利。</w:t>
            </w:r>
          </w:p>
        </w:tc>
      </w:tr>
      <w:tr>
        <w:tblPrEx>
          <w:tblW w:w="8520" w:type="dxa"/>
          <w:tblInd w:w="108" w:type="dxa"/>
          <w:tblLayout w:type="fixed"/>
          <w:tblCellMar>
            <w:top w:w="0" w:type="dxa"/>
            <w:left w:w="108" w:type="dxa"/>
            <w:bottom w:w="0" w:type="dxa"/>
            <w:right w:w="108" w:type="dxa"/>
          </w:tblCellMar>
        </w:tblPrEx>
        <w:trPr>
          <w:trHeight w:val="772"/>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第8.2款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运输特殊要求</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本合同项下货物应由乙方承运至甲方指定地点，运输所产生的费用由乙方承担。同时由乙方同时承担运输过程中合同货物的所有在途风险，包括但不限于毁损、丢失等。安装调试期间所有安全责任由乙方承担。</w:t>
            </w:r>
          </w:p>
          <w:p>
            <w:pPr>
              <w:adjustRightInd w:val="0"/>
              <w:snapToGrid w:val="0"/>
              <w:jc w:val="left"/>
              <w:rPr>
                <w:rFonts w:ascii="宋体" w:eastAsia="宋体" w:hAnsi="宋体"/>
                <w:szCs w:val="21"/>
              </w:rPr>
            </w:pPr>
            <w:r>
              <w:rPr>
                <w:rFonts w:ascii="宋体" w:eastAsia="宋体" w:hAnsi="宋体"/>
                <w:szCs w:val="21"/>
              </w:rPr>
              <w:t>乙方需要负责二次转运。</w:t>
            </w:r>
          </w:p>
          <w:p>
            <w:pPr>
              <w:adjustRightInd w:val="0"/>
              <w:snapToGrid w:val="0"/>
              <w:jc w:val="left"/>
              <w:rPr>
                <w:rFonts w:ascii="宋体" w:eastAsia="宋体" w:hAnsi="宋体"/>
                <w:szCs w:val="21"/>
              </w:rPr>
            </w:pPr>
            <w:r>
              <w:rPr>
                <w:rFonts w:ascii="宋体" w:eastAsia="宋体" w:hAnsi="宋体"/>
                <w:szCs w:val="21"/>
              </w:rPr>
              <w:t>乙方需要负责雷达安装期间的工具、脚手架、人字梯、搬运器具、吊运锁具，以及上述器具的往返搬运和相关雷达设备的搬运，完成雷达安装。</w:t>
            </w:r>
          </w:p>
        </w:tc>
      </w:tr>
      <w:tr>
        <w:tblPrEx>
          <w:tblW w:w="8520" w:type="dxa"/>
          <w:tblInd w:w="108" w:type="dxa"/>
          <w:tblLayout w:type="fixed"/>
          <w:tblCellMar>
            <w:top w:w="0" w:type="dxa"/>
            <w:left w:w="108" w:type="dxa"/>
            <w:bottom w:w="0" w:type="dxa"/>
            <w:right w:w="108" w:type="dxa"/>
          </w:tblCellMar>
        </w:tblPrEx>
        <w:trPr>
          <w:trHeight w:val="667"/>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第8.3款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保险要求</w:t>
            </w:r>
          </w:p>
        </w:tc>
        <w:tc>
          <w:tcPr>
            <w:tcW w:w="5170" w:type="dxa"/>
            <w:tcBorders>
              <w:top w:val="single" w:sz="6" w:space="0" w:color="auto"/>
              <w:left w:val="single" w:sz="6" w:space="0" w:color="auto"/>
              <w:bottom w:val="single" w:sz="6" w:space="0" w:color="auto"/>
              <w:right w:val="double" w:sz="4" w:space="0" w:color="auto"/>
            </w:tcBorders>
            <w:vAlign w:val="center"/>
          </w:tcPr>
          <w:p>
            <w:pPr>
              <w:rPr>
                <w:rFonts w:ascii="宋体" w:eastAsia="宋体" w:hAnsi="宋体"/>
                <w:szCs w:val="20"/>
              </w:rPr>
            </w:pPr>
            <w:r>
              <w:rPr>
                <w:rFonts w:ascii="宋体" w:eastAsia="宋体" w:hAnsi="宋体"/>
                <w:szCs w:val="21"/>
              </w:rPr>
              <w:t>按照合同条款约定</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第9.2（1）项</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质量保证期</w:t>
            </w:r>
          </w:p>
        </w:tc>
        <w:tc>
          <w:tcPr>
            <w:tcW w:w="5170" w:type="dxa"/>
            <w:tcBorders>
              <w:top w:val="single" w:sz="6" w:space="0" w:color="auto"/>
              <w:left w:val="single" w:sz="6" w:space="0" w:color="auto"/>
              <w:bottom w:val="single" w:sz="6" w:space="0" w:color="auto"/>
              <w:right w:val="double" w:sz="4" w:space="0" w:color="auto"/>
            </w:tcBorders>
            <w:vAlign w:val="center"/>
          </w:tcPr>
          <w:p>
            <w:pPr>
              <w:autoSpaceDE w:val="0"/>
              <w:autoSpaceDN w:val="0"/>
              <w:adjustRightInd w:val="0"/>
              <w:snapToGrid w:val="0"/>
              <w:jc w:val="left"/>
              <w:rPr>
                <w:rFonts w:ascii="宋体" w:eastAsia="宋体" w:hAnsi="宋体"/>
                <w:szCs w:val="21"/>
              </w:rPr>
            </w:pPr>
            <w:r>
              <w:rPr>
                <w:rFonts w:ascii="宋体" w:eastAsia="宋体" w:hAnsi="宋体"/>
                <w:szCs w:val="21"/>
              </w:rPr>
              <w:t>雷达整机设备正式交付运行，并通过合同验收次日起质保期为8年。质保期内，乙方需按《X波段天气雷达观测规范（试行）》《X波段天气雷达标校业务规范（试行）》提供周维护、月维护及标校，汛前巡检及标校、年维护及标校服务；</w:t>
            </w:r>
          </w:p>
          <w:p>
            <w:pPr>
              <w:autoSpaceDE w:val="0"/>
              <w:autoSpaceDN w:val="0"/>
              <w:adjustRightInd w:val="0"/>
              <w:snapToGrid w:val="0"/>
              <w:jc w:val="left"/>
              <w:rPr>
                <w:rFonts w:ascii="宋体" w:eastAsia="宋体" w:hAnsi="宋体"/>
                <w:szCs w:val="21"/>
              </w:rPr>
            </w:pPr>
            <w:r>
              <w:rPr>
                <w:rFonts w:ascii="宋体" w:eastAsia="宋体" w:hAnsi="宋体"/>
                <w:szCs w:val="21"/>
              </w:rPr>
              <w:t>1.周维护（每周 1 次）：查看各分机工作状态及故障指示并及时处理；检查天线体扫异常并停机处置；维护各分机电源模块；清洁雷达机房及天线罩内环境；核查雷达适配参数；检查 UPS 蓄电池电压并及时充电。</w:t>
            </w:r>
          </w:p>
          <w:p>
            <w:pPr>
              <w:autoSpaceDE w:val="0"/>
              <w:autoSpaceDN w:val="0"/>
              <w:adjustRightInd w:val="0"/>
              <w:snapToGrid w:val="0"/>
              <w:jc w:val="left"/>
              <w:rPr>
                <w:rFonts w:ascii="宋体" w:eastAsia="宋体" w:hAnsi="宋体"/>
                <w:szCs w:val="21"/>
              </w:rPr>
            </w:pPr>
            <w:r>
              <w:rPr>
                <w:rFonts w:ascii="宋体" w:eastAsia="宋体" w:hAnsi="宋体"/>
                <w:szCs w:val="21"/>
              </w:rPr>
              <w:t>2.月维护（每月 1 次）：清洁发射机通风滤网及空调、除湿系统滤尘网；通电检查测试仪表；试运行自备发电机；每 3 个月开展 1 次 UPS 充放电维护；检查避雷针状态；清理计算机冗余文件及硬盘碎片整理。</w:t>
            </w:r>
          </w:p>
          <w:p>
            <w:pPr>
              <w:autoSpaceDE w:val="0"/>
              <w:autoSpaceDN w:val="0"/>
              <w:adjustRightInd w:val="0"/>
              <w:snapToGrid w:val="0"/>
              <w:jc w:val="left"/>
              <w:rPr>
                <w:rFonts w:ascii="宋体" w:eastAsia="宋体" w:hAnsi="宋体"/>
                <w:szCs w:val="21"/>
              </w:rPr>
            </w:pPr>
            <w:r>
              <w:rPr>
                <w:rFonts w:ascii="宋体" w:eastAsia="宋体" w:hAnsi="宋体"/>
                <w:szCs w:val="21"/>
              </w:rPr>
              <w:t>3.年维护（每年 1 次）：检查并清洁天线座、天线罩单元及天线、伺服机械部件；紧固绝缘子、接线板等部件接线并清洁灰尘；测量记录各分机主要测试点波形 / 参数；调整分机电压、电流及波形；拆洗维护空调、除湿系统及风机；检查所有插件状态。</w:t>
            </w:r>
          </w:p>
          <w:p>
            <w:pPr>
              <w:autoSpaceDE w:val="0"/>
              <w:autoSpaceDN w:val="0"/>
              <w:adjustRightInd w:val="0"/>
              <w:snapToGrid w:val="0"/>
              <w:jc w:val="left"/>
              <w:rPr>
                <w:rFonts w:ascii="宋体" w:eastAsia="宋体" w:hAnsi="宋体"/>
                <w:szCs w:val="21"/>
              </w:rPr>
            </w:pPr>
            <w:r>
              <w:rPr>
                <w:rFonts w:ascii="宋体" w:eastAsia="宋体" w:hAnsi="宋体"/>
                <w:szCs w:val="21"/>
              </w:rPr>
              <w:t>4.汛前巡检（每年 1 次）：内容与年维护一致，额外增加水平 / 垂直接收支路损耗检查</w:t>
            </w:r>
          </w:p>
          <w:p>
            <w:pPr>
              <w:autoSpaceDE w:val="0"/>
              <w:autoSpaceDN w:val="0"/>
              <w:adjustRightInd w:val="0"/>
              <w:snapToGrid w:val="0"/>
              <w:jc w:val="left"/>
              <w:rPr>
                <w:rFonts w:ascii="宋体" w:eastAsia="宋体" w:hAnsi="宋体"/>
                <w:szCs w:val="21"/>
              </w:rPr>
            </w:pPr>
            <w:r>
              <w:rPr>
                <w:rFonts w:ascii="宋体" w:eastAsia="宋体" w:hAnsi="宋体"/>
                <w:szCs w:val="21"/>
              </w:rPr>
              <w:t>每年1次防雷设施检测、消防设备检测、铁塔安全性检测；</w:t>
            </w:r>
          </w:p>
          <w:p>
            <w:pPr>
              <w:autoSpaceDE w:val="0"/>
              <w:autoSpaceDN w:val="0"/>
              <w:adjustRightInd w:val="0"/>
              <w:snapToGrid w:val="0"/>
              <w:jc w:val="left"/>
              <w:rPr>
                <w:rFonts w:ascii="宋体" w:eastAsia="宋体" w:hAnsi="宋体"/>
                <w:szCs w:val="21"/>
              </w:rPr>
            </w:pPr>
            <w:r>
              <w:rPr>
                <w:rFonts w:ascii="宋体" w:eastAsia="宋体" w:hAnsi="宋体"/>
                <w:szCs w:val="21"/>
              </w:rPr>
              <w:t>3级及以上气象应急响应期间，乙方需提供24小时全天候现场值守保障，并定期上报雷达运行状态及故障处置报告；</w:t>
            </w:r>
          </w:p>
          <w:p>
            <w:pPr>
              <w:autoSpaceDE w:val="0"/>
              <w:autoSpaceDN w:val="0"/>
              <w:adjustRightInd w:val="0"/>
              <w:snapToGrid w:val="0"/>
              <w:jc w:val="left"/>
              <w:rPr>
                <w:rFonts w:ascii="宋体" w:eastAsia="宋体" w:hAnsi="宋体"/>
                <w:szCs w:val="21"/>
              </w:rPr>
            </w:pPr>
            <w:r>
              <w:rPr>
                <w:rFonts w:ascii="宋体" w:eastAsia="宋体" w:hAnsi="宋体"/>
                <w:szCs w:val="21"/>
              </w:rPr>
              <w:t>5.质保费按设备费的20%比例配置。乙方按质保总额 20% 比例配置备品备件，其中该部分备件需在整机交付使用后30个工作日内发送至省级雷达保障部门存储，确保维修保障时效内配送至雷达站；暂存在省级保障部门的备件需按季度进行动态更新，补充损耗或过时部件，确保备件有效性。</w:t>
            </w:r>
          </w:p>
          <w:p>
            <w:pPr>
              <w:rPr>
                <w:rFonts w:ascii="宋体" w:eastAsia="宋体" w:hAnsi="宋体"/>
                <w:szCs w:val="21"/>
              </w:rPr>
            </w:pPr>
            <w:r>
              <w:rPr>
                <w:rFonts w:ascii="宋体" w:eastAsia="宋体" w:hAnsi="宋体"/>
                <w:color w:val="EE0000"/>
                <w:szCs w:val="21"/>
              </w:rPr>
              <w:t>6.雷达附属设备及相关软件配套</w:t>
            </w:r>
            <w:r>
              <w:rPr>
                <w:rFonts w:ascii="宋体" w:eastAsia="宋体" w:hAnsi="宋体"/>
                <w:color w:val="EE0000"/>
                <w:szCs w:val="20"/>
              </w:rPr>
              <w:t>通过合同验收后次日起质保期为3年，合同验收时，应提供软硬件的技术手册和测试报告，质保期内，乙方需按照业务规定开展运维工作，并提供运维记录和报告。</w:t>
            </w:r>
          </w:p>
        </w:tc>
      </w:tr>
      <w:tr>
        <w:tblPrEx>
          <w:tblW w:w="8520" w:type="dxa"/>
          <w:tblInd w:w="108" w:type="dxa"/>
          <w:tblLayout w:type="fixed"/>
          <w:tblCellMar>
            <w:top w:w="0" w:type="dxa"/>
            <w:left w:w="108" w:type="dxa"/>
            <w:bottom w:w="0" w:type="dxa"/>
            <w:right w:w="108" w:type="dxa"/>
          </w:tblCellMar>
        </w:tblPrEx>
        <w:trPr>
          <w:trHeight w:val="127"/>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第9.2（3）项</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货物质量缺陷</w:t>
            </w:r>
          </w:p>
          <w:p>
            <w:pPr>
              <w:adjustRightInd w:val="0"/>
              <w:snapToGrid w:val="0"/>
              <w:jc w:val="left"/>
              <w:rPr>
                <w:rFonts w:ascii="宋体" w:eastAsia="宋体" w:hAnsi="宋体"/>
                <w:szCs w:val="21"/>
              </w:rPr>
            </w:pPr>
            <w:r>
              <w:rPr>
                <w:rFonts w:ascii="宋体" w:eastAsia="宋体" w:hAnsi="宋体"/>
                <w:szCs w:val="21"/>
              </w:rPr>
              <w:t>响应时间</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乙方保证在合同货物出现故障和缺陷时，或接到甲方提出的技术服务要求后1小时内予以答复，如甲方有要求或必要时，乙方应在接到甲方通知后24小时内派员至甲方免费维修和提供现场指导。同时响应甲方采购需求和乙方的响应承诺。</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snapToGrid w:val="0"/>
              <w:jc w:val="center"/>
              <w:rPr>
                <w:rFonts w:ascii="宋体" w:eastAsia="宋体" w:hAnsi="宋体" w:cs="宋体"/>
                <w:szCs w:val="21"/>
              </w:rPr>
            </w:pPr>
            <w:r>
              <w:rPr>
                <w:rFonts w:ascii="宋体" w:eastAsia="宋体" w:hAnsi="宋体" w:cs="宋体"/>
                <w:szCs w:val="21"/>
              </w:rPr>
              <w:t>第二节</w:t>
            </w:r>
          </w:p>
          <w:p>
            <w:pPr>
              <w:widowControl/>
              <w:autoSpaceDE w:val="0"/>
              <w:autoSpaceDN w:val="0"/>
              <w:adjustRightInd w:val="0"/>
              <w:jc w:val="center"/>
              <w:rPr>
                <w:rFonts w:ascii="宋体" w:eastAsia="宋体" w:hAnsi="宋体" w:cs="华文楷体"/>
                <w:kern w:val="0"/>
                <w:sz w:val="22"/>
                <w:szCs w:val="21"/>
              </w:rPr>
            </w:pPr>
            <w:r>
              <w:rPr>
                <w:rFonts w:ascii="宋体" w:eastAsia="宋体" w:hAnsi="宋体" w:cs="宋体"/>
                <w:kern w:val="0"/>
                <w:sz w:val="22"/>
                <w:szCs w:val="21"/>
              </w:rPr>
              <w:t>第12.1款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rPr>
                <w:rFonts w:ascii="宋体" w:eastAsia="宋体" w:hAnsi="宋体"/>
                <w:szCs w:val="21"/>
              </w:rPr>
            </w:pPr>
            <w:r>
              <w:rPr>
                <w:rFonts w:ascii="宋体" w:eastAsia="宋体" w:hAnsi="宋体"/>
                <w:szCs w:val="21"/>
              </w:rPr>
              <w:t>其他应当保密的信息</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1、乙方在合同履行期间知悉甲方的工作秘密（包括相关业务信息），不得透露或以其他方式提供给合同双方以外的其他方（包括乙方内部与本合同无关的任何人员），乙方的保密责任不因本合同的终止而终止。</w:t>
            </w:r>
          </w:p>
          <w:p>
            <w:pPr>
              <w:adjustRightInd w:val="0"/>
              <w:snapToGrid w:val="0"/>
              <w:jc w:val="left"/>
              <w:rPr>
                <w:rFonts w:ascii="宋体" w:eastAsia="宋体" w:hAnsi="宋体"/>
                <w:szCs w:val="21"/>
              </w:rPr>
            </w:pPr>
            <w:r>
              <w:rPr>
                <w:rFonts w:ascii="宋体" w:eastAsia="宋体" w:hAnsi="宋体"/>
                <w:szCs w:val="21"/>
              </w:rPr>
              <w:t>2、乙方违反本合同所规定的保密义务，应按照本合同总金额的10%支付违约金。</w:t>
            </w:r>
          </w:p>
        </w:tc>
      </w:tr>
      <w:tr>
        <w:tblPrEx>
          <w:tblW w:w="8520" w:type="dxa"/>
          <w:tblInd w:w="108" w:type="dxa"/>
          <w:tblLayout w:type="fixed"/>
          <w:tblCellMar>
            <w:top w:w="0" w:type="dxa"/>
            <w:left w:w="108" w:type="dxa"/>
            <w:bottom w:w="0" w:type="dxa"/>
            <w:right w:w="108" w:type="dxa"/>
          </w:tblCellMar>
        </w:tblPrEx>
        <w:trPr>
          <w:trHeight w:val="697"/>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第13.2款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合同价款支付时间</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按照合同条款约定</w:t>
            </w:r>
          </w:p>
        </w:tc>
      </w:tr>
      <w:tr>
        <w:tblPrEx>
          <w:tblW w:w="8520" w:type="dxa"/>
          <w:tblInd w:w="108" w:type="dxa"/>
          <w:tblLayout w:type="fixed"/>
          <w:tblCellMar>
            <w:top w:w="0" w:type="dxa"/>
            <w:left w:w="108" w:type="dxa"/>
            <w:bottom w:w="0" w:type="dxa"/>
            <w:right w:w="108" w:type="dxa"/>
          </w:tblCellMar>
        </w:tblPrEx>
        <w:trPr>
          <w:trHeight w:val="697"/>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第14.2款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履约保证金不予退还的情形</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若乙方未能按合同约定全面履行义务，甲方同意延期履行的，甲方有权要求乙方提供相应的延期履约保函。甲方不同意延期履行的，甲方有权解除合同追究乙方违约责任，并向履约保证人索赔。</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第14.3款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履约保证金退还时间及逾期退还的违约金</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如乙方已履行约定的全部合同义务，履约保函到期后自动作废。</w:t>
            </w:r>
          </w:p>
        </w:tc>
      </w:tr>
      <w:tr>
        <w:tblPrEx>
          <w:tblW w:w="8520" w:type="dxa"/>
          <w:tblInd w:w="108" w:type="dxa"/>
          <w:tblLayout w:type="fixed"/>
          <w:tblCellMar>
            <w:top w:w="0" w:type="dxa"/>
            <w:left w:w="108" w:type="dxa"/>
            <w:bottom w:w="0" w:type="dxa"/>
            <w:right w:w="108" w:type="dxa"/>
          </w:tblCellMar>
        </w:tblPrEx>
        <w:trPr>
          <w:trHeight w:val="784"/>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第15.1（3）项</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运行监督、维修期限</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在约定的期限内对所有的货物实施运行监督、维修，但前提条件是该服务并不能免除乙方在质量保证期内所承担的义务。</w:t>
            </w:r>
          </w:p>
        </w:tc>
      </w:tr>
      <w:tr>
        <w:tblPrEx>
          <w:tblW w:w="8520" w:type="dxa"/>
          <w:tblInd w:w="108" w:type="dxa"/>
          <w:tblLayout w:type="fixed"/>
          <w:tblCellMar>
            <w:top w:w="0" w:type="dxa"/>
            <w:left w:w="108" w:type="dxa"/>
            <w:bottom w:w="0" w:type="dxa"/>
            <w:right w:w="108" w:type="dxa"/>
          </w:tblCellMar>
        </w:tblPrEx>
        <w:trPr>
          <w:trHeight w:val="784"/>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第15.1（5）项</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货物回收的约定</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依照法律、行政法规的规定约定，货物在有效使用年限届满后应予回收的，乙方负有自行或者委托第三人对货物予以回收的义务。</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第15.1（6）项</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乙方提供的其他服务</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按照合同条款约定</w:t>
            </w:r>
            <w:r>
              <w:rPr>
                <w:rFonts w:ascii="Times New Roman" w:eastAsia="宋体" w:hAnsi="Times New Roman"/>
                <w:szCs w:val="20"/>
              </w:rPr>
              <w:t>，</w:t>
            </w:r>
            <w:r>
              <w:rPr>
                <w:rFonts w:ascii="宋体" w:eastAsia="宋体" w:hAnsi="宋体"/>
                <w:szCs w:val="21"/>
              </w:rPr>
              <w:t>并且需满足采购需求中的技术及商务需求。</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第16.1款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修理、重作、更换相关具体规定</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乙方所交付的设备型号、数量、技术参数、质量不符合合同规定标准的，甲方有权拒收该设备并要求乙方进行整改；乙方应在收到甲方通知后24小时内响应。在甲方规定的时间内，用符合合同规定的规格、质量和性能要求的新零件、部件或货物来更换有缺陷的零件、部件和货物，或修补缺陷部分以达到合同规定的要求，乙方应承担由此发生的相关费用并承担由此给甲方造成的直接损失及甲方因此产生的对第三方的责任。此时，相关货物的质量保修期也应相应延长。若同一缺陷经两次维修仍无法达到合同质量要求，甲方有权要求更换整机或解除合同，如解除合同乙方应退还已收取款项并按合同总价5%支付违约金。</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第16.2（2）项</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迟延交货赔偿费</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延期交货的违约责任：如乙方延期交货，每逾期一天，违约方应按延期交货所折合的金额每天3‰的比例向对方支付违约金，但该违约金累计不超过合同总金额的10%。上述逾期超过30天，甲方有权解除合同，并要求乙方退还已付合同款项，赔偿由此造成的损失。</w:t>
            </w:r>
          </w:p>
        </w:tc>
      </w:tr>
      <w:tr>
        <w:tblPrEx>
          <w:tblW w:w="8520" w:type="dxa"/>
          <w:tblInd w:w="108" w:type="dxa"/>
          <w:tblLayout w:type="fixed"/>
          <w:tblCellMar>
            <w:top w:w="0" w:type="dxa"/>
            <w:left w:w="108" w:type="dxa"/>
            <w:bottom w:w="0" w:type="dxa"/>
            <w:right w:w="108" w:type="dxa"/>
          </w:tblCellMar>
        </w:tblPrEx>
        <w:trPr>
          <w:trHeight w:val="736"/>
        </w:trPr>
        <w:tc>
          <w:tcPr>
            <w:tcW w:w="1607" w:type="dxa"/>
            <w:tcBorders>
              <w:top w:val="single" w:sz="6" w:space="0" w:color="auto"/>
              <w:left w:val="double" w:sz="4" w:space="0" w:color="auto"/>
              <w:bottom w:val="single" w:sz="6"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第16.3款</w:t>
            </w:r>
          </w:p>
        </w:tc>
        <w:tc>
          <w:tcPr>
            <w:tcW w:w="1742" w:type="dxa"/>
            <w:tcBorders>
              <w:top w:val="single" w:sz="6" w:space="0" w:color="auto"/>
              <w:left w:val="single" w:sz="6" w:space="0" w:color="auto"/>
              <w:bottom w:val="single" w:sz="6"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szCs w:val="21"/>
              </w:rPr>
              <w:t>逾期付款利息</w:t>
            </w:r>
          </w:p>
        </w:tc>
        <w:tc>
          <w:tcPr>
            <w:tcW w:w="5170" w:type="dxa"/>
            <w:tcBorders>
              <w:top w:val="single" w:sz="6" w:space="0" w:color="auto"/>
              <w:left w:val="single" w:sz="6" w:space="0" w:color="auto"/>
              <w:bottom w:val="single" w:sz="6"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逾期付款利息：如甲方逾期付款，按逾期付款金额，</w:t>
            </w:r>
            <w:r>
              <w:rPr>
                <w:rFonts w:ascii="宋体" w:eastAsia="宋体" w:hAnsi="宋体"/>
                <w:szCs w:val="21"/>
                <w:u w:val="single"/>
              </w:rPr>
              <w:t>以合同订立时1年期贷款市场报价利率进行计算</w:t>
            </w:r>
            <w:r>
              <w:rPr>
                <w:rFonts w:ascii="宋体" w:eastAsia="宋体" w:hAnsi="宋体"/>
                <w:szCs w:val="21"/>
              </w:rPr>
              <w:t>，但该逾期付款利息累计不超过合同总金额的10%。</w:t>
            </w:r>
          </w:p>
          <w:p>
            <w:pPr>
              <w:adjustRightInd w:val="0"/>
              <w:snapToGrid w:val="0"/>
              <w:jc w:val="left"/>
              <w:rPr>
                <w:rFonts w:ascii="宋体" w:eastAsia="宋体" w:hAnsi="宋体"/>
                <w:szCs w:val="21"/>
              </w:rPr>
            </w:pPr>
            <w:r>
              <w:rPr>
                <w:rFonts w:ascii="宋体" w:eastAsia="宋体" w:hAnsi="宋体"/>
                <w:szCs w:val="21"/>
              </w:rPr>
              <w:t>特别约定：如确因财政资金未拨付而不能在约定时间内支付，甲丙方不承担逾期付款的违约责任，如超过付款时间一年后甲丙方仍不能支付，则自超过付款期限一年时起，甲方支付按实际欠款金额为基数以合同订立时1年期贷款市场报价利率进行计算的自超过付款期限一年时起至实际付款之日止的逾期付款利息，逾期付款利息累计不超过合同总金额10%。</w:t>
            </w:r>
          </w:p>
          <w:p>
            <w:pPr>
              <w:adjustRightInd w:val="0"/>
              <w:snapToGrid w:val="0"/>
              <w:jc w:val="left"/>
              <w:rPr>
                <w:rFonts w:ascii="宋体" w:eastAsia="宋体" w:hAnsi="宋体"/>
                <w:szCs w:val="21"/>
              </w:rPr>
            </w:pPr>
          </w:p>
        </w:tc>
      </w:tr>
      <w:tr>
        <w:tblPrEx>
          <w:tblW w:w="8520" w:type="dxa"/>
          <w:tblInd w:w="108" w:type="dxa"/>
          <w:tblLayout w:type="fixed"/>
          <w:tblCellMar>
            <w:top w:w="0" w:type="dxa"/>
            <w:left w:w="108" w:type="dxa"/>
            <w:bottom w:w="0" w:type="dxa"/>
            <w:right w:w="108" w:type="dxa"/>
          </w:tblCellMar>
        </w:tblPrEx>
        <w:trPr>
          <w:trHeight w:val="876"/>
        </w:trPr>
        <w:tc>
          <w:tcPr>
            <w:tcW w:w="1607" w:type="dxa"/>
            <w:tcBorders>
              <w:top w:val="single" w:sz="6" w:space="0" w:color="auto"/>
              <w:left w:val="double" w:sz="4" w:space="0" w:color="auto"/>
              <w:bottom w:val="single" w:sz="2" w:space="0" w:color="auto"/>
              <w:right w:val="single" w:sz="2"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第16.4款</w:t>
            </w:r>
          </w:p>
        </w:tc>
        <w:tc>
          <w:tcPr>
            <w:tcW w:w="1742" w:type="dxa"/>
            <w:tcBorders>
              <w:top w:val="single" w:sz="6" w:space="0" w:color="auto"/>
              <w:left w:val="single" w:sz="2" w:space="0" w:color="auto"/>
              <w:bottom w:val="single" w:sz="2" w:space="0" w:color="auto"/>
              <w:right w:val="single" w:sz="2" w:space="0" w:color="auto"/>
            </w:tcBorders>
            <w:vAlign w:val="center"/>
          </w:tcPr>
          <w:p>
            <w:pPr>
              <w:adjustRightInd w:val="0"/>
              <w:snapToGrid w:val="0"/>
              <w:jc w:val="left"/>
              <w:rPr>
                <w:rFonts w:ascii="宋体" w:eastAsia="宋体" w:hAnsi="宋体"/>
                <w:szCs w:val="21"/>
              </w:rPr>
            </w:pPr>
            <w:r>
              <w:rPr>
                <w:rFonts w:ascii="宋体" w:eastAsia="宋体" w:hAnsi="宋体"/>
                <w:szCs w:val="21"/>
              </w:rPr>
              <w:t>其他违约责任</w:t>
            </w:r>
          </w:p>
        </w:tc>
        <w:tc>
          <w:tcPr>
            <w:tcW w:w="5170" w:type="dxa"/>
            <w:tcBorders>
              <w:top w:val="single" w:sz="6" w:space="0" w:color="auto"/>
              <w:left w:val="single" w:sz="2" w:space="0" w:color="auto"/>
              <w:bottom w:val="single" w:sz="2"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1.其它违约责任按《中华人民共和国民法典》：违约方应就每一单项违约向对方支付合同总金额0.5%的违约金。如果违约责任对合同履行产生严重影响，导致合同目的不能实现的，守约方有权解除合同，要求守约方赔偿由此造成的损失（包括直接经济损失和律师费、诉讼费、保全费等维权损失）。如乙方违约导致解除的，甲方还有权要求乙方退还已付合同款项。</w:t>
            </w:r>
          </w:p>
          <w:p>
            <w:pPr>
              <w:adjustRightInd w:val="0"/>
              <w:snapToGrid w:val="0"/>
              <w:jc w:val="left"/>
              <w:rPr>
                <w:rFonts w:ascii="宋体" w:eastAsia="宋体" w:hAnsi="宋体"/>
                <w:szCs w:val="21"/>
              </w:rPr>
            </w:pPr>
            <w:r>
              <w:rPr>
                <w:rFonts w:ascii="宋体" w:eastAsia="宋体" w:hAnsi="宋体"/>
                <w:szCs w:val="21"/>
              </w:rPr>
              <w:t>2.若货物为假冒伪劣产品或其中包括该类情形的零、部件，或存在权利瑕疵导致甲方使用受限，乙方应按照合同总金额的2倍向甲方支付惩罚性赔偿金，若该赔偿未达到给甲方造成损失的2倍，则乙方应当支付给甲方造成损失的2倍的惩罚性赔偿金，且并不当然免除其依法应受的其它处罚。</w:t>
            </w:r>
          </w:p>
          <w:p>
            <w:pPr>
              <w:adjustRightInd w:val="0"/>
              <w:snapToGrid w:val="0"/>
              <w:jc w:val="left"/>
              <w:rPr>
                <w:rFonts w:ascii="宋体" w:eastAsia="宋体" w:hAnsi="宋体"/>
                <w:szCs w:val="21"/>
              </w:rPr>
            </w:pPr>
            <w:r>
              <w:rPr>
                <w:rFonts w:ascii="宋体" w:eastAsia="宋体" w:hAnsi="宋体"/>
                <w:szCs w:val="21"/>
              </w:rPr>
              <w:t>3.质保期内，若乙方未按约定提供周维护、月维护、标校、汛前巡检及标校、年维护及标校服务，或未按质保总额 20% 的比例在整机交付使用后 30 个工作日内将备品备件送达省级雷达保障部门存储，或未按季度对暂存备件进行动态更新、补充损耗或过时部件等质保责任。乙方应在甲方通知后 7日内完成整改并采取补救措施；逾期未整改或整改不合格的，乙方应承担甲方因此产生的全部维修、更换、巡检、标校及第三方服务等实际支出费用，并赔偿甲方相应损失；因乙方维保不到位、备件缺失或失效造成设备无法正常运行的，乙方赔偿甲方合同总价款30%的违约金，并赔偿甲方由此造成的损失（包括第直接经济损失和律师费、诉讼费、保全（保险）费、等维权损失）。甲方有权单方解除合同。</w:t>
            </w:r>
          </w:p>
        </w:tc>
      </w:tr>
      <w:tr>
        <w:tblPrEx>
          <w:tblW w:w="8520"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left w:val="double" w:sz="4" w:space="0" w:color="auto"/>
              <w:bottom w:val="single" w:sz="6" w:space="0" w:color="auto"/>
              <w:right w:val="single" w:sz="2"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第20.2款</w:t>
            </w:r>
          </w:p>
        </w:tc>
        <w:tc>
          <w:tcPr>
            <w:tcW w:w="1742" w:type="dxa"/>
            <w:tcBorders>
              <w:top w:val="single" w:sz="2" w:space="0" w:color="auto"/>
              <w:left w:val="single" w:sz="2" w:space="0" w:color="auto"/>
              <w:bottom w:val="single" w:sz="6" w:space="0" w:color="auto"/>
              <w:right w:val="single" w:sz="2" w:space="0" w:color="auto"/>
            </w:tcBorders>
            <w:vAlign w:val="center"/>
          </w:tcPr>
          <w:p>
            <w:pPr>
              <w:adjustRightInd w:val="0"/>
              <w:snapToGrid w:val="0"/>
              <w:jc w:val="left"/>
              <w:rPr>
                <w:rFonts w:ascii="宋体" w:eastAsia="宋体" w:hAnsi="宋体"/>
                <w:szCs w:val="21"/>
              </w:rPr>
            </w:pPr>
            <w:r>
              <w:rPr>
                <w:rFonts w:ascii="宋体" w:eastAsia="宋体" w:hAnsi="宋体"/>
                <w:szCs w:val="21"/>
              </w:rPr>
              <w:t>解决争议的方法</w:t>
            </w:r>
          </w:p>
        </w:tc>
        <w:tc>
          <w:tcPr>
            <w:tcW w:w="5170" w:type="dxa"/>
            <w:tcBorders>
              <w:top w:val="single" w:sz="2" w:space="0" w:color="auto"/>
              <w:left w:val="single" w:sz="2" w:space="0" w:color="auto"/>
              <w:bottom w:val="single" w:sz="6" w:space="0" w:color="auto"/>
              <w:right w:val="double" w:sz="4" w:space="0" w:color="auto"/>
            </w:tcBorders>
            <w:vAlign w:val="center"/>
          </w:tcPr>
          <w:p>
            <w:pPr>
              <w:autoSpaceDE w:val="0"/>
              <w:autoSpaceDN w:val="0"/>
              <w:adjustRightInd w:val="0"/>
              <w:snapToGrid w:val="0"/>
              <w:jc w:val="left"/>
              <w:rPr>
                <w:rFonts w:ascii="宋体" w:eastAsia="宋体" w:hAnsi="宋体" w:cs="宋体"/>
                <w:iCs/>
                <w:szCs w:val="21"/>
              </w:rPr>
            </w:pPr>
            <w:r>
              <w:rPr>
                <w:rFonts w:ascii="宋体" w:eastAsia="宋体" w:hAnsi="宋体" w:cs="宋体"/>
                <w:iCs/>
                <w:szCs w:val="21"/>
              </w:rPr>
              <w:t>因本合同及合同有关事项发生的争议，按下列第</w:t>
            </w:r>
            <w:r>
              <w:rPr>
                <w:rFonts w:ascii="宋体" w:eastAsia="宋体" w:hAnsi="宋体" w:cs="宋体"/>
                <w:iCs/>
                <w:szCs w:val="21"/>
                <w:u w:val="single"/>
              </w:rPr>
              <w:t xml:space="preserve"> 2 </w:t>
            </w:r>
            <w:r>
              <w:rPr>
                <w:rFonts w:ascii="宋体" w:eastAsia="宋体" w:hAnsi="宋体" w:cs="宋体"/>
                <w:iCs/>
                <w:szCs w:val="21"/>
              </w:rPr>
              <w:t>种方式解决：</w:t>
            </w:r>
          </w:p>
          <w:p>
            <w:pPr>
              <w:autoSpaceDE w:val="0"/>
              <w:autoSpaceDN w:val="0"/>
              <w:adjustRightInd w:val="0"/>
              <w:snapToGrid w:val="0"/>
              <w:jc w:val="left"/>
              <w:rPr>
                <w:rFonts w:ascii="宋体" w:eastAsia="宋体" w:hAnsi="宋体" w:cs="宋体"/>
                <w:iCs/>
                <w:szCs w:val="21"/>
              </w:rPr>
            </w:pPr>
            <w:r>
              <w:rPr>
                <w:rFonts w:ascii="宋体" w:eastAsia="宋体" w:hAnsi="宋体" w:cs="宋体"/>
                <w:iCs/>
                <w:szCs w:val="21"/>
              </w:rPr>
              <w:t>（1）向</w:t>
            </w:r>
            <w:r>
              <w:rPr>
                <w:rFonts w:ascii="宋体" w:eastAsia="宋体" w:hAnsi="宋体" w:cs="宋体"/>
                <w:iCs/>
                <w:szCs w:val="21"/>
                <w:u w:val="single"/>
              </w:rPr>
              <w:t xml:space="preserve">           </w:t>
            </w:r>
            <w:r>
              <w:rPr>
                <w:rFonts w:ascii="宋体" w:eastAsia="宋体" w:hAnsi="宋体" w:cs="宋体"/>
                <w:iCs/>
                <w:szCs w:val="21"/>
              </w:rPr>
              <w:t>仲裁委员会申请仲裁，仲裁地点为</w:t>
            </w:r>
            <w:r>
              <w:rPr>
                <w:rFonts w:ascii="宋体" w:eastAsia="宋体" w:hAnsi="宋体" w:cs="宋体"/>
                <w:iCs/>
                <w:szCs w:val="21"/>
                <w:u w:val="single"/>
              </w:rPr>
              <w:t xml:space="preserve">           </w:t>
            </w:r>
            <w:r>
              <w:rPr>
                <w:rFonts w:ascii="宋体" w:eastAsia="宋体" w:hAnsi="宋体" w:cs="宋体"/>
                <w:iCs/>
                <w:szCs w:val="21"/>
              </w:rPr>
              <w:t>；</w:t>
            </w:r>
          </w:p>
          <w:p>
            <w:pPr>
              <w:adjustRightInd w:val="0"/>
              <w:snapToGrid w:val="0"/>
              <w:jc w:val="left"/>
              <w:rPr>
                <w:rFonts w:ascii="宋体" w:eastAsia="宋体" w:hAnsi="宋体"/>
                <w:szCs w:val="21"/>
                <w:u w:val="single"/>
              </w:rPr>
            </w:pPr>
            <w:r>
              <w:rPr>
                <w:rFonts w:ascii="宋体" w:eastAsia="宋体" w:hAnsi="宋体" w:cs="宋体"/>
                <w:iCs/>
                <w:szCs w:val="21"/>
              </w:rPr>
              <w:t>（2）向</w:t>
            </w:r>
            <w:r>
              <w:rPr>
                <w:rFonts w:ascii="宋体" w:eastAsia="宋体" w:hAnsi="宋体" w:cs="宋体"/>
                <w:iCs/>
                <w:szCs w:val="21"/>
                <w:u w:val="single"/>
              </w:rPr>
              <w:t>甲方所在地</w:t>
            </w:r>
            <w:r>
              <w:rPr>
                <w:rFonts w:ascii="宋体" w:eastAsia="宋体" w:hAnsi="宋体" w:cs="宋体"/>
                <w:iCs/>
                <w:szCs w:val="21"/>
              </w:rPr>
              <w:t>人民法院起诉。</w:t>
            </w:r>
          </w:p>
        </w:tc>
      </w:tr>
      <w:tr>
        <w:tblPrEx>
          <w:tblW w:w="8520" w:type="dxa"/>
          <w:tblInd w:w="108" w:type="dxa"/>
          <w:tblLayout w:type="fixed"/>
          <w:tblCellMar>
            <w:top w:w="0" w:type="dxa"/>
            <w:left w:w="108" w:type="dxa"/>
            <w:bottom w:w="0" w:type="dxa"/>
            <w:right w:w="108" w:type="dxa"/>
          </w:tblCellMar>
        </w:tblPrEx>
        <w:trPr>
          <w:trHeight w:val="1892"/>
        </w:trPr>
        <w:tc>
          <w:tcPr>
            <w:tcW w:w="1607" w:type="dxa"/>
            <w:tcBorders>
              <w:top w:val="single" w:sz="6" w:space="0" w:color="auto"/>
              <w:left w:val="double" w:sz="4" w:space="0" w:color="auto"/>
              <w:bottom w:val="double" w:sz="4" w:space="0" w:color="auto"/>
              <w:right w:val="single" w:sz="6" w:space="0" w:color="auto"/>
            </w:tcBorders>
            <w:vAlign w:val="center"/>
          </w:tcPr>
          <w:p>
            <w:pPr>
              <w:adjustRightInd w:val="0"/>
              <w:snapToGrid w:val="0"/>
              <w:jc w:val="center"/>
              <w:rPr>
                <w:rFonts w:ascii="宋体" w:eastAsia="宋体" w:hAnsi="宋体"/>
                <w:szCs w:val="21"/>
              </w:rPr>
            </w:pPr>
            <w:r>
              <w:rPr>
                <w:rFonts w:ascii="宋体" w:eastAsia="宋体" w:hAnsi="宋体"/>
                <w:szCs w:val="21"/>
              </w:rPr>
              <w:t>第二节</w:t>
            </w:r>
          </w:p>
          <w:p>
            <w:pPr>
              <w:adjustRightInd w:val="0"/>
              <w:snapToGrid w:val="0"/>
              <w:jc w:val="center"/>
              <w:rPr>
                <w:rFonts w:ascii="宋体" w:eastAsia="宋体" w:hAnsi="宋体"/>
                <w:szCs w:val="21"/>
              </w:rPr>
            </w:pPr>
            <w:r>
              <w:rPr>
                <w:rFonts w:ascii="宋体" w:eastAsia="宋体" w:hAnsi="宋体"/>
                <w:szCs w:val="21"/>
              </w:rPr>
              <w:t>第24.1款</w:t>
            </w:r>
          </w:p>
        </w:tc>
        <w:tc>
          <w:tcPr>
            <w:tcW w:w="1742" w:type="dxa"/>
            <w:tcBorders>
              <w:top w:val="single" w:sz="6" w:space="0" w:color="auto"/>
              <w:left w:val="single" w:sz="6" w:space="0" w:color="auto"/>
              <w:bottom w:val="double" w:sz="4" w:space="0" w:color="auto"/>
              <w:right w:val="single" w:sz="6" w:space="0" w:color="auto"/>
            </w:tcBorders>
            <w:vAlign w:val="center"/>
          </w:tcPr>
          <w:p>
            <w:pPr>
              <w:adjustRightInd w:val="0"/>
              <w:snapToGrid w:val="0"/>
              <w:jc w:val="left"/>
              <w:rPr>
                <w:rFonts w:ascii="宋体" w:eastAsia="宋体" w:hAnsi="宋体"/>
                <w:szCs w:val="21"/>
              </w:rPr>
            </w:pPr>
            <w:r>
              <w:rPr>
                <w:rFonts w:ascii="宋体" w:eastAsia="宋体" w:hAnsi="宋体"/>
                <w:bCs/>
                <w:szCs w:val="21"/>
              </w:rPr>
              <w:t>其他专用条款</w:t>
            </w:r>
          </w:p>
        </w:tc>
        <w:tc>
          <w:tcPr>
            <w:tcW w:w="5170" w:type="dxa"/>
            <w:tcBorders>
              <w:top w:val="single" w:sz="6" w:space="0" w:color="auto"/>
              <w:left w:val="single" w:sz="6" w:space="0" w:color="auto"/>
              <w:bottom w:val="double" w:sz="4" w:space="0" w:color="auto"/>
              <w:right w:val="double" w:sz="4" w:space="0" w:color="auto"/>
            </w:tcBorders>
            <w:vAlign w:val="center"/>
          </w:tcPr>
          <w:p>
            <w:pPr>
              <w:adjustRightInd w:val="0"/>
              <w:snapToGrid w:val="0"/>
              <w:jc w:val="left"/>
              <w:rPr>
                <w:rFonts w:ascii="宋体" w:eastAsia="宋体" w:hAnsi="宋体"/>
                <w:szCs w:val="21"/>
              </w:rPr>
            </w:pPr>
            <w:r>
              <w:rPr>
                <w:rFonts w:ascii="宋体" w:eastAsia="宋体" w:hAnsi="宋体"/>
                <w:szCs w:val="21"/>
              </w:rPr>
              <w:t>鉴于本项目价款是由丙方________________________________（云南省气象局的直属事业单位）从财政部门拨付的省级财政资金中支出，由本合同的付款义务由丙方承担并履行，合同中关于甲方的其余权利义务仍然由甲方云南省气象局享有和承担，乙方对此无异议。</w:t>
            </w:r>
          </w:p>
        </w:tc>
      </w:tr>
    </w:tbl>
    <w:p>
      <w:pPr>
        <w:rPr>
          <w:rFonts w:ascii="Times New Roman" w:eastAsia="宋体" w:hAnsi="Times New Roman"/>
          <w:szCs w:val="20"/>
        </w:rPr>
      </w:pPr>
    </w:p>
    <w:p>
      <w:pPr>
        <w:rPr>
          <w:rFonts w:ascii="Times New Roman" w:eastAsia="宋体" w:hAnsi="Times New Roman"/>
          <w:szCs w:val="20"/>
        </w:rPr>
      </w:pPr>
      <w:bookmarkStart w:id="76" w:name="_GoBack_0"/>
    </w:p>
    <w:p>
      <w:pPr>
        <w:tabs>
          <w:tab w:val="left" w:pos="5441"/>
        </w:tabs>
        <w:rPr>
          <w:rFonts w:ascii="Times New Roman" w:eastAsia="宋体" w:hAnsi="Times New Roman"/>
          <w:szCs w:val="20"/>
        </w:rPr>
      </w:pPr>
      <w:r>
        <w:rPr>
          <w:rFonts w:ascii="Times New Roman" w:eastAsia="宋体" w:hAnsi="Times New Roman"/>
          <w:szCs w:val="20"/>
        </w:rPr>
        <w:tab/>
      </w:r>
    </w:p>
    <w:p>
      <w:pPr>
        <w:rPr>
          <w:rFonts w:ascii="Times New Roman" w:eastAsia="宋体" w:hAnsi="Times New Roman"/>
          <w:szCs w:val="20"/>
        </w:rPr>
      </w:pPr>
    </w:p>
    <w:p>
      <w:pPr>
        <w:rPr>
          <w:rFonts w:ascii="Times New Roman" w:eastAsia="宋体" w:hAnsi="Times New Roman"/>
          <w:szCs w:val="20"/>
        </w:rPr>
      </w:pPr>
    </w:p>
    <w:p>
      <w:pPr>
        <w:rPr>
          <w:rFonts w:ascii="Times New Roman" w:eastAsia="宋体" w:hAnsi="Times New Roman"/>
          <w:szCs w:val="20"/>
        </w:rPr>
      </w:pPr>
    </w:p>
    <w:p>
      <w:pPr>
        <w:rPr>
          <w:rFonts w:ascii="Times New Roman" w:eastAsia="宋体" w:hAnsi="Times New Roman"/>
          <w:szCs w:val="20"/>
        </w:rPr>
      </w:pPr>
    </w:p>
    <w:p>
      <w:pPr>
        <w:rPr>
          <w:rFonts w:ascii="Times New Roman" w:eastAsia="宋体" w:hAnsi="Times New Roman"/>
          <w:szCs w:val="20"/>
        </w:rPr>
      </w:pPr>
    </w:p>
    <w:p>
      <w:pPr>
        <w:rPr>
          <w:rFonts w:ascii="Times New Roman" w:eastAsia="宋体" w:hAnsi="Times New Roman"/>
          <w:szCs w:val="20"/>
        </w:rPr>
      </w:pPr>
    </w:p>
    <w:p>
      <w:pPr>
        <w:rPr>
          <w:rFonts w:ascii="Times New Roman" w:eastAsia="宋体" w:hAnsi="Times New Roman"/>
          <w:szCs w:val="20"/>
        </w:rPr>
      </w:pPr>
    </w:p>
    <w:p>
      <w:pPr>
        <w:rPr>
          <w:rFonts w:ascii="Times New Roman" w:eastAsia="宋体" w:hAnsi="Times New Roman"/>
          <w:szCs w:val="20"/>
        </w:rPr>
      </w:pPr>
    </w:p>
    <w:p>
      <w:pPr>
        <w:rPr>
          <w:rFonts w:ascii="Times New Roman" w:eastAsia="宋体" w:hAnsi="Times New Roman"/>
          <w:szCs w:val="20"/>
        </w:rPr>
      </w:pPr>
    </w:p>
    <w:p>
      <w:pPr>
        <w:rPr>
          <w:rFonts w:ascii="Times New Roman" w:eastAsia="宋体" w:hAnsi="Times New Roman"/>
          <w:szCs w:val="20"/>
        </w:rPr>
      </w:pPr>
    </w:p>
    <w:p>
      <w:pPr>
        <w:keepNext/>
        <w:keepLines/>
        <w:adjustRightInd w:val="0"/>
        <w:snapToGrid w:val="0"/>
        <w:spacing w:before="160" w:after="80" w:line="400" w:lineRule="exact"/>
        <w:outlineLvl w:val="1"/>
        <w:rPr>
          <w:rFonts w:ascii="宋体" w:eastAsia="宋体" w:hAnsi="宋体" w:cs="宋体"/>
          <w:sz w:val="28"/>
          <w:szCs w:val="28"/>
        </w:rPr>
      </w:pPr>
      <w:r>
        <w:rPr>
          <w:rFonts w:ascii="宋体" w:eastAsia="宋体" w:hAnsi="宋体" w:cs="宋体"/>
          <w:sz w:val="28"/>
          <w:szCs w:val="28"/>
        </w:rPr>
        <w:t>附件一：X波段相控阵天气雷达分项报价（项目参照表格自行拟定）</w:t>
      </w:r>
    </w:p>
    <w:tbl>
      <w:tblPr>
        <w:tblStyle w:val="TableNormal"/>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38"/>
        <w:gridCol w:w="784"/>
        <w:gridCol w:w="1305"/>
        <w:gridCol w:w="738"/>
        <w:gridCol w:w="1396"/>
        <w:gridCol w:w="3558"/>
      </w:tblGrid>
      <w:tr>
        <w:tblPrEx>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blHeader/>
          <w:jc w:val="center"/>
        </w:trPr>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序号</w:t>
            </w:r>
          </w:p>
        </w:tc>
        <w:tc>
          <w:tcPr>
            <w:tcW w:w="784"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项目</w:t>
            </w:r>
          </w:p>
        </w:tc>
        <w:tc>
          <w:tcPr>
            <w:tcW w:w="1305"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价格(元)</w:t>
            </w:r>
          </w:p>
        </w:tc>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数量</w:t>
            </w:r>
          </w:p>
        </w:tc>
        <w:tc>
          <w:tcPr>
            <w:tcW w:w="1396"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小计（元）</w:t>
            </w:r>
          </w:p>
        </w:tc>
        <w:tc>
          <w:tcPr>
            <w:tcW w:w="355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备注</w:t>
            </w:r>
          </w:p>
        </w:tc>
      </w:tr>
      <w:tr>
        <w:tblPrEx>
          <w:tblW w:w="8519" w:type="dxa"/>
          <w:jc w:val="center"/>
          <w:tblCellMar>
            <w:top w:w="0" w:type="dxa"/>
            <w:left w:w="108" w:type="dxa"/>
            <w:bottom w:w="0" w:type="dxa"/>
            <w:right w:w="108" w:type="dxa"/>
          </w:tblCellMar>
        </w:tblPrEx>
        <w:trPr>
          <w:jc w:val="center"/>
        </w:trPr>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r>
              <w:rPr>
                <w:rFonts w:ascii="宋体" w:eastAsia="宋体" w:hAnsi="宋体" w:cs="宋体"/>
                <w:sz w:val="18"/>
                <w:szCs w:val="24"/>
              </w:rPr>
              <w:t>一</w:t>
            </w:r>
          </w:p>
        </w:tc>
        <w:tc>
          <w:tcPr>
            <w:tcW w:w="784"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r>
              <w:rPr>
                <w:rFonts w:ascii="宋体" w:eastAsia="宋体" w:hAnsi="宋体" w:cs="宋体"/>
                <w:sz w:val="18"/>
                <w:szCs w:val="24"/>
              </w:rPr>
              <w:t>雷达系统主机设备费用</w:t>
            </w:r>
          </w:p>
        </w:tc>
        <w:tc>
          <w:tcPr>
            <w:tcW w:w="1305"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396"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3558"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r>
              <w:rPr>
                <w:rFonts w:ascii="宋体" w:eastAsia="宋体" w:hAnsi="宋体" w:cs="宋体"/>
                <w:sz w:val="18"/>
                <w:szCs w:val="24"/>
              </w:rPr>
              <w:t>1</w:t>
            </w:r>
          </w:p>
        </w:tc>
        <w:tc>
          <w:tcPr>
            <w:tcW w:w="784"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r>
              <w:rPr>
                <w:rFonts w:ascii="宋体" w:eastAsia="宋体" w:hAnsi="宋体" w:cs="宋体"/>
                <w:sz w:val="18"/>
                <w:szCs w:val="24"/>
              </w:rPr>
              <w:t>雷达系统硬件</w:t>
            </w:r>
          </w:p>
        </w:tc>
        <w:tc>
          <w:tcPr>
            <w:tcW w:w="1305"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396"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3558"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r>
              <w:rPr>
                <w:rFonts w:ascii="宋体" w:eastAsia="宋体" w:hAnsi="宋体" w:cs="宋体"/>
                <w:sz w:val="18"/>
                <w:szCs w:val="24"/>
              </w:rPr>
              <w:t>2</w:t>
            </w:r>
          </w:p>
        </w:tc>
        <w:tc>
          <w:tcPr>
            <w:tcW w:w="784"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r>
              <w:rPr>
                <w:rFonts w:ascii="宋体" w:eastAsia="宋体" w:hAnsi="宋体" w:cs="宋体"/>
                <w:sz w:val="18"/>
                <w:szCs w:val="24"/>
              </w:rPr>
              <w:t>雷达系统软件</w:t>
            </w:r>
          </w:p>
        </w:tc>
        <w:tc>
          <w:tcPr>
            <w:tcW w:w="1305"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396"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3558"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r>
              <w:rPr>
                <w:rFonts w:ascii="宋体" w:eastAsia="宋体" w:hAnsi="宋体" w:cs="宋体"/>
                <w:sz w:val="18"/>
                <w:szCs w:val="24"/>
              </w:rPr>
              <w:t>二</w:t>
            </w:r>
          </w:p>
        </w:tc>
        <w:tc>
          <w:tcPr>
            <w:tcW w:w="784"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r>
              <w:rPr>
                <w:rFonts w:ascii="宋体" w:eastAsia="宋体" w:hAnsi="宋体" w:cs="宋体"/>
                <w:sz w:val="18"/>
                <w:szCs w:val="24"/>
              </w:rPr>
              <w:t>售后服务</w:t>
            </w:r>
          </w:p>
        </w:tc>
        <w:tc>
          <w:tcPr>
            <w:tcW w:w="1305"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396"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3558"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r>
              <w:rPr>
                <w:rFonts w:ascii="宋体" w:eastAsia="宋体" w:hAnsi="宋体" w:cs="宋体"/>
                <w:sz w:val="18"/>
                <w:szCs w:val="24"/>
              </w:rPr>
              <w:t>三</w:t>
            </w:r>
          </w:p>
        </w:tc>
        <w:tc>
          <w:tcPr>
            <w:tcW w:w="784"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r>
              <w:rPr>
                <w:rFonts w:ascii="宋体" w:eastAsia="宋体" w:hAnsi="宋体" w:cs="宋体"/>
                <w:sz w:val="18"/>
                <w:szCs w:val="24"/>
              </w:rPr>
              <w:t>随机备件和测试仪表</w:t>
            </w:r>
          </w:p>
        </w:tc>
        <w:tc>
          <w:tcPr>
            <w:tcW w:w="1305"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396"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3558"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r>
              <w:rPr>
                <w:rFonts w:ascii="宋体" w:eastAsia="宋体" w:hAnsi="宋体" w:cs="宋体"/>
                <w:sz w:val="18"/>
                <w:szCs w:val="24"/>
              </w:rPr>
              <w:t>四</w:t>
            </w:r>
          </w:p>
        </w:tc>
        <w:tc>
          <w:tcPr>
            <w:tcW w:w="784"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r>
              <w:rPr>
                <w:rFonts w:ascii="宋体" w:eastAsia="宋体" w:hAnsi="宋体" w:cs="宋体"/>
                <w:sz w:val="18"/>
                <w:szCs w:val="24"/>
              </w:rPr>
              <w:t>附属设备</w:t>
            </w:r>
          </w:p>
        </w:tc>
        <w:tc>
          <w:tcPr>
            <w:tcW w:w="1305"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396"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3558"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738" w:type="dxa"/>
            <w:gridSpan w:val="2"/>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合计（元）</w:t>
            </w:r>
          </w:p>
        </w:tc>
        <w:tc>
          <w:tcPr>
            <w:tcW w:w="1305"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b/>
                <w:sz w:val="18"/>
              </w:rPr>
            </w:pPr>
          </w:p>
        </w:tc>
        <w:tc>
          <w:tcPr>
            <w:tcW w:w="738"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p>
        </w:tc>
        <w:tc>
          <w:tcPr>
            <w:tcW w:w="1396"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b/>
                <w:sz w:val="18"/>
              </w:rPr>
            </w:pPr>
          </w:p>
        </w:tc>
        <w:tc>
          <w:tcPr>
            <w:tcW w:w="3558"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b/>
                <w:sz w:val="18"/>
              </w:rPr>
            </w:pPr>
          </w:p>
        </w:tc>
      </w:tr>
    </w:tbl>
    <w:p>
      <w:pPr>
        <w:rPr>
          <w:rFonts w:ascii="Times New Roman" w:eastAsia="宋体" w:hAnsi="Times New Roman"/>
          <w:szCs w:val="20"/>
        </w:rPr>
      </w:pPr>
    </w:p>
    <w:p>
      <w:pPr>
        <w:rPr>
          <w:rFonts w:ascii="Times New Roman" w:eastAsia="宋体" w:hAnsi="Times New Roman"/>
          <w:szCs w:val="20"/>
        </w:rPr>
      </w:pPr>
    </w:p>
    <w:p>
      <w:pPr>
        <w:widowControl/>
        <w:spacing w:afterAutospacing="1"/>
        <w:jc w:val="left"/>
        <w:rPr>
          <w:rFonts w:ascii="Times New Roman" w:eastAsia="宋体" w:hAnsi="Times New Roman"/>
          <w:szCs w:val="20"/>
        </w:rPr>
        <w:sectPr>
          <w:pgSz w:w="11906" w:h="16838"/>
          <w:pgMar w:top="1440" w:right="1800" w:bottom="1440" w:left="1800" w:header="851" w:footer="992" w:gutter="0"/>
          <w:cols w:num="1" w:space="720"/>
          <w:docGrid w:type="lines" w:linePitch="312" w:charSpace="0"/>
        </w:sectPr>
      </w:pPr>
      <w:r>
        <w:rPr>
          <w:rFonts w:ascii="Times New Roman" w:eastAsia="宋体" w:hAnsi="Times New Roman"/>
          <w:szCs w:val="20"/>
        </w:rPr>
        <w:br w:type="page"/>
      </w:r>
    </w:p>
    <w:p>
      <w:pPr>
        <w:keepNext/>
        <w:keepLines/>
        <w:spacing w:before="260" w:after="260" w:line="416" w:lineRule="atLeast"/>
        <w:outlineLvl w:val="2"/>
        <w:rPr>
          <w:rFonts w:ascii="宋体" w:eastAsia="宋体" w:hAnsi="宋体"/>
          <w:b/>
          <w:bCs/>
        </w:rPr>
      </w:pPr>
      <w:r>
        <w:rPr>
          <w:rFonts w:ascii="宋体" w:eastAsia="宋体" w:hAnsi="宋体"/>
          <w:b/>
          <w:bCs/>
          <w:sz w:val="24"/>
          <w:szCs w:val="24"/>
        </w:rPr>
        <w:t>表1.雷达系统硬件</w:t>
      </w:r>
    </w:p>
    <w:tbl>
      <w:tblPr>
        <w:tblStyle w:val="TableNormal"/>
        <w:tblW w:w="15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37"/>
        <w:gridCol w:w="1536"/>
        <w:gridCol w:w="2048"/>
        <w:gridCol w:w="1656"/>
        <w:gridCol w:w="3216"/>
        <w:gridCol w:w="796"/>
        <w:gridCol w:w="1259"/>
        <w:gridCol w:w="1678"/>
        <w:gridCol w:w="796"/>
        <w:gridCol w:w="1469"/>
      </w:tblGrid>
      <w:tr>
        <w:tblPrEx>
          <w:tblW w:w="15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blHeader/>
          <w:jc w:val="center"/>
        </w:trPr>
        <w:tc>
          <w:tcPr>
            <w:tcW w:w="737"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序号</w:t>
            </w:r>
          </w:p>
        </w:tc>
        <w:tc>
          <w:tcPr>
            <w:tcW w:w="153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设备名称</w:t>
            </w: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型号</w:t>
            </w: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模块名称</w:t>
            </w: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模块描述</w:t>
            </w: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模块数量</w:t>
            </w: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模块单价</w:t>
            </w:r>
          </w:p>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（元）</w:t>
            </w:r>
          </w:p>
        </w:tc>
        <w:tc>
          <w:tcPr>
            <w:tcW w:w="1678"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设备单价（元）</w:t>
            </w: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设备数量</w:t>
            </w:r>
          </w:p>
        </w:tc>
        <w:tc>
          <w:tcPr>
            <w:tcW w:w="1469"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报价（元）</w:t>
            </w:r>
          </w:p>
        </w:tc>
      </w:tr>
      <w:tr>
        <w:tblPrEx>
          <w:tblW w:w="15191" w:type="dxa"/>
          <w:jc w:val="center"/>
          <w:tblCellMar>
            <w:top w:w="0" w:type="dxa"/>
            <w:left w:w="108" w:type="dxa"/>
            <w:bottom w:w="0" w:type="dxa"/>
            <w:right w:w="108" w:type="dxa"/>
          </w:tblCellMar>
        </w:tblPrEx>
        <w:trPr>
          <w:jc w:val="center"/>
        </w:trPr>
        <w:tc>
          <w:tcPr>
            <w:tcW w:w="737"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1</w:t>
            </w:r>
          </w:p>
        </w:tc>
        <w:tc>
          <w:tcPr>
            <w:tcW w:w="153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1678"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737"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2</w:t>
            </w:r>
          </w:p>
        </w:tc>
        <w:tc>
          <w:tcPr>
            <w:tcW w:w="153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1678"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3</w:t>
            </w:r>
          </w:p>
        </w:tc>
        <w:tc>
          <w:tcPr>
            <w:tcW w:w="153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1678"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79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469"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4</w:t>
            </w:r>
          </w:p>
        </w:tc>
        <w:tc>
          <w:tcPr>
            <w:tcW w:w="153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1678"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79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469"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5</w:t>
            </w:r>
          </w:p>
        </w:tc>
        <w:tc>
          <w:tcPr>
            <w:tcW w:w="153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1678"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79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469"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w:t>
            </w:r>
          </w:p>
        </w:tc>
        <w:tc>
          <w:tcPr>
            <w:tcW w:w="153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r>
              <w:rPr>
                <w:rFonts w:ascii="宋体" w:eastAsia="宋体" w:hAnsi="宋体" w:cs="宋体"/>
                <w:kern w:val="0"/>
                <w:sz w:val="20"/>
                <w:szCs w:val="20"/>
              </w:rPr>
              <w:t>.......</w:t>
            </w: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1678"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79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469"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shd w:val="clear" w:color="auto" w:fill="FFFFFF"/>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shd w:val="clear" w:color="auto" w:fill="FFFFFF"/>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2048"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165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91" w:type="dxa"/>
          <w:jc w:val="center"/>
          <w:tblCellMar>
            <w:top w:w="0" w:type="dxa"/>
            <w:left w:w="108" w:type="dxa"/>
            <w:bottom w:w="0" w:type="dxa"/>
            <w:right w:w="108" w:type="dxa"/>
          </w:tblCellMar>
        </w:tblPrEx>
        <w:trPr>
          <w:jc w:val="center"/>
        </w:trPr>
        <w:tc>
          <w:tcPr>
            <w:tcW w:w="737" w:type="dxa"/>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kern w:val="0"/>
                <w:sz w:val="20"/>
                <w:szCs w:val="20"/>
              </w:rPr>
            </w:pPr>
          </w:p>
        </w:tc>
        <w:tc>
          <w:tcPr>
            <w:tcW w:w="12985" w:type="dxa"/>
            <w:gridSpan w:val="8"/>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b/>
                <w:kern w:val="0"/>
                <w:sz w:val="20"/>
                <w:szCs w:val="20"/>
              </w:rPr>
            </w:pPr>
            <w:r>
              <w:rPr>
                <w:rFonts w:ascii="宋体" w:eastAsia="宋体" w:hAnsi="宋体" w:cs="宋体"/>
                <w:b/>
                <w:kern w:val="0"/>
                <w:sz w:val="20"/>
                <w:szCs w:val="20"/>
              </w:rPr>
              <w:t>合计</w:t>
            </w:r>
          </w:p>
        </w:tc>
        <w:tc>
          <w:tcPr>
            <w:tcW w:w="1469" w:type="dxa"/>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b/>
                <w:kern w:val="0"/>
                <w:sz w:val="20"/>
                <w:szCs w:val="20"/>
              </w:rPr>
            </w:pPr>
          </w:p>
        </w:tc>
      </w:tr>
    </w:tbl>
    <w:p>
      <w:pPr>
        <w:rPr>
          <w:rFonts w:ascii="Times New Roman" w:eastAsia="宋体" w:hAnsi="Times New Roman"/>
          <w:szCs w:val="20"/>
        </w:rPr>
      </w:pPr>
    </w:p>
    <w:p>
      <w:pPr>
        <w:widowControl/>
        <w:jc w:val="left"/>
        <w:rPr>
          <w:rFonts w:ascii="Times New Roman" w:eastAsia="宋体" w:hAnsi="Times New Roman"/>
          <w:szCs w:val="20"/>
        </w:rPr>
      </w:pPr>
      <w:r>
        <w:rPr>
          <w:rFonts w:ascii="Times New Roman" w:eastAsia="宋体" w:hAnsi="Times New Roman"/>
          <w:szCs w:val="20"/>
        </w:rPr>
        <w:br w:type="page"/>
      </w:r>
    </w:p>
    <w:p>
      <w:pPr>
        <w:keepNext/>
        <w:keepLines/>
        <w:spacing w:before="260" w:after="260" w:line="416" w:lineRule="atLeast"/>
        <w:outlineLvl w:val="2"/>
        <w:rPr>
          <w:rFonts w:ascii="宋体" w:eastAsia="宋体" w:hAnsi="宋体"/>
          <w:b/>
          <w:bCs/>
        </w:rPr>
      </w:pPr>
      <w:r>
        <w:rPr>
          <w:rFonts w:ascii="宋体" w:eastAsia="宋体" w:hAnsi="宋体"/>
          <w:b/>
          <w:bCs/>
          <w:sz w:val="24"/>
          <w:szCs w:val="24"/>
        </w:rPr>
        <w:t>表2.雷达系统软件</w:t>
      </w:r>
    </w:p>
    <w:tbl>
      <w:tblPr>
        <w:tblStyle w:val="TableNormal"/>
        <w:tblW w:w="15136" w:type="dxa"/>
        <w:jc w:val="center"/>
        <w:tblCellMar>
          <w:top w:w="0" w:type="dxa"/>
          <w:left w:w="108" w:type="dxa"/>
          <w:bottom w:w="0" w:type="dxa"/>
          <w:right w:w="108" w:type="dxa"/>
        </w:tblCellMar>
      </w:tblPr>
      <w:tblGrid>
        <w:gridCol w:w="737"/>
        <w:gridCol w:w="1536"/>
        <w:gridCol w:w="936"/>
        <w:gridCol w:w="3216"/>
        <w:gridCol w:w="3216"/>
        <w:gridCol w:w="796"/>
        <w:gridCol w:w="1236"/>
        <w:gridCol w:w="1328"/>
        <w:gridCol w:w="796"/>
        <w:gridCol w:w="1339"/>
      </w:tblGrid>
      <w:tr>
        <w:tblPrEx>
          <w:tblW w:w="15136" w:type="dxa"/>
          <w:jc w:val="center"/>
          <w:tblCellMar>
            <w:top w:w="0" w:type="dxa"/>
            <w:left w:w="108" w:type="dxa"/>
            <w:bottom w:w="0" w:type="dxa"/>
            <w:right w:w="108" w:type="dxa"/>
          </w:tblCellMar>
        </w:tblPrEx>
        <w:trPr>
          <w:tblHeader/>
          <w:jc w:val="center"/>
        </w:trPr>
        <w:tc>
          <w:tcPr>
            <w:tcW w:w="737" w:type="dxa"/>
            <w:tcBorders>
              <w:top w:val="single" w:sz="8" w:space="0" w:color="auto"/>
              <w:left w:val="single" w:sz="8" w:space="0" w:color="auto"/>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序号</w:t>
            </w:r>
          </w:p>
        </w:tc>
        <w:tc>
          <w:tcPr>
            <w:tcW w:w="1536" w:type="dxa"/>
            <w:tcBorders>
              <w:top w:val="single" w:sz="8" w:space="0" w:color="auto"/>
              <w:left w:val="nil"/>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设备名称</w:t>
            </w:r>
          </w:p>
        </w:tc>
        <w:tc>
          <w:tcPr>
            <w:tcW w:w="936" w:type="dxa"/>
            <w:tcBorders>
              <w:top w:val="single" w:sz="8" w:space="0" w:color="auto"/>
              <w:left w:val="nil"/>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型号</w:t>
            </w:r>
          </w:p>
        </w:tc>
        <w:tc>
          <w:tcPr>
            <w:tcW w:w="3216" w:type="dxa"/>
            <w:tcBorders>
              <w:top w:val="single" w:sz="8" w:space="0" w:color="auto"/>
              <w:left w:val="nil"/>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模块名称</w:t>
            </w:r>
          </w:p>
        </w:tc>
        <w:tc>
          <w:tcPr>
            <w:tcW w:w="3216" w:type="dxa"/>
            <w:tcBorders>
              <w:top w:val="single" w:sz="8" w:space="0" w:color="auto"/>
              <w:left w:val="nil"/>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模块描述</w:t>
            </w:r>
          </w:p>
        </w:tc>
        <w:tc>
          <w:tcPr>
            <w:tcW w:w="796" w:type="dxa"/>
            <w:tcBorders>
              <w:top w:val="single" w:sz="8" w:space="0" w:color="auto"/>
              <w:left w:val="nil"/>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模块数量</w:t>
            </w:r>
          </w:p>
        </w:tc>
        <w:tc>
          <w:tcPr>
            <w:tcW w:w="1236" w:type="dxa"/>
            <w:tcBorders>
              <w:top w:val="single" w:sz="8" w:space="0" w:color="auto"/>
              <w:left w:val="nil"/>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模块单价</w:t>
            </w:r>
          </w:p>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（元）</w:t>
            </w:r>
          </w:p>
        </w:tc>
        <w:tc>
          <w:tcPr>
            <w:tcW w:w="1328" w:type="dxa"/>
            <w:tcBorders>
              <w:top w:val="single" w:sz="8" w:space="0" w:color="auto"/>
              <w:left w:val="nil"/>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设备单价</w:t>
            </w:r>
          </w:p>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（元）</w:t>
            </w:r>
          </w:p>
        </w:tc>
        <w:tc>
          <w:tcPr>
            <w:tcW w:w="796" w:type="dxa"/>
            <w:tcBorders>
              <w:top w:val="single" w:sz="8" w:space="0" w:color="auto"/>
              <w:left w:val="nil"/>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设备数量</w:t>
            </w:r>
          </w:p>
        </w:tc>
        <w:tc>
          <w:tcPr>
            <w:tcW w:w="1339" w:type="dxa"/>
            <w:tcBorders>
              <w:top w:val="single" w:sz="8" w:space="0" w:color="auto"/>
              <w:left w:val="nil"/>
              <w:bottom w:val="single" w:sz="8" w:space="0" w:color="auto"/>
              <w:right w:val="single" w:sz="8" w:space="0" w:color="auto"/>
            </w:tcBorders>
            <w:vAlign w:val="center"/>
          </w:tcPr>
          <w:p>
            <w:pPr>
              <w:widowControl/>
              <w:snapToGrid w:val="0"/>
              <w:jc w:val="center"/>
              <w:rPr>
                <w:rFonts w:ascii="宋体" w:eastAsia="宋体" w:hAnsi="宋体" w:cs="宋体"/>
                <w:b/>
                <w:bCs/>
                <w:kern w:val="0"/>
                <w:sz w:val="20"/>
                <w:szCs w:val="20"/>
              </w:rPr>
            </w:pPr>
            <w:r>
              <w:rPr>
                <w:rFonts w:ascii="宋体" w:eastAsia="宋体" w:hAnsi="宋体" w:cs="宋体"/>
                <w:b/>
                <w:bCs/>
                <w:kern w:val="0"/>
                <w:sz w:val="20"/>
                <w:szCs w:val="20"/>
              </w:rPr>
              <w:t>报价（元）</w:t>
            </w:r>
          </w:p>
        </w:tc>
      </w:tr>
      <w:tr>
        <w:tblPrEx>
          <w:tblW w:w="15136" w:type="dxa"/>
          <w:jc w:val="center"/>
          <w:tblCellMar>
            <w:top w:w="0" w:type="dxa"/>
            <w:left w:w="108" w:type="dxa"/>
            <w:bottom w:w="0" w:type="dxa"/>
            <w:right w:w="108" w:type="dxa"/>
          </w:tblCellMar>
        </w:tblPrEx>
        <w:trPr>
          <w:jc w:val="center"/>
        </w:trPr>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1</w:t>
            </w:r>
          </w:p>
        </w:tc>
        <w:tc>
          <w:tcPr>
            <w:tcW w:w="153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雷达系统软件</w:t>
            </w:r>
          </w:p>
        </w:tc>
        <w:tc>
          <w:tcPr>
            <w:tcW w:w="936" w:type="dxa"/>
            <w:tcBorders>
              <w:top w:val="single" w:sz="4" w:space="0" w:color="auto"/>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single" w:sz="4" w:space="0" w:color="auto"/>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single" w:sz="4" w:space="0" w:color="auto"/>
              <w:left w:val="nil"/>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36" w:type="dxa"/>
            <w:tcBorders>
              <w:top w:val="single" w:sz="4" w:space="0" w:color="auto"/>
              <w:left w:val="nil"/>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1328"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796"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339" w:type="dxa"/>
            <w:vMerge w:val="restart"/>
            <w:tcBorders>
              <w:top w:val="single" w:sz="4" w:space="0" w:color="auto"/>
              <w:left w:val="single" w:sz="4" w:space="0" w:color="auto"/>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r>
      <w:tr>
        <w:tblPrEx>
          <w:tblW w:w="15136"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936" w:type="dxa"/>
            <w:tcBorders>
              <w:top w:val="nil"/>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nil"/>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nil"/>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nil"/>
              <w:left w:val="nil"/>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36" w:type="dxa"/>
            <w:tcBorders>
              <w:top w:val="nil"/>
              <w:left w:val="nil"/>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36"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936" w:type="dxa"/>
            <w:tcBorders>
              <w:top w:val="nil"/>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nil"/>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nil"/>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nil"/>
              <w:left w:val="nil"/>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36" w:type="dxa"/>
            <w:tcBorders>
              <w:top w:val="nil"/>
              <w:left w:val="nil"/>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36"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936" w:type="dxa"/>
            <w:tcBorders>
              <w:top w:val="nil"/>
              <w:left w:val="nil"/>
              <w:bottom w:val="nil"/>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nil"/>
              <w:left w:val="nil"/>
              <w:bottom w:val="nil"/>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nil"/>
              <w:left w:val="nil"/>
              <w:bottom w:val="nil"/>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nil"/>
              <w:left w:val="nil"/>
              <w:bottom w:val="nil"/>
              <w:right w:val="single" w:sz="4" w:space="0" w:color="auto"/>
            </w:tcBorders>
            <w:vAlign w:val="center"/>
          </w:tcPr>
          <w:p>
            <w:pPr>
              <w:widowControl/>
              <w:snapToGrid w:val="0"/>
              <w:jc w:val="center"/>
              <w:rPr>
                <w:rFonts w:ascii="宋体" w:eastAsia="宋体" w:hAnsi="宋体" w:cs="宋体"/>
                <w:kern w:val="0"/>
                <w:sz w:val="20"/>
                <w:szCs w:val="20"/>
              </w:rPr>
            </w:pPr>
          </w:p>
        </w:tc>
        <w:tc>
          <w:tcPr>
            <w:tcW w:w="1236" w:type="dxa"/>
            <w:tcBorders>
              <w:top w:val="nil"/>
              <w:left w:val="nil"/>
              <w:bottom w:val="nil"/>
              <w:right w:val="single" w:sz="4" w:space="0" w:color="auto"/>
            </w:tcBorders>
            <w:vAlign w:val="center"/>
          </w:tcPr>
          <w:p>
            <w:pPr>
              <w:widowControl/>
              <w:snapToGrid w:val="0"/>
              <w:jc w:val="righ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kern w:val="0"/>
                <w:sz w:val="20"/>
                <w:szCs w:val="20"/>
              </w:rPr>
            </w:pPr>
          </w:p>
        </w:tc>
      </w:tr>
      <w:tr>
        <w:tblPrEx>
          <w:tblW w:w="15136" w:type="dxa"/>
          <w:jc w:val="center"/>
          <w:tblCellMar>
            <w:top w:w="0" w:type="dxa"/>
            <w:left w:w="108" w:type="dxa"/>
            <w:bottom w:w="0" w:type="dxa"/>
            <w:right w:w="108" w:type="dxa"/>
          </w:tblCellMar>
        </w:tblPrEx>
        <w:trPr>
          <w:jc w:val="center"/>
        </w:trPr>
        <w:tc>
          <w:tcPr>
            <w:tcW w:w="737" w:type="dxa"/>
            <w:tcBorders>
              <w:top w:val="single" w:sz="4" w:space="0" w:color="auto"/>
              <w:left w:val="single" w:sz="4" w:space="0" w:color="auto"/>
              <w:bottom w:val="single" w:sz="4" w:space="0" w:color="000000"/>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w:t>
            </w:r>
          </w:p>
        </w:tc>
        <w:tc>
          <w:tcPr>
            <w:tcW w:w="1536" w:type="dxa"/>
            <w:tcBorders>
              <w:top w:val="single" w:sz="4" w:space="0" w:color="auto"/>
              <w:left w:val="single" w:sz="4" w:space="0" w:color="auto"/>
              <w:bottom w:val="single" w:sz="4" w:space="0" w:color="000000"/>
              <w:right w:val="single" w:sz="4" w:space="0" w:color="auto"/>
            </w:tcBorders>
            <w:vAlign w:val="center"/>
          </w:tcPr>
          <w:p>
            <w:pPr>
              <w:widowControl/>
              <w:snapToGrid w:val="0"/>
              <w:jc w:val="center"/>
              <w:rPr>
                <w:rFonts w:ascii="宋体" w:eastAsia="宋体" w:hAnsi="宋体" w:cs="宋体"/>
                <w:kern w:val="0"/>
                <w:sz w:val="20"/>
                <w:szCs w:val="20"/>
              </w:rPr>
            </w:pPr>
            <w:r>
              <w:rPr>
                <w:rFonts w:ascii="宋体" w:eastAsia="宋体" w:hAnsi="宋体" w:cs="宋体"/>
                <w:kern w:val="0"/>
                <w:sz w:val="20"/>
                <w:szCs w:val="20"/>
              </w:rPr>
              <w:t>……</w:t>
            </w:r>
          </w:p>
        </w:tc>
        <w:tc>
          <w:tcPr>
            <w:tcW w:w="936" w:type="dxa"/>
            <w:tcBorders>
              <w:top w:val="nil"/>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nil"/>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3216" w:type="dxa"/>
            <w:tcBorders>
              <w:top w:val="nil"/>
              <w:left w:val="nil"/>
              <w:bottom w:val="single" w:sz="4" w:space="0" w:color="auto"/>
              <w:right w:val="single" w:sz="4" w:space="0" w:color="auto"/>
            </w:tcBorders>
            <w:vAlign w:val="center"/>
          </w:tcPr>
          <w:p>
            <w:pPr>
              <w:widowControl/>
              <w:snapToGrid w:val="0"/>
              <w:jc w:val="left"/>
              <w:rPr>
                <w:rFonts w:ascii="宋体" w:eastAsia="宋体" w:hAnsi="宋体" w:cs="宋体"/>
                <w:kern w:val="0"/>
                <w:sz w:val="20"/>
                <w:szCs w:val="20"/>
              </w:rPr>
            </w:pPr>
          </w:p>
        </w:tc>
        <w:tc>
          <w:tcPr>
            <w:tcW w:w="796" w:type="dxa"/>
            <w:tcBorders>
              <w:top w:val="nil"/>
              <w:left w:val="nil"/>
              <w:bottom w:val="single" w:sz="4" w:space="0" w:color="auto"/>
              <w:right w:val="single" w:sz="4" w:space="0" w:color="auto"/>
            </w:tcBorders>
            <w:vAlign w:val="center"/>
          </w:tcPr>
          <w:p>
            <w:pPr>
              <w:widowControl/>
              <w:snapToGrid w:val="0"/>
              <w:jc w:val="center"/>
              <w:rPr>
                <w:rFonts w:ascii="宋体" w:eastAsia="宋体" w:hAnsi="宋体" w:cs="宋体"/>
                <w:kern w:val="0"/>
                <w:sz w:val="20"/>
                <w:szCs w:val="20"/>
              </w:rPr>
            </w:pPr>
          </w:p>
        </w:tc>
        <w:tc>
          <w:tcPr>
            <w:tcW w:w="1236" w:type="dxa"/>
            <w:tcBorders>
              <w:top w:val="nil"/>
              <w:left w:val="nil"/>
              <w:bottom w:val="single" w:sz="4" w:space="0" w:color="auto"/>
              <w:right w:val="single" w:sz="4" w:space="0" w:color="auto"/>
            </w:tcBorders>
            <w:vAlign w:val="center"/>
          </w:tcPr>
          <w:p>
            <w:pPr>
              <w:widowControl/>
              <w:snapToGrid w:val="0"/>
              <w:jc w:val="right"/>
              <w:rPr>
                <w:rFonts w:ascii="宋体" w:eastAsia="宋体" w:hAnsi="宋体" w:cs="宋体"/>
                <w:kern w:val="0"/>
                <w:sz w:val="20"/>
                <w:szCs w:val="20"/>
              </w:rPr>
            </w:pPr>
          </w:p>
        </w:tc>
        <w:tc>
          <w:tcPr>
            <w:tcW w:w="1328" w:type="dxa"/>
            <w:tcBorders>
              <w:top w:val="single" w:sz="4" w:space="0" w:color="auto"/>
              <w:left w:val="single" w:sz="4" w:space="0" w:color="auto"/>
              <w:bottom w:val="single" w:sz="4" w:space="0" w:color="000000"/>
              <w:right w:val="single" w:sz="4" w:space="0" w:color="auto"/>
            </w:tcBorders>
            <w:vAlign w:val="center"/>
          </w:tcPr>
          <w:p>
            <w:pPr>
              <w:widowControl/>
              <w:snapToGrid w:val="0"/>
              <w:jc w:val="right"/>
              <w:rPr>
                <w:rFonts w:ascii="宋体" w:eastAsia="宋体" w:hAnsi="宋体" w:cs="宋体"/>
                <w:kern w:val="0"/>
                <w:sz w:val="20"/>
                <w:szCs w:val="20"/>
              </w:rPr>
            </w:pPr>
          </w:p>
        </w:tc>
        <w:tc>
          <w:tcPr>
            <w:tcW w:w="796" w:type="dxa"/>
            <w:tcBorders>
              <w:top w:val="single" w:sz="4" w:space="0" w:color="auto"/>
              <w:left w:val="single" w:sz="4" w:space="0" w:color="auto"/>
              <w:bottom w:val="single" w:sz="4" w:space="0" w:color="000000"/>
              <w:right w:val="single" w:sz="4" w:space="0" w:color="auto"/>
            </w:tcBorders>
            <w:vAlign w:val="center"/>
          </w:tcPr>
          <w:p>
            <w:pPr>
              <w:widowControl/>
              <w:snapToGrid w:val="0"/>
              <w:jc w:val="center"/>
              <w:rPr>
                <w:rFonts w:ascii="宋体" w:eastAsia="宋体" w:hAnsi="宋体" w:cs="宋体"/>
                <w:kern w:val="0"/>
                <w:sz w:val="20"/>
                <w:szCs w:val="20"/>
              </w:rPr>
            </w:pPr>
          </w:p>
        </w:tc>
        <w:tc>
          <w:tcPr>
            <w:tcW w:w="1339" w:type="dxa"/>
            <w:tcBorders>
              <w:top w:val="single" w:sz="4" w:space="0" w:color="auto"/>
              <w:left w:val="single" w:sz="4" w:space="0" w:color="auto"/>
              <w:bottom w:val="single" w:sz="4" w:space="0" w:color="000000"/>
              <w:right w:val="single" w:sz="4" w:space="0" w:color="auto"/>
            </w:tcBorders>
            <w:vAlign w:val="center"/>
          </w:tcPr>
          <w:p>
            <w:pPr>
              <w:widowControl/>
              <w:snapToGrid w:val="0"/>
              <w:jc w:val="right"/>
              <w:rPr>
                <w:rFonts w:ascii="宋体" w:eastAsia="宋体" w:hAnsi="宋体" w:cs="宋体"/>
                <w:kern w:val="0"/>
                <w:sz w:val="20"/>
                <w:szCs w:val="20"/>
              </w:rPr>
            </w:pPr>
          </w:p>
        </w:tc>
      </w:tr>
    </w:tbl>
    <w:p>
      <w:pPr>
        <w:widowControl/>
        <w:spacing w:line="360" w:lineRule="auto"/>
        <w:jc w:val="left"/>
        <w:rPr>
          <w:rFonts w:ascii="宋体" w:eastAsia="宋体" w:hAnsi="宋体" w:cs="宋体"/>
          <w:b/>
          <w:bCs/>
          <w:kern w:val="0"/>
          <w:sz w:val="20"/>
          <w:szCs w:val="20"/>
        </w:rPr>
      </w:pPr>
    </w:p>
    <w:p>
      <w:pPr>
        <w:widowControl/>
        <w:spacing w:afterAutospacing="1"/>
        <w:jc w:val="left"/>
        <w:rPr>
          <w:rFonts w:ascii="宋体" w:eastAsia="宋体" w:hAnsi="宋体" w:cs="宋体"/>
          <w:b/>
          <w:bCs/>
          <w:kern w:val="0"/>
          <w:sz w:val="20"/>
          <w:szCs w:val="20"/>
        </w:rPr>
        <w:sectPr>
          <w:pgSz w:w="16838" w:h="11906" w:orient="landscape"/>
          <w:pgMar w:top="1800" w:right="1440" w:bottom="1800" w:left="1440" w:header="851" w:footer="992" w:gutter="0"/>
          <w:cols w:num="1" w:space="720"/>
          <w:docGrid w:type="lines" w:linePitch="312" w:charSpace="0"/>
        </w:sectPr>
      </w:pPr>
      <w:r>
        <w:rPr>
          <w:rFonts w:ascii="宋体" w:eastAsia="宋体" w:hAnsi="宋体" w:cs="宋体"/>
          <w:b/>
          <w:bCs/>
          <w:kern w:val="0"/>
          <w:sz w:val="20"/>
          <w:szCs w:val="20"/>
        </w:rPr>
        <w:br w:type="page"/>
      </w:r>
    </w:p>
    <w:p>
      <w:pPr>
        <w:keepNext/>
        <w:keepLines/>
        <w:spacing w:before="260" w:after="260" w:line="416" w:lineRule="atLeast"/>
        <w:outlineLvl w:val="2"/>
        <w:rPr>
          <w:rFonts w:ascii="宋体" w:eastAsia="宋体" w:hAnsi="宋体"/>
          <w:b/>
          <w:bCs/>
        </w:rPr>
      </w:pPr>
      <w:r>
        <w:rPr>
          <w:rFonts w:ascii="宋体" w:eastAsia="宋体" w:hAnsi="宋体"/>
          <w:b/>
          <w:bCs/>
          <w:sz w:val="24"/>
          <w:szCs w:val="24"/>
        </w:rPr>
        <w:t>表3.随机备件和测试仪表</w:t>
      </w:r>
    </w:p>
    <w:p>
      <w:pPr>
        <w:keepNext/>
        <w:keepLines/>
        <w:spacing w:before="80" w:after="40" w:line="360" w:lineRule="auto"/>
        <w:outlineLvl w:val="3"/>
        <w:rPr>
          <w:rFonts w:ascii="宋体" w:eastAsia="宋体" w:hAnsi="宋体" w:cs="宋体"/>
          <w:szCs w:val="21"/>
        </w:rPr>
      </w:pPr>
      <w:bookmarkStart w:id="77" w:name="_Toc207890703"/>
      <w:r>
        <w:rPr>
          <w:rFonts w:ascii="宋体" w:eastAsia="宋体" w:hAnsi="宋体" w:cs="宋体"/>
          <w:szCs w:val="21"/>
        </w:rPr>
        <w:t>3.1随机备件</w:t>
      </w:r>
      <w:bookmarkEnd w:id="77"/>
    </w:p>
    <w:tbl>
      <w:tblPr>
        <w:tblStyle w:val="TableNormal"/>
        <w:tblW w:w="8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16"/>
        <w:gridCol w:w="582"/>
        <w:gridCol w:w="2273"/>
        <w:gridCol w:w="1496"/>
        <w:gridCol w:w="1239"/>
        <w:gridCol w:w="595"/>
        <w:gridCol w:w="1239"/>
      </w:tblGrid>
      <w:tr>
        <w:tblPrEx>
          <w:tblW w:w="8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blHeader/>
          <w:jc w:val="center"/>
        </w:trPr>
        <w:tc>
          <w:tcPr>
            <w:tcW w:w="1416"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名称</w:t>
            </w: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序号</w:t>
            </w:r>
          </w:p>
        </w:tc>
        <w:tc>
          <w:tcPr>
            <w:tcW w:w="2273"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细目</w:t>
            </w:r>
          </w:p>
        </w:tc>
        <w:tc>
          <w:tcPr>
            <w:tcW w:w="1496"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型号</w:t>
            </w: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单价（元）</w:t>
            </w:r>
          </w:p>
        </w:tc>
        <w:tc>
          <w:tcPr>
            <w:tcW w:w="595"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数量</w:t>
            </w: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小计（元）</w:t>
            </w:r>
          </w:p>
        </w:tc>
      </w:tr>
      <w:tr>
        <w:tblPrEx>
          <w:tblW w:w="8840" w:type="dxa"/>
          <w:jc w:val="center"/>
          <w:tblCellMar>
            <w:top w:w="0" w:type="dxa"/>
            <w:left w:w="108" w:type="dxa"/>
            <w:bottom w:w="0" w:type="dxa"/>
            <w:right w:w="108" w:type="dxa"/>
          </w:tblCellMar>
        </w:tblPrEx>
        <w:trPr>
          <w:jc w:val="center"/>
        </w:trPr>
        <w:tc>
          <w:tcPr>
            <w:tcW w:w="1416" w:type="dxa"/>
            <w:vMerge w:val="restart"/>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noWrap/>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noWrap/>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1416" w:type="dxa"/>
            <w:vMerge w:val="restart"/>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noWrap/>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noWrap/>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1416" w:type="dxa"/>
            <w:vMerge w:val="restart"/>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582"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273"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496" w:type="dxa"/>
            <w:tcBorders>
              <w:top w:val="single" w:sz="4" w:space="0" w:color="auto"/>
              <w:left w:val="single" w:sz="4" w:space="0" w:color="auto"/>
              <w:bottom w:val="single" w:sz="4" w:space="0" w:color="auto"/>
              <w:right w:val="single" w:sz="4" w:space="0" w:color="auto"/>
            </w:tcBorders>
            <w:vAlign w:val="center"/>
          </w:tcPr>
          <w:p>
            <w:pPr>
              <w:snapToGrid w:val="0"/>
              <w:jc w:val="left"/>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c>
          <w:tcPr>
            <w:tcW w:w="595" w:type="dxa"/>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sz w:val="18"/>
              </w:rPr>
            </w:pPr>
          </w:p>
        </w:tc>
      </w:tr>
      <w:tr>
        <w:tblPrEx>
          <w:tblW w:w="8840" w:type="dxa"/>
          <w:jc w:val="center"/>
          <w:tblCellMar>
            <w:top w:w="0" w:type="dxa"/>
            <w:left w:w="108" w:type="dxa"/>
            <w:bottom w:w="0" w:type="dxa"/>
            <w:right w:w="108" w:type="dxa"/>
          </w:tblCellMar>
        </w:tblPrEx>
        <w:trPr>
          <w:jc w:val="center"/>
        </w:trPr>
        <w:tc>
          <w:tcPr>
            <w:tcW w:w="1239" w:type="dxa"/>
            <w:gridSpan w:val="6"/>
            <w:tcBorders>
              <w:top w:val="single" w:sz="4" w:space="0" w:color="auto"/>
              <w:left w:val="single" w:sz="4"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合计（元）</w:t>
            </w:r>
          </w:p>
        </w:tc>
        <w:tc>
          <w:tcPr>
            <w:tcW w:w="1239" w:type="dxa"/>
            <w:tcBorders>
              <w:top w:val="single" w:sz="4" w:space="0" w:color="auto"/>
              <w:left w:val="single" w:sz="4" w:space="0" w:color="auto"/>
              <w:bottom w:val="single" w:sz="4" w:space="0" w:color="auto"/>
              <w:right w:val="single" w:sz="4" w:space="0" w:color="auto"/>
            </w:tcBorders>
            <w:vAlign w:val="center"/>
          </w:tcPr>
          <w:p>
            <w:pPr>
              <w:snapToGrid w:val="0"/>
              <w:jc w:val="right"/>
              <w:rPr>
                <w:rFonts w:ascii="宋体" w:eastAsia="宋体" w:hAnsi="宋体" w:cs="宋体"/>
                <w:b/>
                <w:sz w:val="18"/>
              </w:rPr>
            </w:pPr>
          </w:p>
        </w:tc>
      </w:tr>
    </w:tbl>
    <w:p>
      <w:pPr>
        <w:keepNext/>
        <w:keepLines/>
        <w:spacing w:before="80" w:after="40" w:line="360" w:lineRule="auto"/>
        <w:outlineLvl w:val="3"/>
        <w:rPr>
          <w:rFonts w:ascii="宋体" w:eastAsia="宋体" w:hAnsi="宋体" w:cs="宋体"/>
          <w:szCs w:val="21"/>
        </w:rPr>
      </w:pPr>
      <w:r>
        <w:rPr>
          <w:rFonts w:ascii="宋体" w:eastAsia="宋体" w:hAnsi="宋体" w:cs="宋体"/>
          <w:szCs w:val="21"/>
        </w:rPr>
        <w:t>3.2</w:t>
      </w:r>
      <w:bookmarkStart w:id="78" w:name="_Toc207890704"/>
      <w:r>
        <w:rPr>
          <w:rFonts w:ascii="宋体" w:eastAsia="宋体" w:hAnsi="宋体" w:cs="宋体"/>
          <w:szCs w:val="21"/>
        </w:rPr>
        <w:t>测试仪表</w:t>
      </w:r>
      <w:bookmarkEnd w:id="78"/>
    </w:p>
    <w:tbl>
      <w:tblPr>
        <w:tblStyle w:val="TableNormal"/>
        <w:tblW w:w="8519" w:type="dxa"/>
        <w:jc w:val="center"/>
        <w:tblCellMar>
          <w:top w:w="0" w:type="dxa"/>
          <w:left w:w="108" w:type="dxa"/>
          <w:bottom w:w="0" w:type="dxa"/>
          <w:right w:w="108" w:type="dxa"/>
        </w:tblCellMar>
      </w:tblPr>
      <w:tblGrid>
        <w:gridCol w:w="1105"/>
        <w:gridCol w:w="1283"/>
        <w:gridCol w:w="1026"/>
        <w:gridCol w:w="3813"/>
        <w:gridCol w:w="1292"/>
      </w:tblGrid>
      <w:tr>
        <w:tblPrEx>
          <w:tblW w:w="8519" w:type="dxa"/>
          <w:jc w:val="center"/>
          <w:tblCellMar>
            <w:top w:w="0" w:type="dxa"/>
            <w:left w:w="108" w:type="dxa"/>
            <w:bottom w:w="0" w:type="dxa"/>
            <w:right w:w="108" w:type="dxa"/>
          </w:tblCellMar>
        </w:tblPrEx>
        <w:trPr>
          <w:tblHeader/>
          <w:jc w:val="center"/>
        </w:trPr>
        <w:tc>
          <w:tcPr>
            <w:tcW w:w="1105" w:type="dxa"/>
            <w:tcBorders>
              <w:top w:val="single" w:sz="4" w:space="0" w:color="auto"/>
              <w:left w:val="single" w:sz="8" w:space="0" w:color="auto"/>
              <w:bottom w:val="single" w:sz="4" w:space="0" w:color="auto"/>
              <w:right w:val="single" w:sz="4" w:space="0" w:color="auto"/>
            </w:tcBorders>
            <w:noWrap/>
            <w:vAlign w:val="center"/>
          </w:tcPr>
          <w:p>
            <w:pPr>
              <w:snapToGrid w:val="0"/>
              <w:jc w:val="center"/>
              <w:rPr>
                <w:rFonts w:ascii="宋体" w:eastAsia="宋体" w:hAnsi="宋体" w:cs="宋体"/>
                <w:b/>
                <w:sz w:val="18"/>
              </w:rPr>
            </w:pPr>
            <w:r>
              <w:rPr>
                <w:rFonts w:ascii="宋体" w:eastAsia="宋体" w:hAnsi="宋体" w:cs="宋体"/>
                <w:b/>
                <w:sz w:val="18"/>
                <w:szCs w:val="24"/>
              </w:rPr>
              <w:t>项目</w:t>
            </w:r>
          </w:p>
        </w:tc>
        <w:tc>
          <w:tcPr>
            <w:tcW w:w="1283" w:type="dxa"/>
            <w:tcBorders>
              <w:top w:val="single" w:sz="4" w:space="0" w:color="auto"/>
              <w:left w:val="nil"/>
              <w:bottom w:val="single" w:sz="4" w:space="0" w:color="auto"/>
              <w:right w:val="single" w:sz="4" w:space="0" w:color="auto"/>
            </w:tcBorders>
            <w:noWrap/>
            <w:vAlign w:val="center"/>
          </w:tcPr>
          <w:p>
            <w:pPr>
              <w:snapToGrid w:val="0"/>
              <w:jc w:val="center"/>
              <w:rPr>
                <w:rFonts w:ascii="宋体" w:eastAsia="宋体" w:hAnsi="宋体" w:cs="宋体"/>
                <w:b/>
                <w:sz w:val="18"/>
              </w:rPr>
            </w:pPr>
            <w:r>
              <w:rPr>
                <w:rFonts w:ascii="宋体" w:eastAsia="宋体" w:hAnsi="宋体" w:cs="宋体"/>
                <w:b/>
                <w:sz w:val="18"/>
                <w:szCs w:val="24"/>
              </w:rPr>
              <w:t>名称</w:t>
            </w:r>
          </w:p>
        </w:tc>
        <w:tc>
          <w:tcPr>
            <w:tcW w:w="1026" w:type="dxa"/>
            <w:tcBorders>
              <w:top w:val="single" w:sz="4" w:space="0" w:color="auto"/>
              <w:left w:val="nil"/>
              <w:bottom w:val="single" w:sz="4" w:space="0" w:color="auto"/>
              <w:right w:val="single" w:sz="4" w:space="0" w:color="auto"/>
            </w:tcBorders>
            <w:noWrap/>
            <w:vAlign w:val="center"/>
          </w:tcPr>
          <w:p>
            <w:pPr>
              <w:snapToGrid w:val="0"/>
              <w:jc w:val="center"/>
              <w:rPr>
                <w:rFonts w:ascii="宋体" w:eastAsia="宋体" w:hAnsi="宋体" w:cs="宋体"/>
                <w:b/>
                <w:sz w:val="18"/>
              </w:rPr>
            </w:pPr>
            <w:r>
              <w:rPr>
                <w:rFonts w:ascii="宋体" w:eastAsia="宋体" w:hAnsi="宋体" w:cs="宋体"/>
                <w:b/>
                <w:sz w:val="18"/>
                <w:szCs w:val="24"/>
              </w:rPr>
              <w:t>参考型号</w:t>
            </w:r>
          </w:p>
        </w:tc>
        <w:tc>
          <w:tcPr>
            <w:tcW w:w="3813" w:type="dxa"/>
            <w:tcBorders>
              <w:top w:val="single" w:sz="4" w:space="0" w:color="auto"/>
              <w:left w:val="nil"/>
              <w:bottom w:val="single" w:sz="4" w:space="0" w:color="auto"/>
              <w:right w:val="single" w:sz="4" w:space="0" w:color="auto"/>
            </w:tcBorders>
            <w:noWrap/>
            <w:vAlign w:val="center"/>
          </w:tcPr>
          <w:p>
            <w:pPr>
              <w:snapToGrid w:val="0"/>
              <w:jc w:val="center"/>
              <w:rPr>
                <w:rFonts w:ascii="宋体" w:eastAsia="宋体" w:hAnsi="宋体" w:cs="宋体"/>
                <w:b/>
                <w:sz w:val="18"/>
              </w:rPr>
            </w:pPr>
            <w:r>
              <w:rPr>
                <w:rFonts w:ascii="宋体" w:eastAsia="宋体" w:hAnsi="宋体" w:cs="宋体"/>
                <w:b/>
                <w:sz w:val="18"/>
                <w:szCs w:val="24"/>
              </w:rPr>
              <w:t>功能要求</w:t>
            </w:r>
          </w:p>
        </w:tc>
        <w:tc>
          <w:tcPr>
            <w:tcW w:w="1292" w:type="dxa"/>
            <w:tcBorders>
              <w:top w:val="single" w:sz="4" w:space="0" w:color="auto"/>
              <w:left w:val="nil"/>
              <w:bottom w:val="single" w:sz="4" w:space="0" w:color="auto"/>
              <w:right w:val="single" w:sz="8" w:space="0" w:color="auto"/>
            </w:tcBorders>
            <w:noWrap/>
            <w:vAlign w:val="center"/>
          </w:tcPr>
          <w:p>
            <w:pPr>
              <w:snapToGrid w:val="0"/>
              <w:jc w:val="center"/>
              <w:rPr>
                <w:rFonts w:ascii="宋体" w:eastAsia="宋体" w:hAnsi="宋体" w:cs="宋体"/>
                <w:b/>
                <w:sz w:val="18"/>
              </w:rPr>
            </w:pPr>
            <w:r>
              <w:rPr>
                <w:rFonts w:ascii="宋体" w:eastAsia="宋体" w:hAnsi="宋体" w:cs="宋体"/>
                <w:b/>
                <w:sz w:val="18"/>
                <w:szCs w:val="24"/>
              </w:rPr>
              <w:t>价格（元）</w:t>
            </w:r>
          </w:p>
        </w:tc>
      </w:tr>
      <w:tr>
        <w:tblPrEx>
          <w:tblW w:w="8519" w:type="dxa"/>
          <w:jc w:val="center"/>
          <w:tblCellMar>
            <w:top w:w="0" w:type="dxa"/>
            <w:left w:w="108" w:type="dxa"/>
            <w:bottom w:w="0" w:type="dxa"/>
            <w:right w:w="108" w:type="dxa"/>
          </w:tblCellMar>
        </w:tblPrEx>
        <w:trPr>
          <w:jc w:val="center"/>
        </w:trPr>
        <w:tc>
          <w:tcPr>
            <w:tcW w:w="1105" w:type="dxa"/>
            <w:vMerge w:val="restart"/>
            <w:tcBorders>
              <w:top w:val="nil"/>
              <w:left w:val="single" w:sz="8" w:space="0" w:color="auto"/>
              <w:bottom w:val="single" w:sz="4" w:space="0" w:color="auto"/>
              <w:right w:val="single" w:sz="4" w:space="0" w:color="auto"/>
            </w:tcBorders>
            <w:noWrap/>
            <w:vAlign w:val="center"/>
          </w:tcPr>
          <w:p>
            <w:pPr>
              <w:snapToGrid w:val="0"/>
              <w:jc w:val="center"/>
              <w:rPr>
                <w:rFonts w:ascii="宋体" w:eastAsia="宋体" w:hAnsi="宋体" w:cs="宋体"/>
                <w:sz w:val="18"/>
              </w:rPr>
            </w:pPr>
          </w:p>
        </w:tc>
        <w:tc>
          <w:tcPr>
            <w:tcW w:w="128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02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381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292"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0" w:type="auto"/>
            <w:vMerge/>
            <w:tcBorders>
              <w:top w:val="nil"/>
              <w:left w:val="single" w:sz="8"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128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02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381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292"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0" w:type="auto"/>
            <w:vMerge/>
            <w:tcBorders>
              <w:top w:val="nil"/>
              <w:left w:val="single" w:sz="8"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128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02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381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292"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0" w:type="auto"/>
            <w:vMerge/>
            <w:tcBorders>
              <w:top w:val="nil"/>
              <w:left w:val="single" w:sz="8"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128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02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381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292"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0" w:type="auto"/>
            <w:vMerge/>
            <w:tcBorders>
              <w:top w:val="nil"/>
              <w:left w:val="single" w:sz="8"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128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02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381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292"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0" w:type="auto"/>
            <w:vMerge/>
            <w:tcBorders>
              <w:top w:val="nil"/>
              <w:left w:val="single" w:sz="8" w:space="0" w:color="auto"/>
              <w:bottom w:val="single" w:sz="4" w:space="0" w:color="auto"/>
              <w:right w:val="single" w:sz="4" w:space="0" w:color="auto"/>
            </w:tcBorders>
            <w:vAlign w:val="center"/>
          </w:tcPr>
          <w:p>
            <w:pPr>
              <w:widowControl/>
              <w:jc w:val="left"/>
              <w:rPr>
                <w:rFonts w:ascii="宋体" w:eastAsia="宋体" w:hAnsi="宋体" w:cs="宋体"/>
                <w:sz w:val="18"/>
              </w:rPr>
            </w:pPr>
          </w:p>
        </w:tc>
        <w:tc>
          <w:tcPr>
            <w:tcW w:w="128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02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3813"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292"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519" w:type="dxa"/>
          <w:jc w:val="center"/>
          <w:tblCellMar>
            <w:top w:w="0" w:type="dxa"/>
            <w:left w:w="108" w:type="dxa"/>
            <w:bottom w:w="0" w:type="dxa"/>
            <w:right w:w="108" w:type="dxa"/>
          </w:tblCellMar>
        </w:tblPrEx>
        <w:trPr>
          <w:jc w:val="center"/>
        </w:trPr>
        <w:tc>
          <w:tcPr>
            <w:tcW w:w="3813" w:type="dxa"/>
            <w:gridSpan w:val="4"/>
            <w:tcBorders>
              <w:top w:val="single" w:sz="4" w:space="0" w:color="auto"/>
              <w:left w:val="single" w:sz="8" w:space="0" w:color="auto"/>
              <w:bottom w:val="single" w:sz="8" w:space="0" w:color="auto"/>
              <w:right w:val="single" w:sz="4" w:space="0" w:color="000000"/>
            </w:tcBorders>
            <w:noWrap/>
            <w:vAlign w:val="center"/>
          </w:tcPr>
          <w:p>
            <w:pPr>
              <w:snapToGrid w:val="0"/>
              <w:jc w:val="center"/>
              <w:rPr>
                <w:rFonts w:ascii="宋体" w:eastAsia="宋体" w:hAnsi="宋体" w:cs="宋体"/>
                <w:b/>
                <w:sz w:val="18"/>
              </w:rPr>
            </w:pPr>
            <w:r>
              <w:rPr>
                <w:rFonts w:ascii="宋体" w:eastAsia="宋体" w:hAnsi="宋体" w:cs="宋体"/>
                <w:b/>
                <w:sz w:val="18"/>
                <w:szCs w:val="24"/>
              </w:rPr>
              <w:t>合计（元）</w:t>
            </w:r>
          </w:p>
        </w:tc>
        <w:tc>
          <w:tcPr>
            <w:tcW w:w="1292" w:type="dxa"/>
            <w:tcBorders>
              <w:top w:val="nil"/>
              <w:left w:val="nil"/>
              <w:bottom w:val="single" w:sz="8" w:space="0" w:color="auto"/>
              <w:right w:val="single" w:sz="8" w:space="0" w:color="auto"/>
            </w:tcBorders>
            <w:noWrap/>
            <w:vAlign w:val="center"/>
          </w:tcPr>
          <w:p>
            <w:pPr>
              <w:snapToGrid w:val="0"/>
              <w:jc w:val="right"/>
              <w:rPr>
                <w:rFonts w:ascii="宋体" w:eastAsia="宋体" w:hAnsi="宋体" w:cs="宋体"/>
                <w:b/>
                <w:sz w:val="18"/>
              </w:rPr>
            </w:pPr>
          </w:p>
        </w:tc>
      </w:tr>
    </w:tbl>
    <w:p>
      <w:pPr>
        <w:keepNext/>
        <w:keepLines/>
        <w:spacing w:before="80" w:after="40" w:line="360" w:lineRule="auto"/>
        <w:outlineLvl w:val="3"/>
        <w:rPr>
          <w:rFonts w:ascii="宋体" w:eastAsia="宋体" w:hAnsi="宋体" w:cs="宋体"/>
          <w:szCs w:val="21"/>
        </w:rPr>
      </w:pPr>
      <w:r>
        <w:rPr>
          <w:rFonts w:ascii="宋体" w:eastAsia="宋体" w:hAnsi="宋体" w:cs="宋体"/>
          <w:szCs w:val="21"/>
        </w:rPr>
        <w:t>3.3</w:t>
      </w:r>
      <w:bookmarkStart w:id="79" w:name="_Toc207890705"/>
      <w:r>
        <w:rPr>
          <w:rFonts w:ascii="宋体" w:eastAsia="宋体" w:hAnsi="宋体" w:cs="宋体"/>
          <w:szCs w:val="21"/>
        </w:rPr>
        <w:t>随机工具</w:t>
      </w:r>
      <w:bookmarkEnd w:id="79"/>
    </w:p>
    <w:tbl>
      <w:tblPr>
        <w:tblStyle w:val="TableNormal"/>
        <w:tblW w:w="8956" w:type="dxa"/>
        <w:jc w:val="center"/>
        <w:tblCellMar>
          <w:top w:w="0" w:type="dxa"/>
          <w:left w:w="108" w:type="dxa"/>
          <w:bottom w:w="0" w:type="dxa"/>
          <w:right w:w="108" w:type="dxa"/>
        </w:tblCellMar>
      </w:tblPr>
      <w:tblGrid>
        <w:gridCol w:w="697"/>
        <w:gridCol w:w="2556"/>
        <w:gridCol w:w="1876"/>
        <w:gridCol w:w="1891"/>
        <w:gridCol w:w="697"/>
        <w:gridCol w:w="1239"/>
      </w:tblGrid>
      <w:tr>
        <w:tblPrEx>
          <w:tblW w:w="8956" w:type="dxa"/>
          <w:jc w:val="center"/>
          <w:tblCellMar>
            <w:top w:w="0" w:type="dxa"/>
            <w:left w:w="108" w:type="dxa"/>
            <w:bottom w:w="0" w:type="dxa"/>
            <w:right w:w="108" w:type="dxa"/>
          </w:tblCellMar>
        </w:tblPrEx>
        <w:trPr>
          <w:tblHeader/>
          <w:jc w:val="center"/>
        </w:trPr>
        <w:tc>
          <w:tcPr>
            <w:tcW w:w="697" w:type="dxa"/>
            <w:tcBorders>
              <w:top w:val="single" w:sz="4" w:space="0" w:color="auto"/>
              <w:left w:val="single" w:sz="8"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序号</w:t>
            </w:r>
          </w:p>
        </w:tc>
        <w:tc>
          <w:tcPr>
            <w:tcW w:w="2556" w:type="dxa"/>
            <w:tcBorders>
              <w:top w:val="single" w:sz="4" w:space="0" w:color="auto"/>
              <w:left w:val="nil"/>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名称</w:t>
            </w:r>
          </w:p>
        </w:tc>
        <w:tc>
          <w:tcPr>
            <w:tcW w:w="1876" w:type="dxa"/>
            <w:tcBorders>
              <w:top w:val="single" w:sz="4" w:space="0" w:color="auto"/>
              <w:left w:val="nil"/>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规格</w:t>
            </w:r>
          </w:p>
        </w:tc>
        <w:tc>
          <w:tcPr>
            <w:tcW w:w="1891" w:type="dxa"/>
            <w:tcBorders>
              <w:top w:val="single" w:sz="4" w:space="0" w:color="auto"/>
              <w:left w:val="nil"/>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型号</w:t>
            </w:r>
          </w:p>
        </w:tc>
        <w:tc>
          <w:tcPr>
            <w:tcW w:w="697" w:type="dxa"/>
            <w:tcBorders>
              <w:top w:val="single" w:sz="4" w:space="0" w:color="auto"/>
              <w:left w:val="nil"/>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数量</w:t>
            </w:r>
          </w:p>
        </w:tc>
        <w:tc>
          <w:tcPr>
            <w:tcW w:w="1239" w:type="dxa"/>
            <w:tcBorders>
              <w:top w:val="single" w:sz="4" w:space="0" w:color="auto"/>
              <w:left w:val="nil"/>
              <w:bottom w:val="single" w:sz="4" w:space="0" w:color="auto"/>
              <w:right w:val="single" w:sz="8"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价格（元）</w:t>
            </w: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noWrap/>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tcBorders>
              <w:top w:val="nil"/>
              <w:left w:val="single" w:sz="8" w:space="0" w:color="auto"/>
              <w:bottom w:val="single" w:sz="4" w:space="0" w:color="auto"/>
              <w:right w:val="single" w:sz="4" w:space="0" w:color="auto"/>
            </w:tcBorders>
            <w:vAlign w:val="center"/>
          </w:tcPr>
          <w:p>
            <w:pPr>
              <w:snapToGrid w:val="0"/>
              <w:jc w:val="center"/>
              <w:rPr>
                <w:rFonts w:ascii="宋体" w:eastAsia="宋体" w:hAnsi="宋体" w:cs="宋体"/>
                <w:sz w:val="18"/>
              </w:rPr>
            </w:pPr>
          </w:p>
        </w:tc>
        <w:tc>
          <w:tcPr>
            <w:tcW w:w="255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76"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1891" w:type="dxa"/>
            <w:tcBorders>
              <w:top w:val="nil"/>
              <w:left w:val="nil"/>
              <w:bottom w:val="single" w:sz="4" w:space="0" w:color="auto"/>
              <w:right w:val="single" w:sz="4" w:space="0" w:color="auto"/>
            </w:tcBorders>
            <w:vAlign w:val="center"/>
          </w:tcPr>
          <w:p>
            <w:pPr>
              <w:snapToGrid w:val="0"/>
              <w:jc w:val="left"/>
              <w:rPr>
                <w:rFonts w:ascii="宋体" w:eastAsia="宋体" w:hAnsi="宋体" w:cs="宋体"/>
                <w:sz w:val="18"/>
              </w:rPr>
            </w:pPr>
          </w:p>
        </w:tc>
        <w:tc>
          <w:tcPr>
            <w:tcW w:w="697" w:type="dxa"/>
            <w:tcBorders>
              <w:top w:val="nil"/>
              <w:left w:val="nil"/>
              <w:bottom w:val="single" w:sz="4" w:space="0" w:color="auto"/>
              <w:right w:val="single" w:sz="4" w:space="0" w:color="auto"/>
            </w:tcBorders>
            <w:vAlign w:val="center"/>
          </w:tcPr>
          <w:p>
            <w:pPr>
              <w:snapToGrid w:val="0"/>
              <w:jc w:val="center"/>
              <w:rPr>
                <w:rFonts w:ascii="宋体" w:eastAsia="宋体" w:hAnsi="宋体" w:cs="宋体"/>
                <w:sz w:val="18"/>
              </w:rPr>
            </w:pP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sz w:val="18"/>
              </w:rPr>
            </w:pPr>
          </w:p>
        </w:tc>
      </w:tr>
      <w:tr>
        <w:tblPrEx>
          <w:tblW w:w="8956" w:type="dxa"/>
          <w:jc w:val="center"/>
          <w:tblCellMar>
            <w:top w:w="0" w:type="dxa"/>
            <w:left w:w="108" w:type="dxa"/>
            <w:bottom w:w="0" w:type="dxa"/>
            <w:right w:w="108" w:type="dxa"/>
          </w:tblCellMar>
        </w:tblPrEx>
        <w:trPr>
          <w:jc w:val="center"/>
        </w:trPr>
        <w:tc>
          <w:tcPr>
            <w:tcW w:w="697" w:type="dxa"/>
            <w:gridSpan w:val="5"/>
            <w:tcBorders>
              <w:top w:val="single" w:sz="4" w:space="0" w:color="auto"/>
              <w:left w:val="single" w:sz="8" w:space="0" w:color="auto"/>
              <w:bottom w:val="single" w:sz="4" w:space="0" w:color="auto"/>
              <w:right w:val="single" w:sz="4" w:space="0" w:color="auto"/>
            </w:tcBorders>
            <w:vAlign w:val="center"/>
          </w:tcPr>
          <w:p>
            <w:pPr>
              <w:snapToGrid w:val="0"/>
              <w:jc w:val="center"/>
              <w:rPr>
                <w:rFonts w:ascii="宋体" w:eastAsia="宋体" w:hAnsi="宋体" w:cs="宋体"/>
                <w:b/>
                <w:sz w:val="18"/>
              </w:rPr>
            </w:pPr>
            <w:r>
              <w:rPr>
                <w:rFonts w:ascii="宋体" w:eastAsia="宋体" w:hAnsi="宋体" w:cs="宋体"/>
                <w:b/>
                <w:sz w:val="18"/>
                <w:szCs w:val="24"/>
              </w:rPr>
              <w:t>合计（元）</w:t>
            </w:r>
          </w:p>
        </w:tc>
        <w:tc>
          <w:tcPr>
            <w:tcW w:w="1239" w:type="dxa"/>
            <w:tcBorders>
              <w:top w:val="nil"/>
              <w:left w:val="nil"/>
              <w:bottom w:val="single" w:sz="4" w:space="0" w:color="auto"/>
              <w:right w:val="single" w:sz="8" w:space="0" w:color="auto"/>
            </w:tcBorders>
            <w:vAlign w:val="center"/>
          </w:tcPr>
          <w:p>
            <w:pPr>
              <w:snapToGrid w:val="0"/>
              <w:jc w:val="right"/>
              <w:rPr>
                <w:rFonts w:ascii="宋体" w:eastAsia="宋体" w:hAnsi="宋体" w:cs="宋体"/>
                <w:b/>
                <w:sz w:val="18"/>
              </w:rPr>
            </w:pPr>
          </w:p>
        </w:tc>
      </w:tr>
    </w:tbl>
    <w:p>
      <w:pPr>
        <w:widowControl/>
        <w:jc w:val="left"/>
        <w:rPr>
          <w:rFonts w:ascii="宋体" w:eastAsia="宋体" w:hAnsi="宋体" w:cs="宋体"/>
          <w:b/>
          <w:bCs/>
          <w:kern w:val="0"/>
          <w:sz w:val="20"/>
          <w:szCs w:val="20"/>
        </w:rPr>
      </w:pPr>
      <w:r>
        <w:rPr>
          <w:rFonts w:ascii="宋体" w:eastAsia="宋体" w:hAnsi="宋体" w:cs="宋体"/>
          <w:b/>
          <w:bCs/>
          <w:kern w:val="0"/>
          <w:sz w:val="20"/>
          <w:szCs w:val="20"/>
        </w:rPr>
        <w:br w:type="page"/>
      </w:r>
    </w:p>
    <w:p>
      <w:pPr>
        <w:widowControl/>
        <w:spacing w:line="360" w:lineRule="auto"/>
        <w:jc w:val="left"/>
        <w:rPr>
          <w:rFonts w:ascii="宋体" w:eastAsia="宋体" w:hAnsi="宋体" w:cs="宋体"/>
          <w:b/>
          <w:bCs/>
          <w:kern w:val="0"/>
          <w:sz w:val="20"/>
          <w:szCs w:val="20"/>
        </w:rPr>
      </w:pPr>
    </w:p>
    <w:p>
      <w:pPr>
        <w:rPr>
          <w:rFonts w:ascii="Times New Roman" w:eastAsia="宋体" w:hAnsi="Times New Roman"/>
          <w:szCs w:val="20"/>
        </w:rPr>
      </w:pPr>
    </w:p>
    <w:bookmarkEnd w:id="76"/>
    <w:p>
      <w:pPr>
        <w:spacing w:line="360" w:lineRule="auto"/>
        <w:ind w:firstLine="3066" w:firstLineChars="1460"/>
        <w:jc w:val="left"/>
        <w:rPr>
          <w:rFonts w:ascii="Times New Roman" w:eastAsia="宋体" w:hAnsi="Times New Roman"/>
          <w:b/>
          <w:bCs/>
          <w:szCs w:val="21"/>
        </w:rPr>
      </w:pPr>
    </w:p>
    <w:p>
      <w:pPr>
        <w:rPr>
          <w:rFonts w:ascii="Times New Roman" w:eastAsia="宋体" w:hAnsi="Times New Roman"/>
          <w:szCs w:val="20"/>
        </w:rPr>
      </w:pPr>
    </w:p>
    <w:p>
      <w:pPr>
        <w:pStyle w:val="BodyTextIndent"/>
        <w:adjustRightInd w:val="0"/>
        <w:snapToGrid w:val="0"/>
        <w:spacing w:after="0" w:line="400" w:lineRule="exact"/>
        <w:ind w:leftChars="0"/>
        <w:rPr>
          <w:rFonts w:ascii="宋体" w:hAnsi="宋体" w:hint="eastAsia"/>
          <w:szCs w:val="21"/>
        </w:rPr>
      </w:pPr>
    </w:p>
    <w:p w:rsidR="00A77B3E"/>
    <w:p>
      <w:pPr>
        <w:pStyle w:val="BodyText"/>
        <w:spacing w:after="0"/>
        <w:jc w:val="center"/>
        <w:rPr>
          <w:rFonts w:ascii="宋体" w:eastAsia="宋体" w:hAnsi="宋体" w:cs="宋体" w:hint="eastAsia"/>
          <w:b/>
          <w:bCs/>
          <w:color w:val="auto"/>
          <w:spacing w:val="-20"/>
          <w:kern w:val="44"/>
          <w:sz w:val="48"/>
          <w:szCs w:val="48"/>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方正仿宋">
    <w:altName w:val="仿宋"/>
    <w:panose1 w:val="00000000000000000000"/>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01B1B37"/>
    <w:multiLevelType w:val="singleLevel"/>
    <w:tmpl w:val="C01B1B37"/>
    <w:lvl w:ilvl="0">
      <w:start w:val="1"/>
      <w:numFmt w:val="decimal"/>
      <w:lvlText w:val="%1."/>
      <w:lvlJc w:val="left"/>
      <w:pPr>
        <w:tabs>
          <w:tab w:val="left" w:pos="312"/>
        </w:tabs>
      </w:pPr>
    </w:lvl>
  </w:abstractNum>
  <w:abstractNum w:abstractNumId="1">
    <w:nsid w:val="CFE7C3F8"/>
    <w:multiLevelType w:val="singleLevel"/>
    <w:tmpl w:val="CFE7C3F8"/>
    <w:lvl w:ilvl="0">
      <w:start w:val="1"/>
      <w:numFmt w:val="decimal"/>
      <w:suff w:val="nothing"/>
      <w:lvlText w:val="（%1）"/>
      <w:lvlJc w:val="left"/>
    </w:lvl>
  </w:abstractNum>
  <w:abstractNum w:abstractNumId="2">
    <w:nsid w:val="D719DBDD"/>
    <w:multiLevelType w:val="singleLevel"/>
    <w:tmpl w:val="D719DBDD"/>
    <w:lvl w:ilvl="0">
      <w:start w:val="1"/>
      <w:numFmt w:val="decimal"/>
      <w:suff w:val="nothing"/>
      <w:lvlText w:val="%1．"/>
      <w:lvlJc w:val="left"/>
      <w:pPr>
        <w:ind w:left="0" w:firstLine="400"/>
      </w:pPr>
      <w:rPr>
        <w:rFonts w:hint="default"/>
      </w:rPr>
    </w:lvl>
  </w:abstractNum>
  <w:abstractNum w:abstractNumId="3">
    <w:nsid w:val="F186F5C1"/>
    <w:multiLevelType w:val="singleLevel"/>
    <w:tmpl w:val="F186F5C1"/>
    <w:lvl w:ilvl="0">
      <w:start w:val="1"/>
      <w:numFmt w:val="decimal"/>
      <w:suff w:val="nothing"/>
      <w:lvlText w:val="%1．"/>
      <w:lvlJc w:val="left"/>
      <w:pPr>
        <w:ind w:left="0" w:firstLine="400"/>
      </w:pPr>
      <w:rPr>
        <w:rFonts w:hint="default"/>
      </w:rPr>
    </w:lvl>
  </w:abstractNum>
  <w:abstractNum w:abstractNumId="4">
    <w:nsid w:val="F462F18A"/>
    <w:multiLevelType w:val="singleLevel"/>
    <w:tmpl w:val="F462F18A"/>
    <w:lvl w:ilvl="0">
      <w:start w:val="1"/>
      <w:numFmt w:val="bullet"/>
      <w:lvlText w:val=""/>
      <w:lvlJc w:val="left"/>
      <w:pPr>
        <w:ind w:left="420" w:hanging="420"/>
      </w:pPr>
      <w:rPr>
        <w:rFonts w:ascii="Wingdings" w:hAnsi="Wingdings" w:hint="default"/>
      </w:rPr>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9C67E1F"/>
    <w:multiLevelType w:val="singleLevel"/>
    <w:tmpl w:val="39C67E1F"/>
    <w:lvl w:ilvl="0">
      <w:start w:val="1"/>
      <w:numFmt w:val="decimal"/>
      <w:suff w:val="nothing"/>
      <w:lvlText w:val="%1．"/>
      <w:lvlJc w:val="left"/>
      <w:pPr>
        <w:ind w:left="0" w:firstLine="400"/>
      </w:pPr>
      <w:rPr>
        <w:rFonts w:hint="default"/>
      </w:rPr>
    </w:lvl>
  </w:abstractNum>
  <w:abstractNum w:abstractNumId="11">
    <w:nsid w:val="45B6A4D8"/>
    <w:multiLevelType w:val="singleLevel"/>
    <w:tmpl w:val="45B6A4D8"/>
    <w:lvl w:ilvl="0">
      <w:start w:val="1"/>
      <w:numFmt w:val="decimal"/>
      <w:lvlText w:val="%1."/>
      <w:lvlJc w:val="left"/>
      <w:pPr>
        <w:tabs>
          <w:tab w:val="left" w:pos="312"/>
        </w:tabs>
      </w:pPr>
    </w:lvl>
  </w:abstractNum>
  <w:abstractNum w:abstractNumId="12">
    <w:nsid w:val="4937EC07"/>
    <w:multiLevelType w:val="singleLevel"/>
    <w:tmpl w:val="4937EC07"/>
    <w:lvl w:ilvl="0">
      <w:start w:val="1"/>
      <w:numFmt w:val="decimal"/>
      <w:lvlText w:val="%1."/>
      <w:lvlJc w:val="left"/>
      <w:pPr>
        <w:tabs>
          <w:tab w:val="left" w:pos="312"/>
        </w:tabs>
      </w:pPr>
    </w:lvl>
  </w:abstractNum>
  <w:abstractNum w:abstractNumId="13">
    <w:nsid w:val="609B78C6"/>
    <w:multiLevelType w:val="singleLevel"/>
    <w:tmpl w:val="609B78C6"/>
    <w:lvl w:ilvl="0">
      <w:start w:val="1"/>
      <w:numFmt w:val="decimal"/>
      <w:lvlText w:val="%1."/>
      <w:lvlJc w:val="left"/>
      <w:pPr>
        <w:tabs>
          <w:tab w:val="left" w:pos="312"/>
        </w:tabs>
      </w:p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2"/>
  </w:num>
  <w:num w:numId="5">
    <w:abstractNumId w:val="10"/>
  </w:num>
  <w:num w:numId="6">
    <w:abstractNumId w:val="3"/>
  </w:num>
  <w:num w:numId="7">
    <w:abstractNumId w:val="4"/>
  </w:num>
  <w:num w:numId="8">
    <w:abstractNumId w:val="13"/>
  </w:num>
  <w:num w:numId="9">
    <w:abstractNumId w:val="11"/>
  </w:num>
  <w:num w:numId="10">
    <w:abstractNumId w:val="0"/>
  </w:num>
  <w:num w:numId="11">
    <w:abstractNumId w:val="12"/>
  </w:num>
  <w:num w:numId="12">
    <w:abstractNumId w:val="14"/>
    <w:lvlOverride w:ilvl="0">
      <w:startOverride w:val="1"/>
    </w:lvlOverride>
  </w:num>
  <w:num w:numId="13">
    <w:abstractNumId w:val="1"/>
    <w:lvlOverride w:ilvl="0">
      <w:startOverride w:val="1"/>
    </w:lvlOverride>
  </w:num>
  <w:num w:numId="14">
    <w:abstractNumId w:val="5"/>
    <w:lvlOverride w:ilvl="0">
      <w:startOverride w:val="1"/>
    </w:lvlOverride>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21F"/>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2E54"/>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4F12"/>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971"/>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semiHidden/>
    <w:unhideWhenUsed/>
    <w:qFormat/>
    <w:pPr>
      <w:keepNext/>
      <w:keepLines/>
      <w:spacing w:before="280" w:after="290" w:line="372" w:lineRule="auto"/>
      <w:outlineLvl w:val="4"/>
    </w:pPr>
    <w:rPr>
      <w:rFonts w:asciiTheme="minorHAnsi" w:eastAsiaTheme="minorEastAsia" w:hAnsiTheme="minorHAnsi" w:cstheme="minorBidi"/>
      <w:b/>
      <w:sz w:val="28"/>
      <w:szCs w:val="22"/>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Spacing">
    <w:name w:val="No Spacing"/>
    <w:qFormat/>
    <w:pPr>
      <w:widowControl w:val="0"/>
      <w:spacing w:line="360" w:lineRule="auto"/>
      <w:jc w:val="both"/>
    </w:pPr>
    <w:rPr>
      <w:rFonts w:ascii="宋体" w:hAnsi="宋体" w:cs="宋体"/>
      <w:kern w:val="2"/>
      <w:sz w:val="18"/>
      <w:szCs w:val="24"/>
      <w:lang w:eastAsia="zh-CN"/>
    </w:rPr>
  </w:style>
  <w:style w:type="table" w:customStyle="1" w:styleId="TableNormal0">
    <w:name w:val="Table Normal_0"/>
    <w:unhideWhenUsed/>
    <w:qFormat/>
    <w:rPr>
      <w:rFonts w:ascii="Calibri" w:hAnsi="Calibri" w:eastAsiaTheme="minorEastAsia" w:cstheme="minorBidi"/>
      <w:lang w:eastAsia="zh-CN"/>
    </w:rPr>
    <w:tblPr>
      <w:tblCellMar>
        <w:top w:w="0" w:type="dxa"/>
        <w:left w:w="0" w:type="dxa"/>
        <w:bottom w:w="0" w:type="dxa"/>
        <w:right w:w="0" w:type="dxa"/>
      </w:tblCellMar>
    </w:tbl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image" Target="media/image2.png"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