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四川省2025年地基遥感垂直观测系统气溶胶激光观测仪（三波长）采购项目（重新招标）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ZQCD-25238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四川省气象探测数据中心（四川省气象技术装备中心、四川省气象档案馆）</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四川省2025年地基遥感垂直观测系统气溶胶激光观测仪（三波长）采购项目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ZQCD-25238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合同签订后120天内交货，180天内完成安装调试并具备验收条件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四川省内指定地点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2025年08月15日 00:00:00</w:t>
      </w:r>
      <w:bookmarkEnd w:id="26"/>
      <w:r>
        <w:rPr>
          <w:rFonts w:ascii="宋体" w:hint="eastAsia"/>
          <w:szCs w:val="21"/>
          <w:highlight w:val="none"/>
        </w:rPr>
        <w:t>至</w:t>
      </w:r>
      <w:bookmarkStart w:id="27" w:name="项目公告_signUpLastTime"/>
      <w:r>
        <w:rPr>
          <w:rFonts w:ascii="宋体" w:hint="eastAsia"/>
          <w:szCs w:val="21"/>
          <w:highlight w:val="none"/>
        </w:rPr>
        <w:t>2025年08月22日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2025年09月09日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四川省气象探测数据中心（四川省气象技术装备中心、四川省气象档案馆）</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李翔</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028-87313557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成都市光华村街20号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四川省气象探测数据中心（四川省气象技术装备中心、四川省气象档案馆）</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不允许（仅针对以下产品：气溶胶激光观测仪（三波长）不允许代理商投标）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必须，以下产品需要提供至投标截止日仍有效的《气象专用技术装备使用许可证》：气溶胶激光观测仪（三波长）需要提供拉曼和米散射气溶胶激光雷达气象专用技术装备使用许可证</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（1）气溶胶激光观测仪（三波长），属于工业行业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是，中标服务费：4.5万元。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480.000000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480.000000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销售合同必须包括气溶胶激光观测仪（三波长），每提供1份合同得1分，最多得5分。否则不得分。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针对本项目采购的气溶胶激光观测仪（三波长），</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针对气溶胶激光观测仪（三波长）设备，每提供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2、除项目经理外至少1人具有2年及以上相关工作经验的，得2分；为本项目派出的技术人员至少1人具有1年及以上相关工作经验的，得1分；其他不得分。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针对气溶胶激光观测仪（三波长）设备，测试报告应涵盖低温环境适应性、高温环境适应性、恒定湿热的环境适应性测试等内容，每包含一项得1分，最多得3分。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3.1气溶胶激光观测仪（三波长）基本要求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气溶胶激光观测仪（三波长）以三波长激光器为光源，同时发射355nm，532nm和1064nm的激光光束，光束通过扩束镜扩束整形后经过反射镜反射进入大气中。望远镜系统对视场内的激光光束的米散射和拉曼散射信息进行接收，通过光电转换和信号采集处理后经过相应的雷达反演算法，通过计算得到气溶胶消光系数、气溶胶后向散射系数、气溶胶粒子退偏振比、云信息、光学厚度、污染物混合层高度、能见度、颗粒物浓度廓线、水汽混合比廓线等数据产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3.2技术指标要求</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表3-1 气溶胶激光观测仪（三波长）主要性能指标要求</w:t>
      </w:r>
    </w:p>
    <w:tbl>
      <w:tblPr>
        <w:tblStyle w:val="TableNormal"/>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72"/>
        <w:gridCol w:w="2480"/>
        <w:gridCol w:w="5268"/>
      </w:tblGrid>
      <w:tr>
        <w:tblPrEx>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25"/>
          <w:tblHeader/>
          <w:jc w:val="center"/>
        </w:trPr>
        <w:tc>
          <w:tcPr>
            <w:tcW w:w="1180"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系统名称</w:t>
            </w:r>
          </w:p>
        </w:tc>
        <w:tc>
          <w:tcPr>
            <w:tcW w:w="2496"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指标</w:t>
            </w:r>
          </w:p>
        </w:tc>
        <w:tc>
          <w:tcPr>
            <w:tcW w:w="5303"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指标要求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工作波长</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355nm，532nm，1064nm</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highlight w:val="yellow"/>
                <w:lang w:eastAsia="en-US"/>
              </w:rPr>
              <w:t>#激光能量</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1mJ@1064nm</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0.5mJ@532nm</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0.3mJ@355nm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脉冲宽度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50ns</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发射激光脉冲线宽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0.2 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发射激光的偏振比</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100:1</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激光发散角</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1mrad</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望远镜类型</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采用透射式或反射式望远镜</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工作波长</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300~2000nm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望远镜口径</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≥Φ</w:t>
            </w:r>
            <w:r>
              <w:rPr>
                <w:rFonts w:ascii="仿宋" w:eastAsia="仿宋" w:hAnsi="仿宋" w:cs="仿宋" w:hint="eastAsia"/>
                <w:bCs/>
                <w:color w:val="auto"/>
                <w:kern w:val="0"/>
                <w:sz w:val="24"/>
                <w:szCs w:val="24"/>
                <w:lang w:eastAsia="en-US"/>
              </w:rPr>
              <w:t>250mm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接收视场角</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1mrad</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接收通道</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355nm垂直，355nm平行，532nm垂直，532nm平行，1064nm，386nm氮分子拉曼，407nm水汽分子拉曼，607nm氮分子拉曼</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光电转换和数据采集系统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光电探测器类型</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APD/ PMT</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光电探测器模式</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模拟或光子计数</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数据采集器采样频率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 MHz</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采样位数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模拟通道：</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12bit（有效位）</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光子计数通道：200 M c/s</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干涉滤光片带宽抑制</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OD4</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滤光片带宽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#不同波长之间的串扰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#偏振平行到偏振垂直的串扰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 </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#米散射到拉曼散射通道的串扰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0.01% </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性能指标</w:t>
            </w: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#有效探测范围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晴空干洁大气下，夜间</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10km，白天</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5km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连续工作时间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可24小时连续工作</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bookmarkStart w:id="61" w:name="OLE_LINK4"/>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空间分辨率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7.5m及其倍数</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时间分辨率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1-30min可调</w:t>
            </w:r>
          </w:p>
        </w:tc>
      </w:tr>
      <w:bookmarkEnd w:id="61"/>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数据产品种类</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气溶胶消光系数、气溶胶后向散射系数、气溶胶粒子退偏振比、云信息、光学厚度、污染物混合层高度、能见度、颗粒物浓度廓线</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距离测量精度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不大于其空间分辨率</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#气溶胶后向散射系数精度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米散射：0.5-2 km：不大于20%，满足后向散射系数&gt;1</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10-7时，2-5 km：不大于40%（不计入激光雷达比误差）</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#气溶胶后向散射系数精度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拉曼散射：0.5-2 km：不大于25%，2-5 km：不大于30%</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#气溶胶消光系数测量精度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米散射：0.5-2 km：不大于20%，满足后向散射系数&gt;1</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10-7时，2-5 km：不大于40%（不计入激光雷达比误差）</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#气溶胶消光系数测量精度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拉曼散射：0.5-2 km：不大于30%， 2-5 km：不大于40%；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数据格式</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按照中国气象局统一要求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标校项目</w:t>
            </w:r>
          </w:p>
          <w:p>
            <w:pPr>
              <w:pStyle w:val="a2"/>
              <w:spacing w:line="240" w:lineRule="auto"/>
              <w:jc w:val="both"/>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系统线性度</w:t>
            </w:r>
          </w:p>
        </w:tc>
        <w:tc>
          <w:tcPr>
            <w:tcW w:w="5303" w:type="dxa"/>
            <w:vAlign w:val="bottom"/>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95%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接收横截面四象限均匀性</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2 km~5km：至少有三个象限的平均相对偏差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20%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偏振通道增益比</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偏振系统光轴一致性：相对偏差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Merge/>
            <w:vAlign w:val="center"/>
          </w:tcPr>
          <w:p>
            <w:pPr>
              <w:pStyle w:val="a2"/>
              <w:spacing w:line="240" w:lineRule="auto"/>
              <w:rPr>
                <w:rFonts w:ascii="仿宋" w:eastAsia="仿宋" w:hAnsi="仿宋" w:cs="仿宋" w:hint="eastAsia"/>
                <w:bCs/>
                <w:color w:val="auto"/>
                <w:kern w:val="0"/>
                <w:sz w:val="24"/>
                <w:szCs w:val="24"/>
              </w:rPr>
            </w:pP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增益比稳定性：相对偏差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大气瑞利信号拟合一致性</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重叠因子（与标准雷达比）</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0.2 km~0.5km：平均相对偏差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距离平方校正信号</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0.5 km~2km：平均相对偏差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0.5 km~2km：平均标准偏差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 xml:space="preserve">2 km~5km：平均相对偏差 </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20%，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2 km~5km：平均标准偏差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20%。</w:t>
            </w:r>
          </w:p>
        </w:tc>
      </w:tr>
      <w:tr>
        <w:tblPrEx>
          <w:tblW w:w="4954" w:type="pct"/>
          <w:jc w:val="center"/>
          <w:tblCellMar>
            <w:top w:w="0" w:type="dxa"/>
            <w:left w:w="108" w:type="dxa"/>
            <w:bottom w:w="0" w:type="dxa"/>
            <w:right w:w="108" w:type="dxa"/>
          </w:tblCellMar>
          <w:tblLook w:val="0000"/>
        </w:tblPrEx>
        <w:trPr>
          <w:trHeight w:val="1273"/>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自动标定系统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标定内容</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校准光信号的动态范围大于10</w:t>
            </w:r>
            <w:r>
              <w:rPr>
                <w:rFonts w:ascii="仿宋" w:eastAsia="仿宋" w:hAnsi="仿宋" w:cs="仿宋" w:hint="eastAsia"/>
                <w:bCs/>
                <w:color w:val="auto"/>
                <w:kern w:val="0"/>
                <w:sz w:val="24"/>
                <w:szCs w:val="24"/>
                <w:vertAlign w:val="superscript"/>
              </w:rPr>
              <w:t>4</w:t>
            </w:r>
            <w:r>
              <w:rPr>
                <w:rFonts w:ascii="仿宋" w:eastAsia="仿宋" w:hAnsi="仿宋" w:cs="仿宋" w:hint="eastAsia"/>
                <w:bCs/>
                <w:color w:val="auto"/>
                <w:kern w:val="0"/>
                <w:sz w:val="24"/>
                <w:szCs w:val="24"/>
              </w:rPr>
              <w:t>，能够对激光雷达的动态范围、信噪比、偏振通道的串扰、偏振增益比等进行校正，同时能够模拟晴空、有云和沙尘等多种天气条件下的大气回波信号。</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数据质控系统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数据质控和反演</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可以实现对激光雷达数据进行预处理、异常数据剔除、数据分级、实时反演，可实现原始数据质量控制、反演结果质量控制等工作。</w:t>
            </w:r>
          </w:p>
        </w:tc>
      </w:tr>
      <w:tr>
        <w:tblPrEx>
          <w:tblW w:w="4954" w:type="pct"/>
          <w:jc w:val="center"/>
          <w:tblCellMar>
            <w:top w:w="0" w:type="dxa"/>
            <w:left w:w="108" w:type="dxa"/>
            <w:bottom w:w="0" w:type="dxa"/>
            <w:right w:w="108" w:type="dxa"/>
          </w:tblCellMar>
          <w:tblLook w:val="0000"/>
        </w:tblPrEx>
        <w:trPr>
          <w:trHeight w:val="989"/>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标准输出控制单元</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bookmarkStart w:id="62" w:name="OLE_LINK3"/>
            <w:r>
              <w:rPr>
                <w:rFonts w:ascii="仿宋" w:eastAsia="仿宋" w:hAnsi="仿宋" w:cs="仿宋" w:hint="eastAsia"/>
                <w:bCs/>
                <w:color w:val="auto"/>
                <w:kern w:val="0"/>
                <w:sz w:val="24"/>
                <w:szCs w:val="24"/>
                <w:highlight w:val="yellow"/>
                <w:lang w:eastAsia="en-US"/>
              </w:rPr>
              <w:t>#</w:t>
            </w:r>
            <w:bookmarkEnd w:id="62"/>
            <w:r>
              <w:rPr>
                <w:rFonts w:ascii="仿宋" w:eastAsia="仿宋" w:hAnsi="仿宋" w:cs="仿宋" w:hint="eastAsia"/>
                <w:bCs/>
                <w:color w:val="auto"/>
                <w:kern w:val="0"/>
                <w:sz w:val="24"/>
                <w:szCs w:val="24"/>
                <w:highlight w:val="yellow"/>
                <w:lang w:eastAsia="en-US"/>
              </w:rPr>
              <w:t>监控和控制内容</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具备雷达及附属设备监测、维护维修痕迹管理、远程控制、雷达性能在线分析及产品前期质控等功能。</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设备</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电磁兼容性要求</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产品通过电快速瞬变脉冲群抗扰度测试、浪涌抗扰度测试、静电放电抗扰度测试、电压暂降和短时中断抗扰度测试，满足产品电磁兼容性要求。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平均无故障运行时间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1000h</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工作温度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舱外装置：-40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~+50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，舱内装置：+10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~30</w:t>
            </w:r>
            <w:r>
              <w:rPr>
                <w:rFonts w:ascii="仿宋" w:eastAsia="仿宋" w:hAnsi="仿宋" w:cs="仿宋" w:hint="eastAsia"/>
                <w:bCs/>
                <w:color w:val="auto"/>
                <w:kern w:val="0"/>
                <w:sz w:val="24"/>
                <w:szCs w:val="24"/>
              </w:rPr>
              <w:t>℃</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电源要求</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单相，AC220 V</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15%，50 Hz</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5%</w:t>
            </w:r>
          </w:p>
        </w:tc>
      </w:tr>
      <w:tr>
        <w:tblPrEx>
          <w:tblW w:w="4954" w:type="pct"/>
          <w:jc w:val="center"/>
          <w:tblCellMar>
            <w:top w:w="0" w:type="dxa"/>
            <w:left w:w="108" w:type="dxa"/>
            <w:bottom w:w="0" w:type="dxa"/>
            <w:right w:w="108" w:type="dxa"/>
          </w:tblCellMar>
          <w:tblLook w:val="0000"/>
        </w:tblPrEx>
        <w:trPr>
          <w:trHeight w:val="337"/>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激光器寿命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3000 H</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3.3气溶胶激光观测仪（三波长）内置软件包要求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3.3.1气溶胶激光观测仪（三波长）采集控制软件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（1）采集控制：能够采集355nm，532nm，1064nm等多路信号，可选择将不同通道的信号全部显示或单独显示，能够对信号曲线进行缩放。</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（2）参数设置：能够对站点信息、数据存储路径、采集时间间隔、每组采集脉冲数进行设置。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（3）状态显示：界面上可实时显示激光器、采集卡模块工作状态；可显示采集日志和系统错误提示信息。</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（4）软件自恢复：软件具有自动恢复监测功能，能够在设备故障重启后使用上一次有效监测模式进行监测。</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3.3.2气溶胶激光观测仪（三波长）数据分析软件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（1）数据展示：实时展示雷达当前24小时采集的数据结果。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（2）数据产品：气溶胶消光系数、气溶胶后向散射系数、气溶胶粒子退偏振比、云信息、光学厚度、污染物混合层高度、能见度、颗粒物浓度等。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（3）数据导入：可将历史数据进行导入加载，反演展示。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（4）参数设置：可实现对数据路径、位置信息、算法参数等参数的配置。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3.4、配置要求</w:t>
      </w:r>
    </w:p>
    <w:tbl>
      <w:tblPr>
        <w:tblStyle w:val="TableNormal"/>
        <w:tblW w:w="4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342"/>
        <w:gridCol w:w="6565"/>
      </w:tblGrid>
      <w:tr>
        <w:tblPrEx>
          <w:tblW w:w="4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spacing w:before="42"/>
              <w:ind w:left="107"/>
              <w:jc w:val="center"/>
              <w:rPr>
                <w:rFonts w:ascii="仿宋" w:eastAsia="仿宋" w:hAnsi="仿宋" w:cs="仿宋" w:hint="eastAsia"/>
                <w:b/>
                <w:sz w:val="24"/>
                <w:szCs w:val="24"/>
                <w:lang w:eastAsia="zh-CN"/>
              </w:rPr>
            </w:pPr>
            <w:r>
              <w:rPr>
                <w:rFonts w:ascii="仿宋" w:eastAsia="仿宋" w:hAnsi="仿宋" w:cs="仿宋" w:hint="eastAsia"/>
                <w:b/>
                <w:sz w:val="24"/>
                <w:szCs w:val="24"/>
                <w:lang w:eastAsia="zh-CN"/>
              </w:rPr>
              <w:t>编号</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spacing w:before="42"/>
              <w:ind w:left="107"/>
              <w:jc w:val="center"/>
              <w:rPr>
                <w:rFonts w:ascii="仿宋" w:eastAsia="仿宋" w:hAnsi="仿宋" w:cs="仿宋" w:hint="eastAsia"/>
                <w:b/>
                <w:sz w:val="24"/>
                <w:szCs w:val="24"/>
                <w:lang w:eastAsia="zh-CN"/>
              </w:rPr>
            </w:pPr>
            <w:r>
              <w:rPr>
                <w:rFonts w:ascii="仿宋" w:eastAsia="仿宋" w:hAnsi="仿宋" w:cs="仿宋" w:hint="eastAsia"/>
                <w:b/>
                <w:sz w:val="24"/>
                <w:szCs w:val="24"/>
                <w:lang w:eastAsia="zh-CN"/>
              </w:rPr>
              <w:t>项目</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1</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气溶胶激光观测仪（三波长）主机</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2</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气溶胶激光观测仪（三波长）内置软件包</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3</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观测天窗及其附属件</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4</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备用电源（UPS）及其附属件</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5</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工具包</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6</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包装箱</w:t>
            </w:r>
          </w:p>
        </w:tc>
      </w:tr>
    </w:tbl>
    <w:p>
      <w:pPr>
        <w:ind w:firstLine="560" w:firstLineChars="200"/>
        <w:rPr>
          <w:rFonts w:ascii="仿宋" w:eastAsia="仿宋" w:hAnsi="仿宋" w:cs="仿宋"/>
          <w:sz w:val="28"/>
          <w:szCs w:val="20"/>
        </w:rPr>
      </w:pPr>
      <w:r>
        <w:rPr>
          <w:rFonts w:ascii="仿宋" w:eastAsia="仿宋" w:hAnsi="仿宋" w:cs="仿宋" w:hint="eastAsia"/>
          <w:sz w:val="28"/>
          <w:szCs w:val="28"/>
        </w:rPr>
        <w:t>四、</w:t>
      </w:r>
      <w:r>
        <w:rPr>
          <w:rFonts w:ascii="仿宋" w:eastAsia="仿宋" w:hAnsi="仿宋" w:cs="仿宋" w:hint="eastAsia"/>
          <w:sz w:val="28"/>
          <w:szCs w:val="20"/>
        </w:rPr>
        <w:t>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（1）正式交付运行，并通过合同验收次日起质保期为8年。</w:t>
      </w:r>
      <w:r>
        <w:rPr>
          <w:rFonts w:ascii="仿宋" w:eastAsia="仿宋" w:hAnsi="仿宋" w:cs="仿宋" w:hint="eastAsia"/>
          <w:sz w:val="28"/>
          <w:szCs w:val="20"/>
          <w:highlight w:val="yellow"/>
        </w:rPr>
        <w:t>设备供应商对所有设备提供自验收合格后8年的免费维护维修服务*，</w:t>
      </w:r>
      <w:r>
        <w:rPr>
          <w:rFonts w:ascii="仿宋" w:eastAsia="仿宋" w:hAnsi="仿宋" w:cs="仿宋" w:hint="eastAsia"/>
          <w:sz w:val="28"/>
          <w:szCs w:val="20"/>
        </w:rPr>
        <w:t>并提供相关承诺函。按照业务运行规范要求执行，确保设备可稳定运行，主要工作包括：汛前巡检、周维护、月维护、年维护等巡检巡查工作，以及关键器件及系统故障的维修等。故障维修和巡检巡查等需按照《2022年度补短板工程新上设备建设及质保指导意见（地基遥感垂直观测系统）》要求执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 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24小时，当投标产品或软件遭到损坏或出现故障时，要在用户报修之时起4小时内做出响应，并在48小时内到达现场，开展维修维护工作，视情况双方协商设备恢复正常运行时限。</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正式交付运行，并通过合同验收次日起质保期为8年。维保包括设备维护维修、相关附属软件及附属设备维护维修，保证每年至少1次的现场巡检和4次远程维护检查，设备发生故障时在业务规定时间内完成维修、维护保障或更换组件，投标人应提供7（天）</w:t>
      </w:r>
      <w:r>
        <w:rPr>
          <w:rFonts w:ascii="仿宋" w:eastAsia="仿宋" w:hAnsi="仿宋" w:cs="仿宋" w:hint="eastAsia"/>
          <w:sz w:val="28"/>
          <w:szCs w:val="20"/>
        </w:rPr>
        <w:t>×</w:t>
      </w:r>
      <w:r>
        <w:rPr>
          <w:rFonts w:ascii="仿宋" w:eastAsia="仿宋" w:hAnsi="仿宋" w:cs="仿宋" w:hint="eastAsia"/>
          <w:sz w:val="28"/>
          <w:szCs w:val="20"/>
        </w:rPr>
        <w:t>24（小时）技术支持热线电话。</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参照《拉曼和米散射气溶胶激光雷达功能需求书》《拉曼和米散射气溶胶激光雷达测试大纲》和《地基遥感垂直观测系统测试大纲》以及中国气象局最新业务管理规定等有关文件要求开展检验考核。</w:t>
      </w:r>
    </w:p>
    <w:p>
      <w:pPr>
        <w:spacing w:line="560" w:lineRule="exact"/>
        <w:ind w:left="365" w:leftChars="174"/>
        <w:rPr>
          <w:rFonts w:ascii="仿宋" w:eastAsia="仿宋" w:hAnsi="仿宋" w:cs="仿宋" w:hint="eastAsia"/>
          <w:sz w:val="28"/>
          <w:szCs w:val="28"/>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详见采购需求-其他技术及商务需求。</w:t>
      </w:r>
      <w:bookmarkStart w:id="63" w:name="_Hlk168594784"/>
    </w:p>
    <w:p>
      <w:pPr>
        <w:spacing w:line="560" w:lineRule="exact"/>
        <w:ind w:firstLine="560" w:firstLineChars="200"/>
        <w:rPr>
          <w:rFonts w:ascii="仿宋" w:eastAsia="仿宋" w:hAnsi="仿宋" w:cs="仿宋" w:hint="eastAsia"/>
          <w:sz w:val="28"/>
          <w:szCs w:val="20"/>
        </w:rPr>
      </w:pPr>
      <w:bookmarkEnd w:id="63"/>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spacing w:line="560" w:lineRule="exact"/>
        <w:outlineLvl w:val="1"/>
        <w:rPr>
          <w:rFonts w:ascii="黑体" w:eastAsia="黑体" w:hAnsi="黑体" w:hint="eastAsia"/>
          <w:bCs/>
          <w:snapToGrid w:val="0"/>
          <w:kern w:val="0"/>
          <w:sz w:val="44"/>
          <w:szCs w:val="44"/>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83"/>
        <w:gridCol w:w="1733"/>
        <w:gridCol w:w="629"/>
        <w:gridCol w:w="874"/>
        <w:gridCol w:w="997"/>
        <w:gridCol w:w="3574"/>
        <w:gridCol w:w="37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4" w:name="货物一览表_index"/>
            <w:r>
              <w:rPr>
                <w:rFonts w:asciiTheme="minorEastAsia" w:eastAsiaTheme="minorEastAsia" w:hAnsiTheme="minorEastAsia" w:cstheme="minorEastAsia" w:hint="eastAsia"/>
                <w:kern w:val="0"/>
                <w:szCs w:val="21"/>
              </w:rPr>
              <w:t>序号</w:t>
            </w:r>
            <w:bookmarkEnd w:id="64"/>
          </w:p>
        </w:tc>
        <w:tc>
          <w:tcPr>
            <w:tcW w:w="1135" w:type="dxa"/>
          </w:tcPr>
          <w:p>
            <w:pPr>
              <w:autoSpaceDE w:val="0"/>
              <w:jc w:val="center"/>
              <w:rPr>
                <w:rFonts w:asciiTheme="minorEastAsia" w:hAnsiTheme="minorEastAsia" w:cstheme="minorEastAsia"/>
                <w:kern w:val="0"/>
                <w:szCs w:val="21"/>
              </w:rPr>
            </w:pPr>
            <w:bookmarkStart w:id="65" w:name="货物一览表_goodsName"/>
            <w:r>
              <w:rPr>
                <w:rFonts w:asciiTheme="minorEastAsia" w:eastAsiaTheme="minorEastAsia" w:hAnsiTheme="minorEastAsia" w:cstheme="minorEastAsia" w:hint="eastAsia"/>
                <w:kern w:val="0"/>
                <w:szCs w:val="21"/>
              </w:rPr>
              <w:t>设备名称</w:t>
            </w:r>
            <w:bookmarkEnd w:id="65"/>
          </w:p>
        </w:tc>
        <w:tc>
          <w:tcPr>
            <w:tcW w:w="965" w:type="dxa"/>
          </w:tcPr>
          <w:p>
            <w:pPr>
              <w:autoSpaceDE w:val="0"/>
              <w:jc w:val="center"/>
              <w:rPr>
                <w:rFonts w:asciiTheme="minorEastAsia" w:hAnsiTheme="minorEastAsia" w:cstheme="minorEastAsia"/>
                <w:kern w:val="0"/>
                <w:szCs w:val="21"/>
              </w:rPr>
            </w:pPr>
            <w:bookmarkStart w:id="66" w:name="货物一览表_nums"/>
            <w:r>
              <w:rPr>
                <w:rFonts w:asciiTheme="minorEastAsia" w:eastAsiaTheme="minorEastAsia" w:hAnsiTheme="minorEastAsia" w:cstheme="minorEastAsia" w:hint="eastAsia"/>
                <w:kern w:val="0"/>
                <w:szCs w:val="21"/>
              </w:rPr>
              <w:t>采购数量</w:t>
            </w:r>
            <w:bookmarkEnd w:id="66"/>
          </w:p>
        </w:tc>
        <w:tc>
          <w:tcPr>
            <w:tcW w:w="1062" w:type="dxa"/>
          </w:tcPr>
          <w:p>
            <w:pPr>
              <w:autoSpaceDE w:val="0"/>
              <w:jc w:val="center"/>
              <w:rPr>
                <w:rFonts w:asciiTheme="minorEastAsia" w:hAnsiTheme="minorEastAsia" w:cstheme="minorEastAsia"/>
                <w:kern w:val="0"/>
                <w:szCs w:val="21"/>
              </w:rPr>
            </w:pPr>
            <w:bookmarkStart w:id="67" w:name="货物一览表_units"/>
            <w:r>
              <w:rPr>
                <w:rFonts w:asciiTheme="minorEastAsia" w:eastAsiaTheme="minorEastAsia" w:hAnsiTheme="minorEastAsia" w:cstheme="minorEastAsia" w:hint="eastAsia"/>
                <w:kern w:val="0"/>
                <w:szCs w:val="21"/>
              </w:rPr>
              <w:t>计量单位</w:t>
            </w:r>
            <w:bookmarkEnd w:id="67"/>
          </w:p>
        </w:tc>
        <w:tc>
          <w:tcPr>
            <w:tcW w:w="1220" w:type="dxa"/>
          </w:tcPr>
          <w:p>
            <w:pPr>
              <w:autoSpaceDE w:val="0"/>
              <w:jc w:val="center"/>
              <w:rPr>
                <w:rFonts w:asciiTheme="minorEastAsia" w:hAnsiTheme="minorEastAsia" w:cstheme="minorEastAsia"/>
                <w:kern w:val="0"/>
                <w:szCs w:val="21"/>
              </w:rPr>
            </w:pPr>
            <w:bookmarkStart w:id="68" w:name="货物一览表_procurementBudget"/>
            <w:r>
              <w:rPr>
                <w:rFonts w:asciiTheme="minorEastAsia" w:eastAsiaTheme="minorEastAsia" w:hAnsiTheme="minorEastAsia" w:cstheme="minorEastAsia" w:hint="eastAsia"/>
                <w:kern w:val="0"/>
                <w:szCs w:val="21"/>
              </w:rPr>
              <w:t>采购预算（元）</w:t>
            </w:r>
            <w:bookmarkEnd w:id="68"/>
          </w:p>
        </w:tc>
        <w:tc>
          <w:tcPr>
            <w:tcW w:w="1329" w:type="dxa"/>
          </w:tcPr>
          <w:p>
            <w:pPr>
              <w:autoSpaceDE w:val="0"/>
              <w:jc w:val="center"/>
              <w:rPr>
                <w:rFonts w:asciiTheme="minorEastAsia" w:hAnsiTheme="minorEastAsia" w:cstheme="minorEastAsia" w:hint="eastAsia"/>
                <w:kern w:val="0"/>
                <w:szCs w:val="21"/>
              </w:rPr>
            </w:pPr>
            <w:bookmarkStart w:id="69"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9"/>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0" w:name="货物一览表_remark"/>
            <w:r>
              <w:rPr>
                <w:rFonts w:asciiTheme="minorEastAsia" w:eastAsiaTheme="minorEastAsia" w:hAnsiTheme="minorEastAsia" w:cstheme="minorEastAsia" w:hint="eastAsia"/>
                <w:kern w:val="0"/>
                <w:szCs w:val="21"/>
              </w:rPr>
              <w:t>备注</w:t>
            </w:r>
            <w:bookmarkEnd w:id="70"/>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气溶胶激光观测仪（三波长）</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4,800,000.00</w:t>
            </w:r>
          </w:p>
        </w:tc>
        <w:tc>
          <w:tcPr/>
          <w:p>
            <w:pPr>
              <w:autoSpaceDE w:val="0"/>
              <w:jc w:val="center"/>
              <w:rPr>
                <w:rFonts w:asciiTheme="minorEastAsia" w:hAnsiTheme="minorEastAsia" w:cstheme="minorEastAsia" w:hint="eastAsia"/>
                <w:kern w:val="0"/>
                <w:szCs w:val="21"/>
              </w:rPr>
            </w:pPr>
            <w:r>
              <w:t>合同签订后120天内交货，180天内完成安装调试并具备验收条件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4,800,000.00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74"/>
        <w:gridCol w:w="624"/>
        <w:gridCol w:w="1237"/>
        <w:gridCol w:w="274"/>
        <w:gridCol w:w="624"/>
        <w:gridCol w:w="520"/>
        <w:gridCol w:w="624"/>
        <w:gridCol w:w="434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1"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数据中心</w:t>
            </w:r>
          </w:p>
        </w:tc>
        <w:tc>
          <w:tcPr/>
          <w:p>
            <w:r>
              <w:t>气溶胶激光观测仪（三波长）</w:t>
            </w:r>
          </w:p>
        </w:tc>
        <w:tc>
          <w:tcPr/>
          <w:p>
            <w:r>
              <w:t>1</w:t>
            </w:r>
          </w:p>
        </w:tc>
        <w:tc>
          <w:tcPr/>
          <w:p>
            <w:r>
              <w:t>4800000.00</w:t>
            </w:r>
          </w:p>
        </w:tc>
        <w:tc>
          <w:tcPr/>
          <w:p>
            <w:r>
              <w:t xml:space="preserve">4800000.00  </w:t>
            </w:r>
          </w:p>
        </w:tc>
        <w:tc>
          <w:tcPr/>
          <w:p>
            <w:r>
              <w:t>四川省九龙县</w:t>
            </w:r>
          </w:p>
        </w:tc>
        <w:tc>
          <w:tcPr/>
          <w:p>
            <w:r>
              <w:t>采购人全称：四川省气象探测数据中心（四川省气象技术装备中心、四川省气象档案馆），联系人：胡春，028-87341766</w:t>
            </w:r>
          </w:p>
        </w:tc>
      </w:tr>
    </w:tbl>
    <w:p w:rsidR="00A77B3E"/>
    <w:p>
      <w:pPr>
        <w:spacing w:line="360" w:lineRule="auto"/>
        <w:rPr>
          <w:rFonts w:ascii="宋体" w:hAnsi="宋体"/>
          <w:szCs w:val="21"/>
        </w:rPr>
      </w:pPr>
      <w:bookmarkEnd w:id="71"/>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r>
        <w:rPr>
          <w:rFonts w:ascii="仿宋" w:eastAsia="仿宋" w:hAnsi="仿宋" w:cs="仿宋" w:hint="eastAsia"/>
          <w:sz w:val="28"/>
          <w:szCs w:val="20"/>
        </w:rPr>
        <w:t>在四川九龙探空站地基遥感垂直观测系统补充建设一套气溶胶激光观测仪（三波长）设备。</w:t>
      </w:r>
    </w:p>
    <w:p>
      <w:pPr>
        <w:numPr>
          <w:ilvl w:val="0"/>
          <w:numId w:val="4"/>
        </w:numPr>
        <w:ind w:firstLine="560" w:firstLineChars="200"/>
        <w:rPr>
          <w:rFonts w:ascii="仿宋" w:eastAsia="仿宋" w:hAnsi="仿宋" w:cs="仿宋"/>
          <w:b/>
          <w:bCs/>
          <w:sz w:val="28"/>
          <w:szCs w:val="20"/>
        </w:rPr>
      </w:pPr>
      <w:r>
        <w:rPr>
          <w:rFonts w:ascii="仿宋" w:eastAsia="仿宋" w:hAnsi="仿宋" w:cs="仿宋" w:hint="eastAsia"/>
          <w:b/>
          <w:bCs/>
          <w:sz w:val="28"/>
          <w:szCs w:val="20"/>
        </w:rPr>
        <w:t>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w:t>
      </w:r>
      <w:r>
        <w:rPr>
          <w:rFonts w:ascii="仿宋" w:eastAsia="仿宋" w:hAnsi="仿宋" w:cs="仿宋" w:hint="eastAsia"/>
          <w:sz w:val="28"/>
          <w:szCs w:val="20"/>
        </w:rPr>
        <w:t>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rPr>
        <w:t>4个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rPr>
        <w:t>15人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中标供应商将所有设备运送至四川省甘孜州九龙县气象局地点（运输相关费用由供应商负责），并负责安装调试。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合同签订后120天内交货，180天内完成安装调试并具备验收条件。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设备完全符合甲方相关要求和规范，保证其系统的兼容性和功能的完整性。</w:t>
      </w:r>
      <w:r>
        <w:rPr>
          <w:rFonts w:ascii="仿宋" w:eastAsia="仿宋" w:hAnsi="仿宋" w:cs="仿宋" w:hint="eastAsia"/>
          <w:sz w:val="28"/>
          <w:szCs w:val="20"/>
        </w:rPr>
        <w:br/>
      </w:r>
      <w:r>
        <w:rPr>
          <w:rFonts w:ascii="仿宋" w:eastAsia="仿宋" w:hAnsi="仿宋" w:cs="仿宋" w:hint="eastAsia"/>
          <w:sz w:val="28"/>
          <w:szCs w:val="20"/>
        </w:rPr>
        <w:t xml:space="preserve">    </w:t>
      </w:r>
      <w:r>
        <w:rPr>
          <w:rFonts w:ascii="仿宋" w:eastAsia="仿宋" w:hAnsi="仿宋" w:cs="仿宋" w:hint="eastAsia"/>
          <w:b/>
          <w:bCs/>
          <w:sz w:val="28"/>
          <w:szCs w:val="20"/>
        </w:rPr>
        <w:t>七、其他</w:t>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996461">
      <w:pPr>
        <w:tabs>
          <w:tab w:val="left" w:pos="1573"/>
        </w:tabs>
        <w:adjustRightInd w:val="0"/>
        <w:snapToGrid w:val="0"/>
        <w:spacing w:line="360" w:lineRule="auto"/>
        <w:jc w:val="center"/>
        <w:outlineLvl w:val="1"/>
        <w:rPr>
          <w:b/>
          <w:bCs/>
          <w:sz w:val="30"/>
          <w:szCs w:val="30"/>
        </w:rPr>
      </w:pPr>
      <w:bookmarkStart w:id="72"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996461">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A56DB0">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996461">
            <w:pPr>
              <w:rPr>
                <w:sz w:val="18"/>
                <w:szCs w:val="18"/>
              </w:rPr>
            </w:pPr>
            <w:r>
              <w:rPr>
                <w:rFonts w:hint="eastAsia"/>
                <w:sz w:val="18"/>
                <w:szCs w:val="18"/>
              </w:rPr>
              <w:t>序号</w:t>
            </w:r>
          </w:p>
        </w:tc>
        <w:tc>
          <w:tcPr>
            <w:tcW w:w="898" w:type="dxa"/>
            <w:vAlign w:val="center"/>
          </w:tcPr>
          <w:p w:rsidR="00996461">
            <w:pPr>
              <w:jc w:val="center"/>
              <w:rPr>
                <w:sz w:val="18"/>
                <w:szCs w:val="18"/>
              </w:rPr>
            </w:pPr>
            <w:r>
              <w:rPr>
                <w:rFonts w:hint="eastAsia"/>
                <w:sz w:val="18"/>
                <w:szCs w:val="18"/>
              </w:rPr>
              <w:t>对应</w:t>
            </w:r>
          </w:p>
          <w:p w:rsidR="00996461">
            <w:pPr>
              <w:jc w:val="center"/>
              <w:rPr>
                <w:sz w:val="18"/>
                <w:szCs w:val="18"/>
              </w:rPr>
            </w:pPr>
            <w:r>
              <w:rPr>
                <w:rFonts w:hint="eastAsia"/>
                <w:sz w:val="18"/>
                <w:szCs w:val="18"/>
              </w:rPr>
              <w:t>条款号</w:t>
            </w:r>
          </w:p>
        </w:tc>
        <w:tc>
          <w:tcPr>
            <w:tcW w:w="7347" w:type="dxa"/>
            <w:vAlign w:val="center"/>
          </w:tcPr>
          <w:p w:rsidR="00996461">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A56DB0">
        <w:tblPrEx>
          <w:tblW w:w="8789" w:type="dxa"/>
          <w:tblLayout w:type="fixed"/>
          <w:tblLook w:val="04A0"/>
        </w:tblPrEx>
        <w:trPr>
          <w:cantSplit/>
        </w:trPr>
        <w:tc>
          <w:tcPr>
            <w:tcW w:w="8789" w:type="dxa"/>
            <w:gridSpan w:val="3"/>
            <w:vAlign w:val="center"/>
          </w:tcPr>
          <w:p w:rsidR="00996461">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A56DB0">
        <w:tblPrEx>
          <w:tblW w:w="8789" w:type="dxa"/>
          <w:tblLayout w:type="fixed"/>
          <w:tblLook w:val="04A0"/>
        </w:tblPrEx>
        <w:trPr>
          <w:cantSplit/>
        </w:trPr>
        <w:tc>
          <w:tcPr>
            <w:tcW w:w="544" w:type="dxa"/>
            <w:vAlign w:val="center"/>
          </w:tcPr>
          <w:p w:rsidR="00996461">
            <w:pPr>
              <w:numPr>
                <w:ilvl w:val="0"/>
                <w:numId w:val="14"/>
              </w:numPr>
              <w:rPr>
                <w:rFonts w:ascii="宋体" w:hAnsi="宋体"/>
                <w:sz w:val="18"/>
                <w:szCs w:val="18"/>
              </w:rPr>
            </w:pPr>
          </w:p>
        </w:tc>
        <w:tc>
          <w:tcPr>
            <w:tcW w:w="898" w:type="dxa"/>
            <w:vAlign w:val="center"/>
          </w:tcPr>
          <w:p w:rsidR="00996461" w:rsidP="00A56DB0">
            <w:pPr>
              <w:jc w:val="center"/>
              <w:rPr>
                <w:rFonts w:ascii="宋体" w:hAnsi="宋体"/>
                <w:sz w:val="18"/>
                <w:szCs w:val="18"/>
              </w:rPr>
            </w:pPr>
            <w:r>
              <w:rPr>
                <w:rFonts w:ascii="宋体" w:hAnsi="宋体" w:hint="eastAsia"/>
                <w:sz w:val="18"/>
                <w:szCs w:val="18"/>
              </w:rPr>
              <w:t>5</w:t>
            </w:r>
            <w:r>
              <w:rPr>
                <w:rFonts w:ascii="宋体" w:hAnsi="宋体"/>
                <w:sz w:val="18"/>
                <w:szCs w:val="18"/>
              </w:rPr>
              <w:t>.</w:t>
            </w:r>
            <w:r w:rsidR="00A56DB0">
              <w:rPr>
                <w:rFonts w:ascii="宋体" w:hAnsi="宋体" w:hint="eastAsia"/>
                <w:sz w:val="18"/>
                <w:szCs w:val="18"/>
              </w:rPr>
              <w:t>7</w:t>
            </w:r>
          </w:p>
        </w:tc>
        <w:tc>
          <w:tcPr>
            <w:tcW w:w="7347" w:type="dxa"/>
          </w:tcPr>
          <w:p w:rsidR="00996461">
            <w:pPr>
              <w:tabs>
                <w:tab w:val="left" w:pos="709"/>
              </w:tabs>
              <w:spacing w:line="360" w:lineRule="auto"/>
              <w:jc w:val="left"/>
              <w:rPr>
                <w:rFonts w:ascii="宋体" w:hAnsi="宋体" w:cs="微软雅黑"/>
                <w:b/>
                <w:color w:val="0000FF"/>
                <w:kern w:val="0"/>
                <w:sz w:val="18"/>
                <w:szCs w:val="18"/>
              </w:rPr>
            </w:pPr>
            <w:r w:rsidRPr="00A56DB0">
              <w:rPr>
                <w:rFonts w:ascii="宋体" w:hAnsi="宋体" w:cs="微软雅黑" w:hint="eastAsia"/>
                <w:b/>
                <w:color w:val="0000FF"/>
                <w:kern w:val="0"/>
                <w:sz w:val="18"/>
                <w:szCs w:val="18"/>
              </w:rPr>
              <w:t>以下产品需要提供至投标截止日仍有效的《气象专用技术装备使用许可证》：气溶胶激光观测仪（三波长）需要提供拉</w:t>
            </w:r>
            <w:r w:rsidRPr="00A56DB0">
              <w:rPr>
                <w:rFonts w:ascii="宋体" w:hAnsi="宋体" w:cs="微软雅黑" w:hint="eastAsia"/>
                <w:b/>
                <w:color w:val="0000FF"/>
                <w:kern w:val="0"/>
                <w:sz w:val="18"/>
                <w:szCs w:val="18"/>
              </w:rPr>
              <w:t>曼</w:t>
            </w:r>
            <w:r w:rsidRPr="00A56DB0">
              <w:rPr>
                <w:rFonts w:ascii="宋体" w:hAnsi="宋体" w:cs="微软雅黑" w:hint="eastAsia"/>
                <w:b/>
                <w:color w:val="0000FF"/>
                <w:kern w:val="0"/>
                <w:sz w:val="18"/>
                <w:szCs w:val="18"/>
              </w:rPr>
              <w:t>和米散射气溶胶激光雷达气象专用技术装备使用许可证</w:t>
            </w:r>
          </w:p>
        </w:tc>
      </w:tr>
      <w:tr w:rsidTr="00A56DB0">
        <w:tblPrEx>
          <w:tblW w:w="8789" w:type="dxa"/>
          <w:tblLayout w:type="fixed"/>
          <w:tblLook w:val="04A0"/>
        </w:tblPrEx>
        <w:trPr>
          <w:cantSplit/>
        </w:trPr>
        <w:tc>
          <w:tcPr>
            <w:tcW w:w="8789" w:type="dxa"/>
            <w:gridSpan w:val="3"/>
            <w:vAlign w:val="center"/>
          </w:tcPr>
          <w:p w:rsidR="00996461">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A56DB0">
        <w:tblPrEx>
          <w:tblW w:w="8789" w:type="dxa"/>
          <w:tblLayout w:type="fixed"/>
          <w:tblLook w:val="04A0"/>
        </w:tblPrEx>
        <w:trPr>
          <w:cantSplit/>
        </w:trPr>
        <w:tc>
          <w:tcPr>
            <w:tcW w:w="544" w:type="dxa"/>
            <w:vAlign w:val="center"/>
          </w:tcPr>
          <w:p w:rsidR="00996461">
            <w:pPr>
              <w:numPr>
                <w:ilvl w:val="0"/>
                <w:numId w:val="14"/>
              </w:numPr>
              <w:rPr>
                <w:rFonts w:ascii="宋体" w:hAnsi="宋体"/>
                <w:sz w:val="18"/>
                <w:szCs w:val="18"/>
              </w:rPr>
            </w:pPr>
          </w:p>
        </w:tc>
        <w:tc>
          <w:tcPr>
            <w:tcW w:w="898" w:type="dxa"/>
            <w:vAlign w:val="center"/>
          </w:tcPr>
          <w:p w:rsidR="00996461">
            <w:pPr>
              <w:jc w:val="center"/>
              <w:rPr>
                <w:rFonts w:ascii="宋体" w:hAnsi="宋体"/>
                <w:sz w:val="18"/>
                <w:szCs w:val="18"/>
              </w:rPr>
            </w:pPr>
            <w:r>
              <w:rPr>
                <w:rFonts w:ascii="宋体" w:hAnsi="宋体" w:hint="eastAsia"/>
                <w:sz w:val="18"/>
                <w:szCs w:val="18"/>
              </w:rPr>
              <w:t>四、</w:t>
            </w:r>
            <w:r>
              <w:rPr>
                <w:rFonts w:ascii="宋体" w:hAnsi="宋体"/>
                <w:sz w:val="18"/>
                <w:szCs w:val="18"/>
              </w:rPr>
              <w:t>质</w:t>
            </w:r>
            <w:r>
              <w:rPr>
                <w:rFonts w:ascii="宋体" w:hAnsi="宋体"/>
                <w:sz w:val="18"/>
                <w:szCs w:val="18"/>
              </w:rPr>
              <w:t>保要求</w:t>
            </w:r>
          </w:p>
        </w:tc>
        <w:tc>
          <w:tcPr>
            <w:tcW w:w="7347" w:type="dxa"/>
            <w:vAlign w:val="center"/>
          </w:tcPr>
          <w:p w:rsidR="00996461">
            <w:pPr>
              <w:tabs>
                <w:tab w:val="left" w:pos="709"/>
              </w:tabs>
              <w:spacing w:line="360" w:lineRule="auto"/>
              <w:jc w:val="left"/>
              <w:rPr>
                <w:rFonts w:ascii="宋体" w:hAnsi="宋体"/>
                <w:sz w:val="18"/>
                <w:szCs w:val="18"/>
              </w:rPr>
            </w:pPr>
            <w:r w:rsidRPr="00AD24D2">
              <w:rPr>
                <w:rFonts w:ascii="宋体" w:hAnsi="宋体" w:cs="微软雅黑" w:hint="eastAsia"/>
                <w:b/>
                <w:color w:val="0000FF"/>
                <w:kern w:val="0"/>
                <w:sz w:val="18"/>
                <w:szCs w:val="18"/>
              </w:rPr>
              <w:t>设备供应商对所有设备提供自验收合格后8年的免费维护维修服务*</w:t>
            </w:r>
          </w:p>
        </w:tc>
      </w:tr>
    </w:tbl>
    <w:p w:rsidR="00996461">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2"/>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3"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4"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4"/>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5"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5"/>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FE"/>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FE"/>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FE"/>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b/>
          <w:bCs/>
          <w:szCs w:val="21"/>
          <w:highlight w:val="none"/>
          <w:u w:val="single"/>
        </w:rPr>
        <w:t xml:space="preserve"> </w:t>
      </w:r>
      <w:r>
        <w:rPr>
          <w:rFonts w:ascii="宋体" w:hAnsi="宋体" w:hint="eastAsia"/>
          <w:b/>
          <w:bCs/>
          <w:szCs w:val="21"/>
          <w:highlight w:val="none"/>
          <w:u w:val="single"/>
          <w:lang w:val="en-US" w:eastAsia="zh-CN"/>
        </w:rPr>
        <w:t>1.</w:t>
      </w:r>
      <w:r>
        <w:rPr>
          <w:rFonts w:ascii="宋体" w:hAnsi="宋体" w:hint="eastAsia"/>
          <w:b/>
          <w:bCs/>
          <w:szCs w:val="21"/>
          <w:highlight w:val="none"/>
          <w:u w:val="single"/>
        </w:rPr>
        <w:t xml:space="preserve"> </w:t>
      </w:r>
      <w:r>
        <w:rPr>
          <w:rFonts w:ascii="宋体" w:hAnsi="宋体" w:hint="eastAsia"/>
          <w:b/>
          <w:bCs/>
          <w:szCs w:val="21"/>
          <w:highlight w:val="none"/>
          <w:u w:val="single"/>
          <w:lang w:val="en-US" w:eastAsia="zh-CN"/>
        </w:rPr>
        <w:t>双方签署合同后15个工作日内，乙方向甲方开具合同总金额的70%发票，甲方在收到发票后15个工作日内向乙方支付。2.现场安装测试后15个工作日内，乙方向甲方开具合同总金额的25%发票，甲方在收到发票后15个工作日内向乙方支付。3.现场验收后15个工作日内，乙方向甲方开具合同总金额的5%发票，甲方在收到发票后15个工作日内向乙方支付</w:t>
      </w:r>
      <w:r>
        <w:rPr>
          <w:rFonts w:ascii="宋体" w:hAnsi="宋体" w:hint="eastAsia"/>
          <w:szCs w:val="21"/>
          <w:highlight w:val="none"/>
          <w:u w:val="single"/>
          <w:lang w:val="en-US" w:eastAsia="zh-CN"/>
        </w:rPr>
        <w:t>。</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r>
        <w:rPr>
          <w:rFonts w:ascii="宋体" w:hAnsi="宋体" w:cs="宋体" w:hint="eastAsia"/>
          <w:szCs w:val="21"/>
          <w:highlight w:val="none"/>
          <w:u w:val="single"/>
          <w:lang w:val="en-US" w:eastAsia="zh-CN"/>
        </w:rPr>
        <w:t>四川省内指定地点</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转帐</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合同总价的5%</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FE"/>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6" w:name="_Toc27624"/>
      <w:r>
        <w:rPr>
          <w:rFonts w:ascii="黑体" w:hAnsi="黑体" w:hint="eastAsia"/>
          <w:b w:val="0"/>
          <w:bCs w:val="0"/>
          <w:sz w:val="28"/>
          <w:szCs w:val="28"/>
          <w:highlight w:val="none"/>
        </w:rPr>
        <w:t>第二节 政府采购合同通用条款</w:t>
      </w:r>
      <w:bookmarkEnd w:id="76"/>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7"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7"/>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8"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8"/>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3"/>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楷体_GB2312"/>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74E3D53"/>
    <w:multiLevelType w:val="singleLevel"/>
    <w:tmpl w:val="C74E3D53"/>
    <w:lvl w:ilvl="0">
      <w:start w:val="2"/>
      <w:numFmt w:val="chineseCounting"/>
      <w:suff w:val="nothing"/>
      <w:lvlText w:val="%1、"/>
      <w:lvlJc w:val="left"/>
      <w:rPr>
        <w:rFonts w:hint="eastAsia"/>
      </w:rPr>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1"/>
  </w:num>
  <w:num w:numId="5">
    <w:abstractNumId w:val="12"/>
  </w:num>
  <w:num w:numId="6">
    <w:abstractNumId w:val="13"/>
  </w:num>
  <w:num w:numId="7">
    <w:abstractNumId w:val="2"/>
  </w:num>
  <w:num w:numId="8">
    <w:abstractNumId w:val="6"/>
  </w:num>
  <w:num w:numId="9">
    <w:abstractNumId w:val="4"/>
  </w:num>
  <w:num w:numId="10">
    <w:abstractNumId w:val="3"/>
  </w:num>
  <w:num w:numId="11">
    <w:abstractNumId w:val="11"/>
  </w:num>
  <w:num w:numId="12">
    <w:abstractNumId w:val="0"/>
  </w:num>
  <w:num w:numId="13">
    <w:abstractNumId w:val="5"/>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461"/>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DB0"/>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24D2"/>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表格"/>
    <w:basedOn w:val="Normal"/>
    <w:qFormat/>
    <w:pPr>
      <w:spacing w:line="440" w:lineRule="exact"/>
      <w:jc w:val="center"/>
    </w:pPr>
    <w:rPr>
      <w:rFonts w:eastAsia="方正仿宋"/>
      <w:color w:val="000000"/>
      <w:sz w:val="18"/>
      <w:szCs w:val="18"/>
    </w:rPr>
  </w:style>
  <w:style w:type="paragraph" w:customStyle="1" w:styleId="TableParagraph">
    <w:name w:val="Table Paragraph"/>
    <w:basedOn w:val="Normal"/>
    <w:uiPriority w:val="1"/>
    <w:qFormat/>
    <w:pPr>
      <w:jc w:val="left"/>
    </w:pPr>
    <w:rPr>
      <w:rFonts w:ascii="Calibri" w:eastAsia="Calibri" w:hAnsi="Calibri" w:cs="宋体"/>
      <w:kern w:val="0"/>
      <w:sz w:val="22"/>
      <w:szCs w:val="22"/>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