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福建S波段双偏振相控阵天气雷达测试标定（重新招标）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福建S波段双偏振相控阵天气雷达测试标定（重新招标）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ZQCD-25302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合同签订后12个月内完成交货、安装调试并具备验收条件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2025年09月30日 00:00:00</w:t>
      </w:r>
      <w:bookmarkEnd w:id="26"/>
      <w:r>
        <w:rPr>
          <w:rFonts w:ascii="宋体" w:hint="eastAsia"/>
          <w:szCs w:val="21"/>
          <w:highlight w:val="none"/>
        </w:rPr>
        <w:t>至</w:t>
      </w:r>
      <w:bookmarkStart w:id="27" w:name="项目公告_signUpLastTime"/>
      <w:r>
        <w:rPr>
          <w:rFonts w:ascii="宋体" w:hint="eastAsia"/>
          <w:szCs w:val="21"/>
          <w:highlight w:val="none"/>
        </w:rPr>
        <w:t>2025年10月15日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2025年10月23日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010-58993376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北京市海淀区中关村南大街46号北区27号楼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不允许（仅针对以下产品：福建S波段双偏振相控阵天气雷达测试标定不允许代理商投标）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标的：福建S波段双偏振相控阵天气雷达测试标定，属于工业行业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185.000000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185.000000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北京</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针对本项目采购的福建S波段双偏振相控阵天气雷达测试标定，承诺每提前10天交货的得1分，最多得3分。否则不得分。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针对天气雷达，每提供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针对天气雷达，测试报告应涵盖低温工作、高温工作、电磁兼容等内容，最多得3分。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rsidR="003736CA">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3736CA">
      <w:p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一、项目概况及总体要求</w:t>
      </w:r>
    </w:p>
    <w:p w:rsidR="003736CA">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本次</w:t>
      </w:r>
      <w:r>
        <w:rPr>
          <w:rFonts w:ascii="宋体" w:eastAsia="宋体" w:hAnsi="宋体" w:cs="Times New Roman" w:hint="eastAsia"/>
          <w:szCs w:val="21"/>
        </w:rPr>
        <w:t>采购共</w:t>
      </w:r>
      <w:r>
        <w:rPr>
          <w:rFonts w:ascii="宋体" w:eastAsia="宋体" w:hAnsi="宋体" w:cs="Times New Roman" w:hint="eastAsia"/>
          <w:szCs w:val="21"/>
        </w:rPr>
        <w:t>1包，远场地基标校系统（硬件：塔基远场标校系统，软件：塔基远场测试和标校系统）需求如下：</w:t>
      </w:r>
    </w:p>
    <w:p w:rsidR="003736CA">
      <w:pPr>
        <w:spacing w:line="360" w:lineRule="auto"/>
        <w:ind w:firstLine="420"/>
        <w:rPr>
          <w:rFonts w:ascii="宋体" w:eastAsia="宋体" w:hAnsi="宋体" w:cs="Times New Roman"/>
          <w:szCs w:val="21"/>
        </w:rPr>
      </w:pPr>
      <w:r>
        <w:rPr>
          <w:rFonts w:ascii="宋体" w:eastAsia="宋体" w:hAnsi="宋体" w:cs="Times New Roman" w:hint="eastAsia"/>
          <w:szCs w:val="21"/>
        </w:rPr>
        <w:t>S</w:t>
      </w:r>
      <w:r>
        <w:rPr>
          <w:rFonts w:ascii="宋体" w:eastAsia="宋体" w:hAnsi="宋体" w:cs="Times New Roman" w:hint="eastAsia"/>
          <w:szCs w:val="21"/>
        </w:rPr>
        <w:t>波段双</w:t>
      </w:r>
      <w:r>
        <w:rPr>
          <w:rFonts w:ascii="宋体" w:eastAsia="宋体" w:hAnsi="宋体" w:cs="Times New Roman" w:hint="eastAsia"/>
          <w:szCs w:val="21"/>
        </w:rPr>
        <w:t>偏振相控阵天气雷达作为新型观测技术装备应用于气象观测，实现“监测精密”，满足快速获得降水三维结构，其技术优势明显。但是相控阵天气雷达与现有常规天气雷达体制不同、天线扫描策略不同，造成系统标定也相对复杂的多,严重影响了探测数据准确性和可靠性。亟待对S</w:t>
      </w:r>
      <w:r>
        <w:rPr>
          <w:rFonts w:ascii="宋体" w:eastAsia="宋体" w:hAnsi="宋体" w:cs="Times New Roman" w:hint="eastAsia"/>
          <w:szCs w:val="21"/>
        </w:rPr>
        <w:t>波段双</w:t>
      </w:r>
      <w:r>
        <w:rPr>
          <w:rFonts w:ascii="宋体" w:eastAsia="宋体" w:hAnsi="宋体" w:cs="Times New Roman" w:hint="eastAsia"/>
          <w:szCs w:val="21"/>
        </w:rPr>
        <w:t>偏振相控阵天气雷达进行标定体系设计及硬件相关参数标定。开展S</w:t>
      </w:r>
      <w:r>
        <w:rPr>
          <w:rFonts w:ascii="宋体" w:eastAsia="宋体" w:hAnsi="宋体" w:cs="Times New Roman" w:hint="eastAsia"/>
          <w:szCs w:val="21"/>
        </w:rPr>
        <w:t>波段双</w:t>
      </w:r>
      <w:r>
        <w:rPr>
          <w:rFonts w:ascii="宋体" w:eastAsia="宋体" w:hAnsi="宋体" w:cs="Times New Roman" w:hint="eastAsia"/>
          <w:szCs w:val="21"/>
        </w:rPr>
        <w:t>偏振相控阵天气雷达高精度塔基远场标校系统建设，</w:t>
      </w:r>
      <w:r>
        <w:rPr>
          <w:rFonts w:ascii="Times New Roman" w:eastAsia="宋体" w:hAnsi="Times New Roman" w:cs="Times New Roman" w:hint="eastAsia"/>
          <w:szCs w:val="20"/>
        </w:rPr>
        <w:t>包括远场标定的测试标定设备购置和测试标定软件开发等，完成</w:t>
      </w:r>
      <w:r>
        <w:rPr>
          <w:rFonts w:ascii="宋体" w:eastAsia="宋体" w:hAnsi="宋体" w:cs="Times New Roman" w:hint="eastAsia"/>
          <w:szCs w:val="21"/>
        </w:rPr>
        <w:t>雷达参数的订正校准，保证雷达探测的精度。通过相控阵体制雷达的测试标定新方法探索，为后续业务化应用提供雷达测试标定依据，充分发挥S</w:t>
      </w:r>
      <w:r>
        <w:rPr>
          <w:rFonts w:ascii="宋体" w:eastAsia="宋体" w:hAnsi="宋体" w:cs="Times New Roman" w:hint="eastAsia"/>
          <w:szCs w:val="21"/>
        </w:rPr>
        <w:t>波段双</w:t>
      </w:r>
      <w:r>
        <w:rPr>
          <w:rFonts w:ascii="宋体" w:eastAsia="宋体" w:hAnsi="宋体" w:cs="Times New Roman" w:hint="eastAsia"/>
          <w:szCs w:val="21"/>
        </w:rPr>
        <w:t>偏振相控阵天气雷达的优势，获取最优最全的天气信息，从而满足气象业务需求，为今后提高相控阵雷达探测数据可靠性和探测精度打下基础。</w:t>
      </w:r>
    </w:p>
    <w:p w:rsidR="003736CA">
      <w:p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二、组成与功能</w:t>
      </w:r>
    </w:p>
    <w:p w:rsidR="003736CA">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远场地基标校系统包括：塔基远场标校系统（硬件）及塔基远场测试和标校系统（软件）。</w:t>
      </w:r>
    </w:p>
    <w:p w:rsidR="003736CA">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闽侯S波段平板相控阵双偏振天气雷达（以下简称S波段相控阵雷达）是我国第一部S波段相控阵天气雷达，准确测量发射和接收的关键参数，因此，通过在测试点建设闽侯S波段相控阵雷达相适应的高精度远场标校系统进行雷达参数的订正校准，保证雷达探测的精度。远场标校系统由</w:t>
      </w:r>
      <w:r>
        <w:rPr>
          <w:rFonts w:ascii="宋体" w:eastAsia="宋体" w:hAnsi="宋体" w:cs="Times New Roman" w:hint="eastAsia"/>
          <w:szCs w:val="21"/>
          <w:highlight w:val="yellow"/>
        </w:rPr>
        <w:t>核心的有源标校模块①，放置校准设备的方舱，包括供电、网络、伺服控制等设备组成②</w:t>
      </w:r>
      <w:r>
        <w:rPr>
          <w:rFonts w:ascii="宋体" w:eastAsia="宋体" w:hAnsi="宋体" w:cs="Times New Roman" w:hint="eastAsia"/>
          <w:szCs w:val="21"/>
        </w:rPr>
        <w:t>。</w:t>
      </w:r>
    </w:p>
    <w:p w:rsidR="003736CA">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在开展远场标校时，天线转到指定的方位。塔上的有源标定模块接收被测雷达发射信号，将其进行宽带采集并完成存储延时等工作后，将其恢复成模拟信号，经放大滤波后通过微带天线辐射到空中，其接收和输出功率通过增益控制电路可以调节，借以来模拟不同回波强度</w:t>
      </w:r>
      <w:r>
        <w:rPr>
          <w:rFonts w:ascii="宋体" w:eastAsia="宋体" w:hAnsi="宋体" w:cs="Times New Roman" w:hint="eastAsia"/>
          <w:szCs w:val="21"/>
        </w:rPr>
        <w:t>dBZ</w:t>
      </w:r>
      <w:r>
        <w:rPr>
          <w:rFonts w:ascii="宋体" w:eastAsia="宋体" w:hAnsi="宋体" w:cs="Times New Roman" w:hint="eastAsia"/>
          <w:szCs w:val="21"/>
        </w:rPr>
        <w:t>、不同多普勒速度V、不同ZDR，以及不同PHIDP的目标信号。</w:t>
      </w:r>
    </w:p>
    <w:p w:rsidR="003736CA">
      <w:pPr>
        <w:spacing w:line="360" w:lineRule="auto"/>
        <w:ind w:firstLine="420" w:firstLineChars="200"/>
        <w:jc w:val="center"/>
        <w:rPr>
          <w:rFonts w:ascii="宋体" w:eastAsia="宋体" w:hAnsi="宋体" w:cs="Times New Roman"/>
          <w:szCs w:val="21"/>
        </w:rPr>
      </w:pPr>
      <w:r>
        <w:rPr>
          <w:rFonts w:ascii="Times New Roman" w:eastAsia="宋体" w:hAnsi="Times New Roman" w:cs="Times New Roman"/>
          <w:noProof/>
          <w:szCs w:val="20"/>
        </w:rPr>
        <w:drawing>
          <wp:inline distT="0" distB="0" distL="0" distR="0">
            <wp:extent cx="2563495" cy="1833880"/>
            <wp:effectExtent l="0" t="0" r="8255" b="13970"/>
            <wp:docPr id="13359235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23552" name="图片 1"/>
                    <pic:cNvPicPr>
                      <a:picLocks noChangeAspect="1" noChangeArrowheads="1"/>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2563495" cy="1833880"/>
                    </a:xfrm>
                    <a:prstGeom prst="rect">
                      <a:avLst/>
                    </a:prstGeom>
                    <a:noFill/>
                    <a:ln>
                      <a:noFill/>
                    </a:ln>
                  </pic:spPr>
                </pic:pic>
              </a:graphicData>
            </a:graphic>
          </wp:inline>
        </w:drawing>
      </w:r>
    </w:p>
    <w:p w:rsidR="003736CA">
      <w:pPr>
        <w:pStyle w:val="Caption"/>
        <w:spacing w:line="360" w:lineRule="auto"/>
        <w:ind w:firstLine="400" w:firstLineChars="200"/>
        <w:jc w:val="center"/>
        <w:rPr>
          <w:rFonts w:ascii="宋体" w:eastAsia="宋体" w:hAnsi="宋体"/>
          <w:szCs w:val="21"/>
        </w:rPr>
      </w:pPr>
      <w:r>
        <w:t>图</w:t>
      </w:r>
      <w:r>
        <w:t xml:space="preserve"> </w:t>
      </w:r>
      <w:r>
        <w:fldChar w:fldCharType="begin"/>
      </w:r>
      <w:r>
        <w:instrText xml:space="preserve"> SEQ </w:instrText>
      </w:r>
      <w:r>
        <w:instrText>图</w:instrText>
      </w:r>
      <w:r>
        <w:instrText xml:space="preserve"> \* ARABIC </w:instrText>
      </w:r>
      <w:r>
        <w:fldChar w:fldCharType="separate"/>
      </w:r>
      <w:r>
        <w:t>1</w:t>
      </w:r>
      <w:r>
        <w:fldChar w:fldCharType="end"/>
      </w:r>
      <w:r>
        <w:rPr>
          <w:rFonts w:hint="eastAsia"/>
        </w:rPr>
        <w:t xml:space="preserve"> </w:t>
      </w:r>
      <w:r>
        <w:rPr>
          <w:rFonts w:ascii="Times New Roman" w:eastAsia="宋体" w:hAnsi="Times New Roman" w:hint="eastAsia"/>
        </w:rPr>
        <w:t>远场标校系统示意图</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 xml:space="preserve">2.1 </w:t>
      </w:r>
      <w:r>
        <w:rPr>
          <w:rFonts w:ascii="宋体" w:eastAsia="宋体" w:hAnsi="宋体" w:cs="Times New Roman" w:hint="eastAsia"/>
          <w:szCs w:val="21"/>
        </w:rPr>
        <w:t>远场地基标校系统（硬件：塔基远场标校系统，软件：塔基远场测试和标校系统）</w:t>
      </w:r>
      <w:r>
        <w:rPr>
          <w:rFonts w:ascii="Times New Roman" w:eastAsia="宋体" w:hAnsi="Times New Roman" w:cs="Times New Roman" w:hint="eastAsia"/>
          <w:szCs w:val="21"/>
        </w:rPr>
        <w:t>需求一览表</w:t>
      </w:r>
    </w:p>
    <w:tbl>
      <w:tblPr>
        <w:tblStyle w:val="TableNormal"/>
        <w:tblW w:w="0" w:type="auto"/>
        <w:jc w:val="center"/>
        <w:tblLayout w:type="fixed"/>
        <w:tblCellMar>
          <w:left w:w="0" w:type="dxa"/>
          <w:right w:w="0" w:type="dxa"/>
        </w:tblCellMar>
        <w:tblLook w:val="04A0"/>
      </w:tblPr>
      <w:tblGrid>
        <w:gridCol w:w="604"/>
        <w:gridCol w:w="1764"/>
        <w:gridCol w:w="4937"/>
        <w:gridCol w:w="1115"/>
      </w:tblGrid>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序号</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设备名称</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规格</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数量及单位</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1</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塔基远场标校系统</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定制</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1</w:t>
            </w:r>
            <w:r>
              <w:rPr>
                <w:rFonts w:hint="eastAsia"/>
                <w:b/>
                <w:bCs/>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1.1</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w:t>
            </w:r>
            <w:r w:rsidR="00403E07">
              <w:rPr>
                <w:rFonts w:hint="eastAsia"/>
              </w:rPr>
              <w:t>发射系统</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包含功率放大器、</w:t>
            </w:r>
            <w:r>
              <w:rPr>
                <w:rFonts w:hint="eastAsia"/>
              </w:rPr>
              <w:t>DAC</w:t>
            </w:r>
            <w:r>
              <w:rPr>
                <w:rFonts w:hint="eastAsia"/>
              </w:rPr>
              <w:t>转换模块等</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1.2</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w:t>
            </w:r>
            <w:r w:rsidR="00403E07">
              <w:rPr>
                <w:rFonts w:hint="eastAsia"/>
              </w:rPr>
              <w:t>接收系统</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含</w:t>
            </w:r>
            <w:r>
              <w:rPr>
                <w:rFonts w:hint="eastAsia"/>
              </w:rPr>
              <w:t>A/D</w:t>
            </w:r>
            <w:r>
              <w:rPr>
                <w:rFonts w:hint="eastAsia"/>
              </w:rPr>
              <w:t>转换模块、数字接收机、</w:t>
            </w:r>
            <w:r>
              <w:rPr>
                <w:rFonts w:hint="eastAsia"/>
              </w:rPr>
              <w:t>FPGA</w:t>
            </w:r>
            <w:r>
              <w:rPr>
                <w:rFonts w:hint="eastAsia"/>
              </w:rPr>
              <w:t>信号处理器等</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1.3</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天线及伺服系统</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含高隔离度</w:t>
            </w:r>
            <w:r>
              <w:rPr>
                <w:rFonts w:hint="eastAsia"/>
              </w:rPr>
              <w:t>S</w:t>
            </w:r>
            <w:r>
              <w:rPr>
                <w:rFonts w:hint="eastAsia"/>
              </w:rPr>
              <w:t>波段双</w:t>
            </w:r>
            <w:r>
              <w:rPr>
                <w:rFonts w:hint="eastAsia"/>
              </w:rPr>
              <w:t>极化微带天线、精密伺服转台及控制等</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1.4</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机械结构及温控</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其他机械加工及温控系统等</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2</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塔基远场测试和标校系统</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配套应用软件（定制）</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rPr>
                <w:b/>
                <w:bCs/>
              </w:rPr>
            </w:pPr>
            <w:r>
              <w:rPr>
                <w:rFonts w:hint="eastAsia"/>
                <w:b/>
                <w:bCs/>
              </w:rPr>
              <w:t>1</w:t>
            </w:r>
            <w:r>
              <w:rPr>
                <w:rFonts w:hint="eastAsia"/>
                <w:b/>
                <w:bCs/>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2.1</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存储固件研发</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数字储频的</w:t>
            </w:r>
            <w:r>
              <w:rPr>
                <w:rFonts w:hint="eastAsia"/>
              </w:rPr>
              <w:t>固件开发</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2.2</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信号发生器研发</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复杂信号产生的固件开发</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2.3</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显</w:t>
            </w:r>
            <w:r>
              <w:rPr>
                <w:rFonts w:hint="eastAsia"/>
              </w:rPr>
              <w:t>控软件</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系统操控和显示</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2.4</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伺服控制软件</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控制伺服系统调整测试标校角度和方位</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2.5</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数据采集软件</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进行</w:t>
            </w:r>
            <w:r>
              <w:rPr>
                <w:rFonts w:hint="eastAsia"/>
              </w:rPr>
              <w:t>IQ</w:t>
            </w:r>
            <w:r>
              <w:rPr>
                <w:rFonts w:hint="eastAsia"/>
              </w:rPr>
              <w:t>数据采集存储</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r>
        <w:tblPrEx>
          <w:tblW w:w="0" w:type="auto"/>
          <w:jc w:val="center"/>
          <w:tblLayout w:type="fixed"/>
          <w:tblCellMar>
            <w:left w:w="0" w:type="dxa"/>
            <w:right w:w="0" w:type="dxa"/>
          </w:tblCellMar>
          <w:tblLook w:val="04A0"/>
        </w:tblPrEx>
        <w:trPr>
          <w:trHeight w:val="454"/>
          <w:jc w:val="center"/>
        </w:trPr>
        <w:tc>
          <w:tcPr>
            <w:tcW w:w="60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2.6</w:t>
            </w:r>
          </w:p>
        </w:tc>
        <w:tc>
          <w:tcPr>
            <w:tcW w:w="1764"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数据分析软件</w:t>
            </w:r>
          </w:p>
        </w:tc>
        <w:tc>
          <w:tcPr>
            <w:tcW w:w="4937"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进行离线</w:t>
            </w:r>
            <w:r>
              <w:rPr>
                <w:rFonts w:hint="eastAsia"/>
              </w:rPr>
              <w:t>IQ</w:t>
            </w:r>
            <w:r>
              <w:rPr>
                <w:rFonts w:hint="eastAsia"/>
              </w:rPr>
              <w:t>数据分析</w:t>
            </w:r>
          </w:p>
        </w:tc>
        <w:tc>
          <w:tcPr>
            <w:tcW w:w="1115" w:type="dxa"/>
            <w:tcBorders>
              <w:top w:val="single" w:sz="4" w:space="0" w:color="000000"/>
              <w:left w:val="single" w:sz="4" w:space="0" w:color="000000"/>
              <w:bottom w:val="single" w:sz="4" w:space="0" w:color="000000"/>
              <w:right w:val="single" w:sz="4" w:space="0" w:color="000000"/>
            </w:tcBorders>
            <w:vAlign w:val="center"/>
          </w:tcPr>
          <w:p w:rsidR="003736CA">
            <w:pPr>
              <w:pStyle w:val="-"/>
            </w:pPr>
            <w:r>
              <w:rPr>
                <w:rFonts w:hint="eastAsia"/>
              </w:rPr>
              <w:t>1</w:t>
            </w:r>
            <w:r>
              <w:rPr>
                <w:rFonts w:hint="eastAsia"/>
              </w:rPr>
              <w:t>套</w:t>
            </w:r>
          </w:p>
        </w:tc>
      </w:tr>
    </w:tbl>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 xml:space="preserve">2.2 </w:t>
      </w:r>
      <w:r>
        <w:rPr>
          <w:rFonts w:ascii="Times New Roman" w:eastAsia="宋体" w:hAnsi="Times New Roman" w:cs="Times New Roman" w:hint="eastAsia"/>
          <w:szCs w:val="21"/>
        </w:rPr>
        <w:t>发射接收关键参数一览表</w:t>
      </w:r>
    </w:p>
    <w:tbl>
      <w:tblPr>
        <w:tblStyle w:val="TableNormal"/>
        <w:tblW w:w="8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7"/>
        <w:gridCol w:w="3209"/>
        <w:gridCol w:w="4531"/>
      </w:tblGrid>
      <w:tr>
        <w:tblPrEx>
          <w:tblW w:w="8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54"/>
          <w:tblHeader/>
          <w:jc w:val="center"/>
        </w:trPr>
        <w:tc>
          <w:tcPr>
            <w:tcW w:w="657" w:type="dxa"/>
            <w:noWrap/>
            <w:vAlign w:val="center"/>
          </w:tcPr>
          <w:p w:rsidR="003736CA">
            <w:pPr>
              <w:pStyle w:val="-"/>
              <w:rPr>
                <w:b/>
                <w:bCs/>
              </w:rPr>
            </w:pPr>
            <w:r>
              <w:rPr>
                <w:rFonts w:hint="eastAsia"/>
                <w:b/>
                <w:bCs/>
              </w:rPr>
              <w:t>序号</w:t>
            </w:r>
          </w:p>
        </w:tc>
        <w:tc>
          <w:tcPr>
            <w:tcW w:w="3209" w:type="dxa"/>
            <w:noWrap/>
            <w:vAlign w:val="center"/>
          </w:tcPr>
          <w:p w:rsidR="003736CA">
            <w:pPr>
              <w:pStyle w:val="-"/>
              <w:rPr>
                <w:b/>
                <w:bCs/>
              </w:rPr>
            </w:pPr>
            <w:r>
              <w:rPr>
                <w:rFonts w:hint="eastAsia"/>
                <w:b/>
                <w:bCs/>
              </w:rPr>
              <w:t>参数名称</w:t>
            </w:r>
          </w:p>
        </w:tc>
        <w:tc>
          <w:tcPr>
            <w:tcW w:w="4531" w:type="dxa"/>
            <w:noWrap/>
            <w:vAlign w:val="center"/>
          </w:tcPr>
          <w:p w:rsidR="003736CA">
            <w:pPr>
              <w:pStyle w:val="-"/>
              <w:rPr>
                <w:b/>
                <w:bCs/>
              </w:rPr>
            </w:pPr>
            <w:r>
              <w:rPr>
                <w:b/>
                <w:bCs/>
              </w:rPr>
              <w:t>说明</w:t>
            </w:r>
          </w:p>
        </w:tc>
      </w:tr>
      <w:tr>
        <w:tblPrEx>
          <w:tblW w:w="8397" w:type="dxa"/>
          <w:jc w:val="center"/>
          <w:tblLayout w:type="fixed"/>
          <w:tblLook w:val="04A0"/>
        </w:tblPrEx>
        <w:trPr>
          <w:trHeight w:val="90"/>
          <w:jc w:val="center"/>
        </w:trPr>
        <w:tc>
          <w:tcPr>
            <w:tcW w:w="657" w:type="dxa"/>
            <w:noWrap/>
            <w:vAlign w:val="center"/>
          </w:tcPr>
          <w:p w:rsidR="003736CA">
            <w:pPr>
              <w:pStyle w:val="-"/>
            </w:pPr>
            <w:r>
              <w:rPr>
                <w:rFonts w:hint="eastAsia"/>
              </w:rPr>
              <w:t>1</w:t>
            </w:r>
          </w:p>
        </w:tc>
        <w:tc>
          <w:tcPr>
            <w:tcW w:w="3209" w:type="dxa"/>
            <w:noWrap/>
            <w:vAlign w:val="center"/>
          </w:tcPr>
          <w:p w:rsidR="003736CA">
            <w:pPr>
              <w:pStyle w:val="-"/>
            </w:pPr>
            <w:r>
              <w:rPr>
                <w:rFonts w:hint="eastAsia"/>
              </w:rPr>
              <w:t>#</w:t>
            </w:r>
            <w:r>
              <w:rPr>
                <w:rFonts w:hint="eastAsia"/>
              </w:rPr>
              <w:t>发射脉宽</w:t>
            </w:r>
          </w:p>
        </w:tc>
        <w:tc>
          <w:tcPr>
            <w:tcW w:w="4531" w:type="dxa"/>
            <w:noWrap/>
            <w:vAlign w:val="center"/>
          </w:tcPr>
          <w:p w:rsidR="003736CA">
            <w:pPr>
              <w:pStyle w:val="-"/>
            </w:pPr>
            <w:r>
              <w:rPr>
                <w:rFonts w:hint="eastAsia"/>
              </w:rPr>
              <w:t>0.83</w:t>
            </w:r>
            <w:r>
              <w:rPr>
                <w:rFonts w:hint="eastAsia"/>
              </w:rPr>
              <w:t>，</w:t>
            </w:r>
            <w:r>
              <w:rPr>
                <w:rFonts w:hint="eastAsia"/>
              </w:rPr>
              <w:t>1.57</w:t>
            </w:r>
            <w:r>
              <w:rPr>
                <w:rFonts w:hint="eastAsia"/>
              </w:rPr>
              <w:t>，</w:t>
            </w:r>
            <w:r>
              <w:rPr>
                <w:rFonts w:hint="eastAsia"/>
              </w:rPr>
              <w:t>20us</w:t>
            </w:r>
            <w:r>
              <w:rPr>
                <w:rFonts w:hint="eastAsia"/>
              </w:rPr>
              <w:t>，</w:t>
            </w:r>
            <w:r>
              <w:rPr>
                <w:rFonts w:hint="eastAsia"/>
              </w:rPr>
              <w:t>80us</w:t>
            </w: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2</w:t>
            </w:r>
          </w:p>
        </w:tc>
        <w:tc>
          <w:tcPr>
            <w:tcW w:w="3209" w:type="dxa"/>
            <w:noWrap/>
            <w:vAlign w:val="center"/>
          </w:tcPr>
          <w:p w:rsidR="003736CA">
            <w:pPr>
              <w:pStyle w:val="-"/>
            </w:pPr>
            <w:r>
              <w:rPr>
                <w:rFonts w:hint="eastAsia"/>
              </w:rPr>
              <w:t>雷达距离</w:t>
            </w:r>
          </w:p>
        </w:tc>
        <w:tc>
          <w:tcPr>
            <w:tcW w:w="4531" w:type="dxa"/>
            <w:noWrap/>
            <w:vAlign w:val="center"/>
          </w:tcPr>
          <w:p w:rsidR="003736CA">
            <w:pPr>
              <w:pStyle w:val="-"/>
            </w:pPr>
            <w:r>
              <w:rPr>
                <w:rFonts w:hint="eastAsia"/>
              </w:rPr>
              <w:t>＞</w:t>
            </w:r>
            <w:r>
              <w:rPr>
                <w:rFonts w:hint="eastAsia"/>
              </w:rPr>
              <w:t>3km</w:t>
            </w: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3</w:t>
            </w:r>
          </w:p>
        </w:tc>
        <w:tc>
          <w:tcPr>
            <w:tcW w:w="3209" w:type="dxa"/>
            <w:noWrap/>
            <w:vAlign w:val="center"/>
          </w:tcPr>
          <w:p w:rsidR="003736CA">
            <w:pPr>
              <w:pStyle w:val="-"/>
            </w:pPr>
            <w:r>
              <w:rPr>
                <w:rFonts w:hint="eastAsia"/>
              </w:rPr>
              <w:t>#</w:t>
            </w:r>
            <w:r w:rsidR="00403E07">
              <w:rPr>
                <w:rFonts w:hint="eastAsia"/>
              </w:rPr>
              <w:t>方位波束宽度</w:t>
            </w:r>
          </w:p>
        </w:tc>
        <w:tc>
          <w:tcPr>
            <w:tcW w:w="4531" w:type="dxa"/>
            <w:noWrap/>
            <w:vAlign w:val="center"/>
          </w:tcPr>
          <w:p w:rsidR="003736CA">
            <w:pPr>
              <w:pStyle w:val="-"/>
            </w:pPr>
            <w:r>
              <w:t>包含水平和垂直极化</w:t>
            </w: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4</w:t>
            </w:r>
          </w:p>
        </w:tc>
        <w:tc>
          <w:tcPr>
            <w:tcW w:w="3209" w:type="dxa"/>
            <w:noWrap/>
            <w:vAlign w:val="center"/>
          </w:tcPr>
          <w:p w:rsidR="003736CA">
            <w:pPr>
              <w:pStyle w:val="-"/>
            </w:pPr>
            <w:r>
              <w:rPr>
                <w:rFonts w:hint="eastAsia"/>
              </w:rPr>
              <w:t>#</w:t>
            </w:r>
            <w:r w:rsidR="00403E07">
              <w:rPr>
                <w:rFonts w:hint="eastAsia"/>
              </w:rPr>
              <w:t>俯仰接收波束宽度</w:t>
            </w:r>
          </w:p>
        </w:tc>
        <w:tc>
          <w:tcPr>
            <w:tcW w:w="4531" w:type="dxa"/>
            <w:noWrap/>
            <w:vAlign w:val="center"/>
          </w:tcPr>
          <w:p w:rsidR="003736CA">
            <w:pPr>
              <w:pStyle w:val="-"/>
            </w:pPr>
            <w:r>
              <w:t>包含水平和垂直极化</w:t>
            </w:r>
          </w:p>
        </w:tc>
      </w:tr>
      <w:tr>
        <w:tblPrEx>
          <w:tblW w:w="8397" w:type="dxa"/>
          <w:jc w:val="center"/>
          <w:tblLayout w:type="fixed"/>
          <w:tblLook w:val="04A0"/>
        </w:tblPrEx>
        <w:trPr>
          <w:trHeight w:val="450"/>
          <w:jc w:val="center"/>
        </w:trPr>
        <w:tc>
          <w:tcPr>
            <w:tcW w:w="657" w:type="dxa"/>
            <w:noWrap/>
            <w:vAlign w:val="center"/>
          </w:tcPr>
          <w:p w:rsidR="003736CA">
            <w:pPr>
              <w:pStyle w:val="-"/>
            </w:pPr>
            <w:r>
              <w:rPr>
                <w:rFonts w:hint="eastAsia"/>
              </w:rPr>
              <w:t>5</w:t>
            </w:r>
          </w:p>
        </w:tc>
        <w:tc>
          <w:tcPr>
            <w:tcW w:w="3209" w:type="dxa"/>
            <w:noWrap/>
            <w:vAlign w:val="center"/>
          </w:tcPr>
          <w:p w:rsidR="003736CA">
            <w:pPr>
              <w:pStyle w:val="-"/>
            </w:pPr>
            <w:r>
              <w:rPr>
                <w:rFonts w:hint="eastAsia"/>
              </w:rPr>
              <w:t>#</w:t>
            </w:r>
            <w:r w:rsidR="00403E07">
              <w:rPr>
                <w:rFonts w:hint="eastAsia"/>
              </w:rPr>
              <w:t>俯仰发射波束宽度</w:t>
            </w:r>
          </w:p>
        </w:tc>
        <w:tc>
          <w:tcPr>
            <w:tcW w:w="4531" w:type="dxa"/>
            <w:noWrap/>
            <w:vAlign w:val="center"/>
          </w:tcPr>
          <w:p w:rsidR="003736CA">
            <w:pPr>
              <w:pStyle w:val="-"/>
            </w:pPr>
            <w:r>
              <w:t>包含水平和垂直极化</w:t>
            </w: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6</w:t>
            </w:r>
          </w:p>
        </w:tc>
        <w:tc>
          <w:tcPr>
            <w:tcW w:w="3209" w:type="dxa"/>
            <w:noWrap/>
            <w:vAlign w:val="center"/>
          </w:tcPr>
          <w:p w:rsidR="003736CA">
            <w:pPr>
              <w:pStyle w:val="-"/>
            </w:pPr>
            <w:r>
              <w:rPr>
                <w:rFonts w:hint="eastAsia"/>
              </w:rPr>
              <w:t>方位双</w:t>
            </w:r>
            <w:r>
              <w:rPr>
                <w:rFonts w:hint="eastAsia"/>
              </w:rPr>
              <w:t>极化波束指向一致性</w:t>
            </w:r>
          </w:p>
        </w:tc>
        <w:tc>
          <w:tcPr>
            <w:tcW w:w="4531" w:type="dxa"/>
            <w:noWrap/>
            <w:vAlign w:val="center"/>
          </w:tcPr>
          <w:p w:rsidR="003736CA">
            <w:pPr>
              <w:pStyle w:val="-"/>
            </w:pP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7</w:t>
            </w:r>
          </w:p>
        </w:tc>
        <w:tc>
          <w:tcPr>
            <w:tcW w:w="3209" w:type="dxa"/>
            <w:noWrap/>
            <w:vAlign w:val="center"/>
          </w:tcPr>
          <w:p w:rsidR="003736CA">
            <w:pPr>
              <w:pStyle w:val="-"/>
            </w:pPr>
            <w:r>
              <w:rPr>
                <w:rFonts w:hint="eastAsia"/>
              </w:rPr>
              <w:t>俯仰发射双极化波束指向一致性</w:t>
            </w:r>
          </w:p>
        </w:tc>
        <w:tc>
          <w:tcPr>
            <w:tcW w:w="4531" w:type="dxa"/>
            <w:noWrap/>
            <w:vAlign w:val="center"/>
          </w:tcPr>
          <w:p w:rsidR="003736CA">
            <w:pPr>
              <w:pStyle w:val="-"/>
            </w:pP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8</w:t>
            </w:r>
          </w:p>
        </w:tc>
        <w:tc>
          <w:tcPr>
            <w:tcW w:w="3209" w:type="dxa"/>
            <w:noWrap/>
            <w:vAlign w:val="center"/>
          </w:tcPr>
          <w:p w:rsidR="003736CA">
            <w:pPr>
              <w:pStyle w:val="-"/>
            </w:pPr>
            <w:r>
              <w:rPr>
                <w:rFonts w:hint="eastAsia"/>
              </w:rPr>
              <w:t>俯仰接收双极化波束指向一致性</w:t>
            </w:r>
          </w:p>
        </w:tc>
        <w:tc>
          <w:tcPr>
            <w:tcW w:w="4531" w:type="dxa"/>
            <w:noWrap/>
            <w:vAlign w:val="center"/>
          </w:tcPr>
          <w:p w:rsidR="003736CA">
            <w:pPr>
              <w:pStyle w:val="-"/>
            </w:pP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9</w:t>
            </w:r>
          </w:p>
        </w:tc>
        <w:tc>
          <w:tcPr>
            <w:tcW w:w="3209" w:type="dxa"/>
            <w:noWrap/>
            <w:vAlign w:val="center"/>
          </w:tcPr>
          <w:p w:rsidR="003736CA">
            <w:pPr>
              <w:pStyle w:val="-"/>
            </w:pPr>
            <w:r>
              <w:rPr>
                <w:rFonts w:hint="eastAsia"/>
              </w:rPr>
              <w:t>发射双极化波束隔离度</w:t>
            </w:r>
          </w:p>
        </w:tc>
        <w:tc>
          <w:tcPr>
            <w:tcW w:w="4531" w:type="dxa"/>
            <w:noWrap/>
            <w:vAlign w:val="center"/>
          </w:tcPr>
          <w:p w:rsidR="003736CA">
            <w:pPr>
              <w:pStyle w:val="-"/>
            </w:pP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10</w:t>
            </w:r>
          </w:p>
        </w:tc>
        <w:tc>
          <w:tcPr>
            <w:tcW w:w="3209" w:type="dxa"/>
            <w:noWrap/>
            <w:vAlign w:val="center"/>
          </w:tcPr>
          <w:p w:rsidR="003736CA">
            <w:pPr>
              <w:pStyle w:val="-"/>
            </w:pPr>
            <w:r>
              <w:rPr>
                <w:rFonts w:hint="eastAsia"/>
              </w:rPr>
              <w:t>接收双极化波束隔离度</w:t>
            </w:r>
          </w:p>
        </w:tc>
        <w:tc>
          <w:tcPr>
            <w:tcW w:w="4531" w:type="dxa"/>
            <w:noWrap/>
            <w:vAlign w:val="center"/>
          </w:tcPr>
          <w:p w:rsidR="003736CA">
            <w:pPr>
              <w:pStyle w:val="-"/>
            </w:pP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11</w:t>
            </w:r>
          </w:p>
        </w:tc>
        <w:tc>
          <w:tcPr>
            <w:tcW w:w="3209" w:type="dxa"/>
            <w:noWrap/>
            <w:vAlign w:val="center"/>
          </w:tcPr>
          <w:p w:rsidR="003736CA">
            <w:pPr>
              <w:pStyle w:val="-"/>
            </w:pPr>
            <w:r>
              <w:rPr>
                <w:rFonts w:hint="eastAsia"/>
              </w:rPr>
              <w:t>#</w:t>
            </w:r>
            <w:r>
              <w:rPr>
                <w:rFonts w:hint="eastAsia"/>
              </w:rPr>
              <w:t>发射功率增益积</w:t>
            </w:r>
            <w:r>
              <w:rPr>
                <w:rFonts w:hint="eastAsia"/>
              </w:rPr>
              <w:t>PtGt</w:t>
            </w:r>
          </w:p>
        </w:tc>
        <w:tc>
          <w:tcPr>
            <w:tcW w:w="4531" w:type="dxa"/>
            <w:noWrap/>
            <w:vAlign w:val="center"/>
          </w:tcPr>
          <w:p w:rsidR="003736CA">
            <w:pPr>
              <w:pStyle w:val="-"/>
            </w:pPr>
            <w:r>
              <w:rPr>
                <w:rFonts w:hint="eastAsia"/>
              </w:rPr>
              <w:t>需要考虑标准差≤</w:t>
            </w:r>
            <w:r>
              <w:rPr>
                <w:rFonts w:hint="eastAsia"/>
              </w:rPr>
              <w:t xml:space="preserve">1dB  </w:t>
            </w:r>
            <w:r>
              <w:t>包含水平和垂直极化</w:t>
            </w:r>
          </w:p>
        </w:tc>
      </w:tr>
      <w:tr>
        <w:tblPrEx>
          <w:tblW w:w="8397" w:type="dxa"/>
          <w:jc w:val="center"/>
          <w:tblLayout w:type="fixed"/>
          <w:tblLook w:val="04A0"/>
        </w:tblPrEx>
        <w:trPr>
          <w:trHeight w:val="454"/>
          <w:jc w:val="center"/>
        </w:trPr>
        <w:tc>
          <w:tcPr>
            <w:tcW w:w="657" w:type="dxa"/>
            <w:noWrap/>
            <w:vAlign w:val="center"/>
          </w:tcPr>
          <w:p w:rsidR="003736CA">
            <w:pPr>
              <w:pStyle w:val="-"/>
            </w:pPr>
            <w:r>
              <w:rPr>
                <w:rFonts w:hint="eastAsia"/>
              </w:rPr>
              <w:t>12</w:t>
            </w:r>
          </w:p>
        </w:tc>
        <w:tc>
          <w:tcPr>
            <w:tcW w:w="3209" w:type="dxa"/>
            <w:noWrap/>
            <w:vAlign w:val="center"/>
          </w:tcPr>
          <w:p w:rsidR="003736CA">
            <w:pPr>
              <w:pStyle w:val="-"/>
            </w:pPr>
            <w:r>
              <w:rPr>
                <w:rFonts w:hint="eastAsia"/>
              </w:rPr>
              <w:t>#</w:t>
            </w:r>
            <w:r>
              <w:rPr>
                <w:rFonts w:hint="eastAsia"/>
              </w:rPr>
              <w:t>接收天线增益</w:t>
            </w:r>
            <w:r>
              <w:rPr>
                <w:rFonts w:hint="eastAsia"/>
              </w:rPr>
              <w:t>+</w:t>
            </w:r>
            <w:r>
              <w:rPr>
                <w:rFonts w:hint="eastAsia"/>
              </w:rPr>
              <w:t>接收通道增益</w:t>
            </w:r>
          </w:p>
        </w:tc>
        <w:tc>
          <w:tcPr>
            <w:tcW w:w="4531" w:type="dxa"/>
            <w:noWrap/>
            <w:vAlign w:val="center"/>
          </w:tcPr>
          <w:p w:rsidR="003736CA">
            <w:pPr>
              <w:pStyle w:val="-"/>
            </w:pPr>
            <w:r>
              <w:rPr>
                <w:rFonts w:hint="eastAsia"/>
              </w:rPr>
              <w:t>需要考虑标准差≤</w:t>
            </w:r>
            <w:r>
              <w:rPr>
                <w:rFonts w:hint="eastAsia"/>
              </w:rPr>
              <w:t xml:space="preserve">1dB  </w:t>
            </w:r>
            <w:r>
              <w:t>包含水平和垂直极化</w:t>
            </w:r>
          </w:p>
        </w:tc>
      </w:tr>
    </w:tbl>
    <w:p w:rsidR="003736CA">
      <w:p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三、技术性能指标</w:t>
      </w:r>
    </w:p>
    <w:p w:rsidR="003736CA">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为了满足对雷达标定要求，对该标定系统的整体精度要求。如下表所示。</w:t>
      </w:r>
    </w:p>
    <w:tbl>
      <w:tblPr>
        <w:tblStyle w:val="TableNormal"/>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8"/>
        <w:gridCol w:w="2701"/>
        <w:gridCol w:w="2415"/>
        <w:gridCol w:w="2620"/>
      </w:tblGrid>
      <w:tr>
        <w:tblPrEx>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54"/>
          <w:tblHeader/>
          <w:jc w:val="center"/>
        </w:trPr>
        <w:tc>
          <w:tcPr>
            <w:tcW w:w="688" w:type="dxa"/>
          </w:tcPr>
          <w:p w:rsidR="003736CA">
            <w:pPr>
              <w:pStyle w:val="-"/>
              <w:rPr>
                <w:b/>
                <w:bCs/>
              </w:rPr>
            </w:pPr>
            <w:r>
              <w:rPr>
                <w:rFonts w:hint="eastAsia"/>
                <w:b/>
                <w:bCs/>
              </w:rPr>
              <w:t>序号</w:t>
            </w:r>
          </w:p>
        </w:tc>
        <w:tc>
          <w:tcPr>
            <w:tcW w:w="2701" w:type="dxa"/>
          </w:tcPr>
          <w:p w:rsidR="003736CA">
            <w:pPr>
              <w:pStyle w:val="-"/>
              <w:rPr>
                <w:b/>
                <w:bCs/>
              </w:rPr>
            </w:pPr>
            <w:r>
              <w:rPr>
                <w:rFonts w:hint="eastAsia"/>
                <w:b/>
                <w:bCs/>
              </w:rPr>
              <w:t>技术指标</w:t>
            </w:r>
          </w:p>
        </w:tc>
        <w:tc>
          <w:tcPr>
            <w:tcW w:w="2415" w:type="dxa"/>
          </w:tcPr>
          <w:p w:rsidR="003736CA">
            <w:pPr>
              <w:pStyle w:val="-"/>
              <w:rPr>
                <w:b/>
                <w:bCs/>
              </w:rPr>
            </w:pPr>
            <w:r>
              <w:rPr>
                <w:rFonts w:hint="eastAsia"/>
                <w:b/>
                <w:bCs/>
              </w:rPr>
              <w:t>定量值</w:t>
            </w:r>
          </w:p>
        </w:tc>
        <w:tc>
          <w:tcPr>
            <w:tcW w:w="2620" w:type="dxa"/>
          </w:tcPr>
          <w:p w:rsidR="003736CA">
            <w:pPr>
              <w:pStyle w:val="-"/>
              <w:rPr>
                <w:b/>
                <w:bCs/>
              </w:rPr>
            </w:pPr>
            <w:r>
              <w:rPr>
                <w:rFonts w:hint="eastAsia"/>
                <w:b/>
                <w:bCs/>
              </w:rPr>
              <w:t>其他说明</w:t>
            </w:r>
          </w:p>
        </w:tc>
      </w:tr>
      <w:tr>
        <w:tblPrEx>
          <w:tblW w:w="8424" w:type="dxa"/>
          <w:jc w:val="center"/>
          <w:tblLook w:val="04A0"/>
        </w:tblPrEx>
        <w:trPr>
          <w:trHeight w:val="454"/>
          <w:jc w:val="center"/>
        </w:trPr>
        <w:tc>
          <w:tcPr>
            <w:tcW w:w="688" w:type="dxa"/>
          </w:tcPr>
          <w:p w:rsidR="003736CA">
            <w:pPr>
              <w:pStyle w:val="-"/>
            </w:pPr>
            <w:r>
              <w:rPr>
                <w:rFonts w:hint="eastAsia"/>
              </w:rPr>
              <w:t>1</w:t>
            </w:r>
          </w:p>
        </w:tc>
        <w:tc>
          <w:tcPr>
            <w:tcW w:w="2701" w:type="dxa"/>
          </w:tcPr>
          <w:p w:rsidR="003736CA">
            <w:pPr>
              <w:spacing w:line="360" w:lineRule="auto"/>
              <w:jc w:val="center"/>
              <w:rPr>
                <w:rFonts w:ascii="宋体" w:eastAsia="宋体" w:hAnsi="宋体" w:cs="Times New Roman"/>
                <w:szCs w:val="21"/>
              </w:rPr>
            </w:pPr>
            <w:r>
              <w:rPr>
                <w:rFonts w:hint="eastAsia"/>
              </w:rPr>
              <w:t>#</w:t>
            </w:r>
            <w:r>
              <w:rPr>
                <w:rFonts w:ascii="宋体" w:eastAsia="宋体" w:hAnsi="宋体" w:cs="Times New Roman" w:hint="eastAsia"/>
                <w:szCs w:val="21"/>
              </w:rPr>
              <w:t>生成目标的</w:t>
            </w:r>
            <w:r>
              <w:rPr>
                <w:rFonts w:ascii="宋体" w:eastAsia="宋体" w:hAnsi="宋体" w:cs="Times New Roman" w:hint="eastAsia"/>
                <w:color w:val="000000"/>
                <w:szCs w:val="21"/>
              </w:rPr>
              <w:t>距离</w:t>
            </w:r>
            <w:r>
              <w:rPr>
                <w:rFonts w:ascii="宋体" w:eastAsia="宋体" w:hAnsi="宋体" w:cs="Times New Roman" w:hint="eastAsia"/>
                <w:szCs w:val="21"/>
              </w:rPr>
              <w:t>精度</w:t>
            </w:r>
          </w:p>
        </w:tc>
        <w:tc>
          <w:tcPr>
            <w:tcW w:w="2415" w:type="dxa"/>
          </w:tcPr>
          <w:p w:rsidR="003736CA">
            <w:pPr>
              <w:pStyle w:val="-"/>
            </w:pPr>
            <w:r>
              <w:rPr>
                <w:rFonts w:hint="eastAsia"/>
              </w:rPr>
              <w:t>30m</w:t>
            </w:r>
          </w:p>
        </w:tc>
        <w:tc>
          <w:tcPr>
            <w:tcW w:w="2620" w:type="dxa"/>
          </w:tcPr>
          <w:p w:rsidR="003736CA">
            <w:pPr>
              <w:spacing w:line="360" w:lineRule="auto"/>
              <w:jc w:val="center"/>
              <w:rPr>
                <w:rFonts w:ascii="宋体" w:eastAsia="宋体" w:hAnsi="宋体" w:cs="Times New Roman"/>
                <w:szCs w:val="21"/>
              </w:rPr>
            </w:pPr>
          </w:p>
        </w:tc>
      </w:tr>
      <w:tr>
        <w:tblPrEx>
          <w:tblW w:w="8424" w:type="dxa"/>
          <w:jc w:val="center"/>
          <w:tblLook w:val="04A0"/>
        </w:tblPrEx>
        <w:trPr>
          <w:trHeight w:val="454"/>
          <w:jc w:val="center"/>
        </w:trPr>
        <w:tc>
          <w:tcPr>
            <w:tcW w:w="688" w:type="dxa"/>
          </w:tcPr>
          <w:p w:rsidR="003736CA">
            <w:pPr>
              <w:pStyle w:val="-"/>
            </w:pPr>
            <w:r>
              <w:rPr>
                <w:rFonts w:hint="eastAsia"/>
              </w:rPr>
              <w:t>2</w:t>
            </w:r>
          </w:p>
        </w:tc>
        <w:tc>
          <w:tcPr>
            <w:tcW w:w="2701" w:type="dxa"/>
          </w:tcPr>
          <w:p w:rsidR="003736CA">
            <w:pPr>
              <w:spacing w:line="360" w:lineRule="auto"/>
              <w:jc w:val="center"/>
              <w:rPr>
                <w:rFonts w:ascii="宋体" w:eastAsia="宋体" w:hAnsi="宋体" w:cs="Times New Roman"/>
                <w:szCs w:val="21"/>
              </w:rPr>
            </w:pPr>
            <w:r>
              <w:rPr>
                <w:rFonts w:hint="eastAsia"/>
              </w:rPr>
              <w:t>#</w:t>
            </w:r>
            <w:r>
              <w:rPr>
                <w:rFonts w:ascii="宋体" w:eastAsia="宋体" w:hAnsi="宋体" w:cs="Times New Roman" w:hint="eastAsia"/>
                <w:color w:val="000000"/>
                <w:szCs w:val="21"/>
              </w:rPr>
              <w:t>生成目标的功率准确度</w:t>
            </w:r>
          </w:p>
        </w:tc>
        <w:tc>
          <w:tcPr>
            <w:tcW w:w="2415" w:type="dxa"/>
          </w:tcPr>
          <w:p w:rsidR="003736CA">
            <w:pPr>
              <w:pStyle w:val="-"/>
            </w:pPr>
            <w:r>
              <w:rPr>
                <w:rFonts w:hint="eastAsia"/>
              </w:rPr>
              <w:t>1dB</w:t>
            </w:r>
          </w:p>
        </w:tc>
        <w:tc>
          <w:tcPr>
            <w:tcW w:w="2620" w:type="dxa"/>
          </w:tcPr>
          <w:p w:rsidR="003736CA">
            <w:pPr>
              <w:spacing w:line="360" w:lineRule="auto"/>
              <w:jc w:val="center"/>
              <w:rPr>
                <w:rFonts w:ascii="宋体" w:eastAsia="宋体" w:hAnsi="宋体" w:cs="Times New Roman"/>
                <w:szCs w:val="21"/>
              </w:rPr>
            </w:pPr>
          </w:p>
        </w:tc>
      </w:tr>
    </w:tbl>
    <w:p w:rsidR="003736CA">
      <w:p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四、检验考核要求</w:t>
      </w:r>
    </w:p>
    <w:p w:rsidR="003736CA">
      <w:pPr>
        <w:spacing w:line="360" w:lineRule="auto"/>
        <w:ind w:firstLine="420" w:firstLineChars="200"/>
        <w:rPr>
          <w:rFonts w:ascii="宋体" w:eastAsia="宋体" w:hAnsi="宋体" w:cs="Times New Roman"/>
          <w:color w:val="000000"/>
          <w:szCs w:val="21"/>
        </w:rPr>
      </w:pPr>
      <w:r>
        <w:rPr>
          <w:rFonts w:ascii="宋体" w:eastAsia="宋体" w:hAnsi="宋体" w:cs="Times New Roman" w:hint="eastAsia"/>
          <w:color w:val="000000"/>
          <w:szCs w:val="21"/>
        </w:rPr>
        <w:t>1、响应人提供的产品交付物完全满足内容、技术及性能需求。</w:t>
      </w:r>
    </w:p>
    <w:p w:rsidR="003736CA">
      <w:pPr>
        <w:spacing w:line="360" w:lineRule="auto"/>
        <w:ind w:firstLine="420" w:firstLineChars="200"/>
        <w:rPr>
          <w:rFonts w:ascii="宋体" w:eastAsia="宋体" w:hAnsi="宋体" w:cs="Times New Roman"/>
          <w:color w:val="000000"/>
          <w:szCs w:val="21"/>
        </w:rPr>
      </w:pPr>
      <w:r>
        <w:rPr>
          <w:rFonts w:ascii="宋体" w:eastAsia="宋体" w:hAnsi="宋体" w:cs="Times New Roman" w:hint="eastAsia"/>
          <w:color w:val="000000"/>
          <w:szCs w:val="21"/>
        </w:rPr>
        <w:t>包括但不限于：</w:t>
      </w:r>
    </w:p>
    <w:p w:rsidR="003736CA">
      <w:pPr>
        <w:numPr>
          <w:ilvl w:val="1"/>
          <w:numId w:val="4"/>
        </w:numPr>
        <w:spacing w:line="360" w:lineRule="auto"/>
        <w:textAlignment w:val="baseline"/>
        <w:rPr>
          <w:rFonts w:ascii="Times New Roman" w:eastAsia="宋体" w:hAnsi="Times New Roman" w:cs="Times New Roman"/>
          <w:color w:val="000000"/>
          <w:szCs w:val="20"/>
        </w:rPr>
      </w:pPr>
      <w:r>
        <w:rPr>
          <w:rFonts w:ascii="Times New Roman" w:eastAsia="宋体" w:hAnsi="Times New Roman" w:cs="Times New Roman" w:hint="eastAsia"/>
          <w:szCs w:val="20"/>
        </w:rPr>
        <w:t>需求功能完全实现；</w:t>
      </w:r>
    </w:p>
    <w:p w:rsidR="003736CA">
      <w:pPr>
        <w:numPr>
          <w:ilvl w:val="1"/>
          <w:numId w:val="4"/>
        </w:numPr>
        <w:spacing w:line="360" w:lineRule="auto"/>
        <w:textAlignment w:val="baseline"/>
        <w:rPr>
          <w:rFonts w:ascii="Times New Roman" w:eastAsia="宋体" w:hAnsi="Times New Roman" w:cs="Times New Roman"/>
          <w:color w:val="000000"/>
          <w:szCs w:val="20"/>
        </w:rPr>
      </w:pPr>
      <w:r>
        <w:rPr>
          <w:rFonts w:ascii="Times New Roman" w:eastAsia="宋体" w:hAnsi="Times New Roman" w:cs="Times New Roman"/>
          <w:color w:val="000000"/>
          <w:szCs w:val="20"/>
        </w:rPr>
        <w:t>良好的错误校验；</w:t>
      </w:r>
    </w:p>
    <w:p w:rsidR="003736CA">
      <w:pPr>
        <w:numPr>
          <w:ilvl w:val="1"/>
          <w:numId w:val="4"/>
        </w:numPr>
        <w:spacing w:line="360" w:lineRule="auto"/>
        <w:textAlignment w:val="baseline"/>
        <w:rPr>
          <w:rFonts w:ascii="Times New Roman" w:eastAsia="宋体" w:hAnsi="Times New Roman" w:cs="Times New Roman"/>
          <w:color w:val="000000"/>
          <w:szCs w:val="20"/>
        </w:rPr>
      </w:pPr>
      <w:r>
        <w:rPr>
          <w:rFonts w:ascii="Times New Roman" w:eastAsia="宋体" w:hAnsi="Times New Roman" w:cs="Times New Roman"/>
          <w:color w:val="000000"/>
          <w:szCs w:val="20"/>
        </w:rPr>
        <w:t>没有性能问题；</w:t>
      </w:r>
    </w:p>
    <w:p w:rsidR="003736CA">
      <w:pPr>
        <w:numPr>
          <w:ilvl w:val="1"/>
          <w:numId w:val="4"/>
        </w:numPr>
        <w:spacing w:line="360" w:lineRule="auto"/>
        <w:textAlignment w:val="baseline"/>
        <w:rPr>
          <w:rFonts w:ascii="Times New Roman" w:eastAsia="宋体" w:hAnsi="Times New Roman" w:cs="Times New Roman"/>
          <w:color w:val="000000"/>
          <w:szCs w:val="20"/>
        </w:rPr>
      </w:pPr>
      <w:r>
        <w:rPr>
          <w:rFonts w:ascii="Times New Roman" w:eastAsia="宋体" w:hAnsi="Times New Roman" w:cs="Times New Roman"/>
          <w:color w:val="000000"/>
          <w:szCs w:val="20"/>
        </w:rPr>
        <w:t>交付物完整齐全。</w:t>
      </w:r>
    </w:p>
    <w:p w:rsidR="003736CA">
      <w:pPr>
        <w:numPr>
          <w:ilvl w:val="0"/>
          <w:numId w:val="5"/>
        </w:numPr>
        <w:spacing w:line="360" w:lineRule="auto"/>
        <w:ind w:firstLine="420" w:firstLineChars="200"/>
        <w:rPr>
          <w:rFonts w:ascii="宋体" w:eastAsia="宋体" w:hAnsi="宋体" w:cs="Times New Roman"/>
          <w:color w:val="000000"/>
          <w:szCs w:val="21"/>
          <w:lang w:bidi="ar"/>
        </w:rPr>
      </w:pPr>
      <w:r>
        <w:rPr>
          <w:rFonts w:ascii="宋体" w:eastAsia="宋体" w:hAnsi="宋体" w:cs="Times New Roman" w:hint="eastAsia"/>
          <w:color w:val="000000"/>
          <w:szCs w:val="21"/>
          <w:lang w:bidi="ar"/>
        </w:rPr>
        <w:t>项目进入交付阶段后，</w:t>
      </w:r>
      <w:r>
        <w:rPr>
          <w:rFonts w:ascii="宋体" w:eastAsia="宋体" w:hAnsi="宋体" w:cs="Times New Roman" w:hint="eastAsia"/>
          <w:color w:val="000000"/>
          <w:szCs w:val="21"/>
        </w:rPr>
        <w:t>响应人</w:t>
      </w:r>
      <w:r>
        <w:rPr>
          <w:rFonts w:ascii="宋体" w:eastAsia="宋体" w:hAnsi="宋体" w:cs="Times New Roman" w:hint="eastAsia"/>
          <w:color w:val="000000"/>
          <w:szCs w:val="21"/>
          <w:lang w:bidi="ar"/>
        </w:rPr>
        <w:t>根据可行性研究报告、合同中涉及的相关技术指标形成验收方案。在招标方指定地点，在招标方代表在场的情况下，依据验收方案中相关要求和技术指标对各子项目进行检查并形成报告，如果未能通过，待</w:t>
      </w:r>
      <w:r>
        <w:rPr>
          <w:rFonts w:ascii="宋体" w:eastAsia="宋体" w:hAnsi="宋体" w:cs="Times New Roman" w:hint="eastAsia"/>
          <w:color w:val="000000"/>
          <w:szCs w:val="21"/>
        </w:rPr>
        <w:t>响应人</w:t>
      </w:r>
      <w:r>
        <w:rPr>
          <w:rFonts w:ascii="宋体" w:eastAsia="宋体" w:hAnsi="宋体" w:cs="Times New Roman" w:hint="eastAsia"/>
          <w:color w:val="000000"/>
          <w:szCs w:val="21"/>
          <w:lang w:bidi="ar"/>
        </w:rPr>
        <w:t>整改后择日重新进行验收，由此增加的一切费用由响应人承担。</w:t>
      </w:r>
    </w:p>
    <w:p w:rsidR="003736CA">
      <w:pPr>
        <w:spacing w:line="360" w:lineRule="auto"/>
        <w:ind w:firstLine="420" w:firstLineChars="200"/>
        <w:outlineLvl w:val="2"/>
        <w:rPr>
          <w:rFonts w:ascii="宋体" w:hAnsi="宋体"/>
          <w:b/>
          <w:color w:val="000000"/>
          <w:kern w:val="0"/>
          <w:szCs w:val="21"/>
        </w:rPr>
      </w:pPr>
      <w:r>
        <w:rPr>
          <w:rFonts w:ascii="宋体" w:hAnsi="宋体" w:hint="eastAsia"/>
          <w:b/>
          <w:color w:val="000000"/>
          <w:kern w:val="0"/>
          <w:szCs w:val="21"/>
        </w:rPr>
        <w:t>五、培训要求</w:t>
      </w:r>
    </w:p>
    <w:p w:rsidR="003736CA">
      <w:pPr>
        <w:spacing w:line="360" w:lineRule="auto"/>
        <w:ind w:firstLine="420" w:firstLineChars="200"/>
        <w:textAlignment w:val="baseline"/>
        <w:rPr>
          <w:rFonts w:ascii="Times New Roman" w:eastAsia="宋体" w:hAnsi="Times New Roman" w:cs="Times New Roman"/>
          <w:color w:val="000000"/>
          <w:szCs w:val="20"/>
        </w:rPr>
      </w:pPr>
      <w:r>
        <w:rPr>
          <w:rFonts w:ascii="Times New Roman" w:eastAsia="宋体" w:hAnsi="Times New Roman" w:cs="Times New Roman" w:hint="eastAsia"/>
          <w:color w:val="000000"/>
          <w:szCs w:val="20"/>
        </w:rPr>
        <w:t>1</w:t>
      </w:r>
      <w:r>
        <w:rPr>
          <w:rFonts w:ascii="Times New Roman" w:eastAsia="宋体" w:hAnsi="Times New Roman" w:cs="Times New Roman" w:hint="eastAsia"/>
          <w:color w:val="000000"/>
          <w:szCs w:val="20"/>
        </w:rPr>
        <w:t>、培训方式为现场培训，响应人应在培训之前向采购方提交一份详细的培训计划。</w:t>
      </w:r>
    </w:p>
    <w:p w:rsidR="003736CA">
      <w:pPr>
        <w:spacing w:line="360" w:lineRule="auto"/>
        <w:ind w:firstLine="420" w:firstLineChars="200"/>
        <w:textAlignment w:val="baseline"/>
        <w:rPr>
          <w:rFonts w:ascii="Times New Roman" w:eastAsia="宋体" w:hAnsi="Times New Roman" w:cs="Times New Roman"/>
          <w:color w:val="000000"/>
          <w:szCs w:val="20"/>
        </w:rPr>
      </w:pPr>
      <w:r>
        <w:rPr>
          <w:rFonts w:ascii="Times New Roman" w:eastAsia="宋体" w:hAnsi="Times New Roman" w:cs="Times New Roman" w:hint="eastAsia"/>
          <w:color w:val="000000"/>
          <w:szCs w:val="20"/>
        </w:rPr>
        <w:t>2</w:t>
      </w:r>
      <w:r>
        <w:rPr>
          <w:rFonts w:ascii="Times New Roman" w:eastAsia="宋体" w:hAnsi="Times New Roman" w:cs="Times New Roman" w:hint="eastAsia"/>
          <w:color w:val="000000"/>
          <w:szCs w:val="20"/>
        </w:rPr>
        <w:t>、培训应确保每一位系统用户能够独立、熟练地完成操作，并能够独立处理简单故障和进行功能调整。</w:t>
      </w:r>
    </w:p>
    <w:p w:rsidR="003736CA">
      <w:pPr>
        <w:spacing w:line="360" w:lineRule="auto"/>
        <w:ind w:firstLine="420" w:firstLineChars="200"/>
        <w:textAlignment w:val="baseline"/>
        <w:rPr>
          <w:rFonts w:ascii="Times New Roman" w:eastAsia="宋体" w:hAnsi="Times New Roman" w:cs="Times New Roman"/>
          <w:color w:val="000000"/>
          <w:szCs w:val="20"/>
        </w:rPr>
      </w:pPr>
      <w:r>
        <w:rPr>
          <w:rFonts w:ascii="Times New Roman" w:eastAsia="宋体" w:hAnsi="Times New Roman" w:cs="Times New Roman" w:hint="eastAsia"/>
          <w:color w:val="000000"/>
          <w:szCs w:val="20"/>
        </w:rPr>
        <w:t>3</w:t>
      </w:r>
      <w:r w:rsidRPr="00B2116C">
        <w:rPr>
          <w:rFonts w:ascii="Times New Roman" w:eastAsia="宋体" w:hAnsi="Times New Roman" w:cs="Times New Roman" w:hint="eastAsia"/>
          <w:color w:val="000000"/>
          <w:szCs w:val="20"/>
        </w:rPr>
        <w:t>、</w:t>
      </w:r>
      <w:r w:rsidRPr="00B2116C" w:rsidR="00B2116C">
        <w:rPr>
          <w:rFonts w:ascii="Times New Roman" w:eastAsia="宋体" w:hAnsi="Times New Roman" w:cs="Times New Roman" w:hint="eastAsia"/>
          <w:color w:val="000000"/>
          <w:szCs w:val="20"/>
        </w:rPr>
        <w:t>设备供应商对投标产品提供至少</w:t>
      </w:r>
      <w:r w:rsidRPr="00B2116C" w:rsidR="00B2116C">
        <w:rPr>
          <w:rFonts w:ascii="Times New Roman" w:eastAsia="宋体" w:hAnsi="Times New Roman" w:cs="Times New Roman" w:hint="eastAsia"/>
          <w:color w:val="000000"/>
          <w:szCs w:val="20"/>
        </w:rPr>
        <w:t>2</w:t>
      </w:r>
      <w:r w:rsidRPr="00B2116C" w:rsidR="00B2116C">
        <w:rPr>
          <w:rFonts w:ascii="Times New Roman" w:eastAsia="宋体" w:hAnsi="Times New Roman" w:cs="Times New Roman" w:hint="eastAsia"/>
          <w:color w:val="000000"/>
          <w:szCs w:val="20"/>
        </w:rPr>
        <w:t>次技术培训，培训课时不少于</w:t>
      </w:r>
      <w:r w:rsidRPr="00B2116C" w:rsidR="00B2116C">
        <w:rPr>
          <w:rFonts w:ascii="Times New Roman" w:eastAsia="宋体" w:hAnsi="Times New Roman" w:cs="Times New Roman" w:hint="eastAsia"/>
          <w:color w:val="000000"/>
          <w:szCs w:val="20"/>
        </w:rPr>
        <w:t>8</w:t>
      </w:r>
      <w:r w:rsidRPr="00B2116C" w:rsidR="00B2116C">
        <w:rPr>
          <w:rFonts w:ascii="Times New Roman" w:eastAsia="宋体" w:hAnsi="Times New Roman" w:cs="Times New Roman" w:hint="eastAsia"/>
          <w:color w:val="000000"/>
          <w:szCs w:val="20"/>
        </w:rPr>
        <w:t>个课时，每课时</w:t>
      </w:r>
      <w:r w:rsidRPr="00B2116C" w:rsidR="00B2116C">
        <w:rPr>
          <w:rFonts w:ascii="Times New Roman" w:eastAsia="宋体" w:hAnsi="Times New Roman" w:cs="Times New Roman" w:hint="eastAsia"/>
          <w:color w:val="000000"/>
          <w:szCs w:val="20"/>
        </w:rPr>
        <w:t>45</w:t>
      </w:r>
      <w:r w:rsidRPr="00B2116C" w:rsidR="00B2116C">
        <w:rPr>
          <w:rFonts w:ascii="Times New Roman" w:eastAsia="宋体" w:hAnsi="Times New Roman" w:cs="Times New Roman" w:hint="eastAsia"/>
          <w:color w:val="000000"/>
          <w:szCs w:val="20"/>
        </w:rPr>
        <w:t>分钟，培训人数不少于</w:t>
      </w:r>
      <w:r w:rsidRPr="00B2116C" w:rsidR="00B2116C">
        <w:rPr>
          <w:rFonts w:ascii="Times New Roman" w:eastAsia="宋体" w:hAnsi="Times New Roman" w:cs="Times New Roman" w:hint="eastAsia"/>
          <w:color w:val="000000"/>
          <w:szCs w:val="20"/>
        </w:rPr>
        <w:t>5</w:t>
      </w:r>
      <w:r w:rsidRPr="00B2116C" w:rsidR="00B2116C">
        <w:rPr>
          <w:rFonts w:ascii="Times New Roman" w:eastAsia="宋体" w:hAnsi="Times New Roman" w:cs="Times New Roman" w:hint="eastAsia"/>
          <w:color w:val="000000"/>
          <w:szCs w:val="20"/>
        </w:rPr>
        <w:t>人；</w:t>
      </w:r>
      <w:r w:rsidRPr="00B2116C">
        <w:rPr>
          <w:rFonts w:ascii="Times New Roman" w:eastAsia="宋体" w:hAnsi="Times New Roman" w:cs="Times New Roman" w:hint="eastAsia"/>
          <w:color w:val="000000"/>
          <w:szCs w:val="20"/>
        </w:rPr>
        <w:t>培训在采购方指定地点进行；培训讲师为项目主要开发人员；培训内容包括日常操作、维护、常见故</w:t>
      </w:r>
      <w:r>
        <w:rPr>
          <w:rFonts w:ascii="Times New Roman" w:eastAsia="宋体" w:hAnsi="Times New Roman" w:cs="Times New Roman" w:hint="eastAsia"/>
          <w:color w:val="000000"/>
          <w:szCs w:val="20"/>
        </w:rPr>
        <w:t>障排除、紧急情况处理等；培训应采取课堂讲解和实操训练相结合的方式，保证受训人员能独立进行操作。</w:t>
      </w:r>
    </w:p>
    <w:p w:rsidR="003736CA">
      <w:pPr>
        <w:spacing w:line="360" w:lineRule="auto"/>
        <w:ind w:firstLine="420" w:firstLineChars="200"/>
        <w:textAlignment w:val="baseline"/>
        <w:rPr>
          <w:rFonts w:ascii="Times New Roman" w:eastAsia="宋体" w:hAnsi="Times New Roman" w:cs="Times New Roman"/>
          <w:color w:val="000000"/>
          <w:szCs w:val="20"/>
        </w:rPr>
      </w:pPr>
      <w:r>
        <w:rPr>
          <w:rFonts w:ascii="Times New Roman" w:eastAsia="宋体" w:hAnsi="Times New Roman" w:cs="Times New Roman" w:hint="eastAsia"/>
          <w:color w:val="000000"/>
          <w:szCs w:val="20"/>
        </w:rPr>
        <w:t>4</w:t>
      </w:r>
      <w:r>
        <w:rPr>
          <w:rFonts w:ascii="Times New Roman" w:eastAsia="宋体" w:hAnsi="Times New Roman" w:cs="Times New Roman" w:hint="eastAsia"/>
          <w:color w:val="000000"/>
          <w:szCs w:val="20"/>
        </w:rPr>
        <w:t>、响应人负责搭建培训所需的环境，并提供培训教材等相关用品。</w:t>
      </w:r>
    </w:p>
    <w:p w:rsidR="003736CA">
      <w:pPr>
        <w:spacing w:line="360" w:lineRule="auto"/>
        <w:ind w:firstLine="420" w:firstLineChars="200"/>
        <w:textAlignment w:val="baseline"/>
        <w:rPr>
          <w:rFonts w:ascii="Times New Roman" w:eastAsia="宋体" w:hAnsi="Times New Roman" w:cs="Times New Roman"/>
          <w:color w:val="000000"/>
          <w:szCs w:val="20"/>
        </w:rPr>
      </w:pPr>
      <w:r>
        <w:rPr>
          <w:rFonts w:ascii="Times New Roman" w:eastAsia="宋体" w:hAnsi="Times New Roman" w:cs="Times New Roman" w:hint="eastAsia"/>
          <w:color w:val="000000"/>
          <w:szCs w:val="20"/>
        </w:rPr>
        <w:t>5</w:t>
      </w:r>
      <w:r>
        <w:rPr>
          <w:rFonts w:ascii="Times New Roman" w:eastAsia="宋体" w:hAnsi="Times New Roman" w:cs="Times New Roman" w:hint="eastAsia"/>
          <w:color w:val="000000"/>
          <w:szCs w:val="20"/>
        </w:rPr>
        <w:t>、参加培训人员的差旅食宿费用自理，响应人承担培训产生的场地、教师、培训资料、消耗品等一切费用。</w:t>
      </w:r>
    </w:p>
    <w:p w:rsidR="003736CA">
      <w:pPr>
        <w:snapToGrid w:val="0"/>
        <w:spacing w:line="360" w:lineRule="auto"/>
        <w:ind w:firstLine="420" w:firstLineChars="200"/>
        <w:outlineLvl w:val="2"/>
        <w:rPr>
          <w:rFonts w:ascii="宋体" w:hAnsi="宋体"/>
          <w:b/>
          <w:bCs/>
          <w:color w:val="000000"/>
          <w:szCs w:val="21"/>
        </w:rPr>
      </w:pPr>
      <w:r>
        <w:rPr>
          <w:rFonts w:ascii="宋体" w:hAnsi="宋体" w:hint="eastAsia"/>
          <w:b/>
          <w:bCs/>
          <w:color w:val="000000"/>
          <w:szCs w:val="21"/>
        </w:rPr>
        <w:t>六</w:t>
      </w:r>
      <w:r>
        <w:rPr>
          <w:rFonts w:ascii="宋体" w:hAnsi="宋体"/>
          <w:b/>
          <w:bCs/>
          <w:color w:val="000000"/>
          <w:szCs w:val="21"/>
        </w:rPr>
        <w:t>、验收</w:t>
      </w:r>
      <w:r>
        <w:rPr>
          <w:rFonts w:ascii="宋体" w:hAnsi="宋体" w:hint="eastAsia"/>
          <w:b/>
          <w:bCs/>
          <w:color w:val="000000"/>
          <w:szCs w:val="21"/>
        </w:rPr>
        <w:t>与成果交付</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1</w:t>
      </w:r>
      <w:r>
        <w:rPr>
          <w:rFonts w:ascii="Times New Roman" w:eastAsia="宋体" w:hAnsi="Times New Roman" w:cs="Times New Roman" w:hint="eastAsia"/>
          <w:szCs w:val="21"/>
        </w:rPr>
        <w:t>、验收过程：</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a</w:t>
      </w:r>
      <w:r>
        <w:rPr>
          <w:rFonts w:ascii="Times New Roman" w:eastAsia="宋体" w:hAnsi="Times New Roman" w:cs="Times New Roman" w:hint="eastAsia"/>
          <w:szCs w:val="21"/>
        </w:rPr>
        <w:t>）响应人提出验收申请；</w:t>
      </w:r>
      <w:r>
        <w:rPr>
          <w:rFonts w:ascii="Times New Roman" w:eastAsia="宋体" w:hAnsi="Times New Roman" w:cs="Times New Roman" w:hint="eastAsia"/>
          <w:szCs w:val="21"/>
        </w:rPr>
        <w:t>b</w:t>
      </w:r>
      <w:r>
        <w:rPr>
          <w:rFonts w:ascii="Times New Roman" w:eastAsia="宋体" w:hAnsi="Times New Roman" w:cs="Times New Roman" w:hint="eastAsia"/>
          <w:szCs w:val="21"/>
        </w:rPr>
        <w:t>）采购方同意验收，响应</w:t>
      </w:r>
      <w:r>
        <w:rPr>
          <w:rFonts w:ascii="Times New Roman" w:eastAsia="宋体" w:hAnsi="Times New Roman" w:cs="Times New Roman" w:hint="eastAsia"/>
          <w:szCs w:val="21"/>
        </w:rPr>
        <w:t>人制</w:t>
      </w:r>
      <w:r>
        <w:rPr>
          <w:rFonts w:ascii="Times New Roman" w:eastAsia="宋体" w:hAnsi="Times New Roman" w:cs="Times New Roman" w:hint="eastAsia"/>
          <w:szCs w:val="21"/>
        </w:rPr>
        <w:t>定验收计划；</w:t>
      </w:r>
      <w:r>
        <w:rPr>
          <w:rFonts w:ascii="Times New Roman" w:eastAsia="宋体" w:hAnsi="Times New Roman" w:cs="Times New Roman" w:hint="eastAsia"/>
          <w:szCs w:val="21"/>
        </w:rPr>
        <w:t>c</w:t>
      </w:r>
      <w:r>
        <w:rPr>
          <w:rFonts w:ascii="Times New Roman" w:eastAsia="宋体" w:hAnsi="Times New Roman" w:cs="Times New Roman" w:hint="eastAsia"/>
          <w:szCs w:val="21"/>
        </w:rPr>
        <w:t>）采购方成立测试专家组和验收专家组；</w:t>
      </w:r>
      <w:r>
        <w:rPr>
          <w:rFonts w:ascii="Times New Roman" w:eastAsia="宋体" w:hAnsi="Times New Roman" w:cs="Times New Roman" w:hint="eastAsia"/>
          <w:szCs w:val="21"/>
        </w:rPr>
        <w:t>d</w:t>
      </w:r>
      <w:r>
        <w:rPr>
          <w:rFonts w:ascii="Times New Roman" w:eastAsia="宋体" w:hAnsi="Times New Roman" w:cs="Times New Roman" w:hint="eastAsia"/>
          <w:szCs w:val="21"/>
        </w:rPr>
        <w:t>）进行验收测试；</w:t>
      </w:r>
      <w:r>
        <w:rPr>
          <w:rFonts w:ascii="Times New Roman" w:eastAsia="宋体" w:hAnsi="Times New Roman" w:cs="Times New Roman" w:hint="eastAsia"/>
          <w:szCs w:val="21"/>
        </w:rPr>
        <w:t>e</w:t>
      </w:r>
      <w:r>
        <w:rPr>
          <w:rFonts w:ascii="Times New Roman" w:eastAsia="宋体" w:hAnsi="Times New Roman" w:cs="Times New Roman" w:hint="eastAsia"/>
          <w:szCs w:val="21"/>
        </w:rPr>
        <w:t>）进行验收；</w:t>
      </w:r>
      <w:r>
        <w:rPr>
          <w:rFonts w:ascii="Times New Roman" w:eastAsia="宋体" w:hAnsi="Times New Roman" w:cs="Times New Roman" w:hint="eastAsia"/>
          <w:szCs w:val="21"/>
        </w:rPr>
        <w:t>f</w:t>
      </w:r>
      <w:r>
        <w:rPr>
          <w:rFonts w:ascii="Times New Roman" w:eastAsia="宋体" w:hAnsi="Times New Roman" w:cs="Times New Roman" w:hint="eastAsia"/>
          <w:szCs w:val="21"/>
        </w:rPr>
        <w:t>）交付产品。</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2</w:t>
      </w:r>
      <w:r>
        <w:rPr>
          <w:rFonts w:ascii="Times New Roman" w:eastAsia="宋体" w:hAnsi="Times New Roman" w:cs="Times New Roman" w:hint="eastAsia"/>
          <w:szCs w:val="21"/>
        </w:rPr>
        <w:t>、验收准则：</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a</w:t>
      </w:r>
      <w:r>
        <w:rPr>
          <w:rFonts w:ascii="Times New Roman" w:eastAsia="宋体" w:hAnsi="Times New Roman" w:cs="Times New Roman" w:hint="eastAsia"/>
          <w:szCs w:val="21"/>
        </w:rPr>
        <w:t>）产品符合可行性研究报告规定的全部功能和质量要求；</w:t>
      </w:r>
      <w:r>
        <w:rPr>
          <w:rFonts w:ascii="Times New Roman" w:eastAsia="宋体" w:hAnsi="Times New Roman" w:cs="Times New Roman" w:hint="eastAsia"/>
          <w:szCs w:val="21"/>
        </w:rPr>
        <w:t>b</w:t>
      </w:r>
      <w:r>
        <w:rPr>
          <w:rFonts w:ascii="Times New Roman" w:eastAsia="宋体" w:hAnsi="Times New Roman" w:cs="Times New Roman" w:hint="eastAsia"/>
          <w:szCs w:val="21"/>
        </w:rPr>
        <w:t>）产品须通过双方商定的测试细则所要求的所有测试；</w:t>
      </w:r>
      <w:r>
        <w:rPr>
          <w:rFonts w:ascii="Times New Roman" w:eastAsia="宋体" w:hAnsi="Times New Roman" w:cs="Times New Roman" w:hint="eastAsia"/>
          <w:szCs w:val="21"/>
        </w:rPr>
        <w:t>c</w:t>
      </w:r>
      <w:r>
        <w:rPr>
          <w:rFonts w:ascii="Times New Roman" w:eastAsia="宋体" w:hAnsi="Times New Roman" w:cs="Times New Roman" w:hint="eastAsia"/>
          <w:szCs w:val="21"/>
        </w:rPr>
        <w:t>）文档齐全，编写规范，符合有关规定；</w:t>
      </w:r>
      <w:r>
        <w:rPr>
          <w:rFonts w:ascii="Times New Roman" w:eastAsia="宋体" w:hAnsi="Times New Roman" w:cs="Times New Roman" w:hint="eastAsia"/>
          <w:szCs w:val="21"/>
        </w:rPr>
        <w:t>d</w:t>
      </w:r>
      <w:r>
        <w:rPr>
          <w:rFonts w:ascii="Times New Roman" w:eastAsia="宋体" w:hAnsi="Times New Roman" w:cs="Times New Roman" w:hint="eastAsia"/>
          <w:szCs w:val="21"/>
        </w:rPr>
        <w:t>）验收测试环境：同开发环境。</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3</w:t>
      </w:r>
      <w:r>
        <w:rPr>
          <w:rFonts w:ascii="Times New Roman" w:eastAsia="宋体" w:hAnsi="Times New Roman" w:cs="Times New Roman" w:hint="eastAsia"/>
          <w:szCs w:val="21"/>
        </w:rPr>
        <w:t>、交付：</w:t>
      </w:r>
    </w:p>
    <w:p w:rsidR="003736CA">
      <w:pPr>
        <w:spacing w:line="360" w:lineRule="auto"/>
        <w:ind w:firstLine="420" w:firstLineChars="200"/>
        <w:rPr>
          <w:rFonts w:ascii="Times New Roman" w:eastAsia="宋体" w:hAnsi="Times New Roman" w:cs="Times New Roman"/>
          <w:szCs w:val="21"/>
        </w:rPr>
      </w:pPr>
      <w:r>
        <w:rPr>
          <w:rFonts w:eastAsia="宋体" w:cs="Times New Roman" w:hint="eastAsia"/>
          <w:szCs w:val="21"/>
        </w:rPr>
        <w:t>硬件</w:t>
      </w:r>
      <w:r>
        <w:rPr>
          <w:rFonts w:ascii="Times New Roman" w:eastAsia="宋体" w:hAnsi="Times New Roman" w:cs="Times New Roman" w:hint="eastAsia"/>
          <w:szCs w:val="21"/>
        </w:rPr>
        <w:t>成果：</w:t>
      </w:r>
      <w:r>
        <w:rPr>
          <w:rFonts w:hint="eastAsia"/>
          <w:color w:val="000000"/>
        </w:rPr>
        <w:t>一套</w:t>
      </w:r>
      <w:r>
        <w:rPr>
          <w:rFonts w:ascii="宋体" w:eastAsia="宋体" w:hAnsi="宋体" w:cs="Times New Roman" w:hint="eastAsia"/>
          <w:szCs w:val="21"/>
        </w:rPr>
        <w:t>远场地基标校系统（塔基远场标校系统），包括技术指标和功能设计方案；</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软件成果：</w:t>
      </w:r>
      <w:r>
        <w:rPr>
          <w:rFonts w:ascii="Times New Roman" w:eastAsia="宋体" w:hAnsi="Times New Roman" w:cs="Times New Roman" w:hint="eastAsia"/>
          <w:szCs w:val="21"/>
        </w:rPr>
        <w:t>a</w:t>
      </w:r>
      <w:r>
        <w:rPr>
          <w:rFonts w:ascii="Times New Roman" w:eastAsia="宋体" w:hAnsi="Times New Roman" w:cs="Times New Roman" w:hint="eastAsia"/>
          <w:szCs w:val="21"/>
        </w:rPr>
        <w:t>）按要求交付与</w:t>
      </w:r>
      <w:r>
        <w:rPr>
          <w:rFonts w:ascii="宋体" w:eastAsia="宋体" w:hAnsi="宋体" w:cs="Times New Roman" w:hint="eastAsia"/>
          <w:szCs w:val="21"/>
        </w:rPr>
        <w:t>塔基远场测试和标校系统的配套</w:t>
      </w:r>
      <w:r>
        <w:rPr>
          <w:rFonts w:ascii="Times New Roman" w:eastAsia="宋体" w:hAnsi="Times New Roman" w:cs="Times New Roman" w:hint="eastAsia"/>
          <w:szCs w:val="21"/>
        </w:rPr>
        <w:t>软件相关的技术文档。并应严格按照软件工程技术规范，及时进行必要的维护和版本更新，以确保其文实相符。</w:t>
      </w:r>
      <w:r>
        <w:rPr>
          <w:rFonts w:ascii="Times New Roman" w:eastAsia="宋体" w:hAnsi="Times New Roman" w:cs="Times New Roman" w:hint="eastAsia"/>
          <w:szCs w:val="21"/>
        </w:rPr>
        <w:t>b</w:t>
      </w:r>
      <w:r>
        <w:rPr>
          <w:rFonts w:ascii="Times New Roman" w:eastAsia="宋体" w:hAnsi="Times New Roman" w:cs="Times New Roman" w:hint="eastAsia"/>
          <w:szCs w:val="21"/>
        </w:rPr>
        <w:t>）程序：源代码或可执行代码，以电子介质提供与文档相符的执行代码。</w:t>
      </w:r>
    </w:p>
    <w:p w:rsidR="003736CA">
      <w:pPr>
        <w:spacing w:line="360" w:lineRule="auto"/>
        <w:ind w:firstLine="420" w:firstLineChars="200"/>
        <w:outlineLvl w:val="2"/>
        <w:rPr>
          <w:rFonts w:ascii="Calibri" w:hAnsi="Calibri"/>
          <w:b/>
          <w:sz w:val="15"/>
        </w:rPr>
      </w:pPr>
      <w:r>
        <w:rPr>
          <w:rFonts w:ascii="Calibri" w:hAnsi="Calibri" w:hint="eastAsia"/>
          <w:b/>
          <w:color w:val="000000"/>
          <w:kern w:val="0"/>
          <w:szCs w:val="21"/>
        </w:rPr>
        <w:t>七</w:t>
      </w:r>
      <w:r>
        <w:rPr>
          <w:rFonts w:ascii="Calibri" w:hAnsi="Calibri"/>
          <w:b/>
          <w:color w:val="000000"/>
          <w:kern w:val="0"/>
          <w:szCs w:val="21"/>
        </w:rPr>
        <w:t>、</w:t>
      </w:r>
      <w:r>
        <w:rPr>
          <w:rFonts w:ascii="Calibri" w:hAnsi="Calibri"/>
          <w:b/>
          <w:color w:val="000000"/>
          <w:kern w:val="0"/>
          <w:szCs w:val="21"/>
        </w:rPr>
        <w:t>售后</w:t>
      </w:r>
      <w:r>
        <w:rPr>
          <w:rFonts w:ascii="Calibri" w:hAnsi="Calibri" w:hint="eastAsia"/>
          <w:b/>
          <w:color w:val="000000"/>
          <w:kern w:val="0"/>
          <w:szCs w:val="21"/>
        </w:rPr>
        <w:t>维保</w:t>
      </w:r>
      <w:r>
        <w:rPr>
          <w:rFonts w:ascii="Calibri" w:hAnsi="Calibri"/>
          <w:b/>
          <w:color w:val="000000"/>
          <w:kern w:val="0"/>
          <w:szCs w:val="21"/>
        </w:rPr>
        <w:t>服务</w:t>
      </w:r>
      <w:r>
        <w:rPr>
          <w:rFonts w:ascii="Calibri" w:hAnsi="Calibri" w:hint="eastAsia"/>
          <w:b/>
          <w:color w:val="000000"/>
          <w:kern w:val="0"/>
          <w:szCs w:val="21"/>
        </w:rPr>
        <w:t>要求</w:t>
      </w:r>
    </w:p>
    <w:p w:rsidR="003736CA">
      <w:pPr>
        <w:spacing w:line="360" w:lineRule="auto"/>
        <w:ind w:firstLine="420" w:firstLineChars="200"/>
        <w:rPr>
          <w:rFonts w:ascii="宋体" w:eastAsia="宋体" w:hAnsi="宋体" w:cs="Times New Roman"/>
          <w:szCs w:val="21"/>
        </w:rPr>
      </w:pPr>
      <w:r w:rsidRPr="00386CE8">
        <w:rPr>
          <w:rFonts w:ascii="Times New Roman" w:eastAsia="宋体" w:hAnsi="Times New Roman" w:cs="Times New Roman" w:hint="eastAsia"/>
          <w:szCs w:val="21"/>
          <w:highlight w:val="yellow"/>
        </w:rPr>
        <w:t>设备供应商对所有设备提供自验收合格后</w:t>
      </w:r>
      <w:r w:rsidRPr="00386CE8">
        <w:rPr>
          <w:rFonts w:ascii="Times New Roman" w:eastAsia="宋体" w:hAnsi="Times New Roman" w:cs="Times New Roman" w:hint="eastAsia"/>
          <w:szCs w:val="21"/>
          <w:highlight w:val="yellow"/>
        </w:rPr>
        <w:t>8</w:t>
      </w:r>
      <w:r w:rsidRPr="00386CE8">
        <w:rPr>
          <w:rFonts w:ascii="Times New Roman" w:eastAsia="宋体" w:hAnsi="Times New Roman" w:cs="Times New Roman" w:hint="eastAsia"/>
          <w:szCs w:val="21"/>
          <w:highlight w:val="yellow"/>
        </w:rPr>
        <w:t>年的质保服务</w:t>
      </w:r>
      <w:r w:rsidRPr="00386CE8">
        <w:rPr>
          <w:rFonts w:ascii="Times New Roman" w:eastAsia="宋体" w:hAnsi="Times New Roman" w:cs="Times New Roman" w:hint="eastAsia"/>
          <w:szCs w:val="21"/>
          <w:highlight w:val="yellow"/>
        </w:rPr>
        <w:t>*</w:t>
      </w:r>
      <w:r w:rsidRPr="00386CE8">
        <w:rPr>
          <w:rFonts w:ascii="Times New Roman" w:eastAsia="宋体" w:hAnsi="Times New Roman" w:cs="Times New Roman" w:hint="eastAsia"/>
          <w:szCs w:val="21"/>
          <w:highlight w:val="yellow"/>
        </w:rPr>
        <w:t>，需提供设备质</w:t>
      </w:r>
      <w:r w:rsidRPr="00386CE8">
        <w:rPr>
          <w:rFonts w:ascii="Times New Roman" w:eastAsia="宋体" w:hAnsi="Times New Roman" w:cs="Times New Roman" w:hint="eastAsia"/>
          <w:szCs w:val="21"/>
          <w:highlight w:val="yellow"/>
        </w:rPr>
        <w:t>保承诺</w:t>
      </w:r>
      <w:r w:rsidRPr="00386CE8">
        <w:rPr>
          <w:rFonts w:ascii="Times New Roman" w:eastAsia="宋体" w:hAnsi="Times New Roman" w:cs="Times New Roman" w:hint="eastAsia"/>
          <w:szCs w:val="21"/>
          <w:highlight w:val="yellow"/>
        </w:rPr>
        <w:t>函原件（格式自拟）。</w:t>
      </w:r>
      <w:r w:rsidR="00403E07">
        <w:rPr>
          <w:rFonts w:ascii="宋体" w:eastAsia="宋体" w:hAnsi="宋体" w:cs="Times New Roman" w:hint="eastAsia"/>
          <w:szCs w:val="21"/>
        </w:rPr>
        <w:t>质保期内，响应人须配备一支稳定的专业技术服务团队，负责产品的一切维护工作，并提供详细的售后服务计划，包括售后服务方式、人员配置、服务期限、故障响应及维修时间等。项目验收完成后响应人需提供八年免费技术升级</w:t>
      </w:r>
      <w:r w:rsidR="00403E07">
        <w:rPr>
          <w:rFonts w:ascii="宋体" w:eastAsia="宋体" w:hAnsi="宋体" w:cs="Times New Roman" w:hint="eastAsia"/>
          <w:szCs w:val="21"/>
        </w:rPr>
        <w:t>及维保服务</w:t>
      </w:r>
      <w:r w:rsidR="00403E07">
        <w:rPr>
          <w:rFonts w:ascii="宋体" w:eastAsia="宋体" w:hAnsi="宋体" w:cs="Times New Roman" w:hint="eastAsia"/>
          <w:szCs w:val="21"/>
        </w:rPr>
        <w:t>，包括但不限于业务软件功能升级、算法更新集成、电话疑难问题解答、远程技术指导、远程运维保障、派遣技术人员现场运维等，涉及的费用由响应人承担。</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）响应人技术人员应提供</w:t>
      </w:r>
      <w:r>
        <w:rPr>
          <w:rFonts w:ascii="Times New Roman" w:eastAsia="宋体" w:hAnsi="Times New Roman" w:cs="Times New Roman" w:hint="eastAsia"/>
          <w:szCs w:val="21"/>
        </w:rPr>
        <w:t>7*24</w:t>
      </w:r>
      <w:r>
        <w:rPr>
          <w:rFonts w:ascii="Times New Roman" w:eastAsia="宋体" w:hAnsi="Times New Roman" w:cs="Times New Roman" w:hint="eastAsia"/>
          <w:szCs w:val="21"/>
        </w:rPr>
        <w:t>小时的服务响应，随时进行电话应答，指导用户排除故障。</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）在系统出现故障后，</w:t>
      </w:r>
      <w:r>
        <w:rPr>
          <w:rFonts w:ascii="Times New Roman" w:eastAsia="宋体" w:hAnsi="Times New Roman" w:cs="Times New Roman" w:hint="eastAsia"/>
          <w:szCs w:val="21"/>
        </w:rPr>
        <w:t>30</w:t>
      </w:r>
      <w:r>
        <w:rPr>
          <w:rFonts w:ascii="Times New Roman" w:eastAsia="宋体" w:hAnsi="Times New Roman" w:cs="Times New Roman" w:hint="eastAsia"/>
          <w:szCs w:val="21"/>
        </w:rPr>
        <w:t>分钟内完成远程登陆诊断。</w:t>
      </w:r>
    </w:p>
    <w:p w:rsidR="003736CA">
      <w:pPr>
        <w:spacing w:line="360" w:lineRule="auto"/>
        <w:ind w:firstLine="420" w:firstLineChars="200"/>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3</w:t>
      </w:r>
      <w:r>
        <w:rPr>
          <w:rFonts w:ascii="Times New Roman" w:eastAsia="宋体" w:hAnsi="Times New Roman" w:cs="Times New Roman" w:hint="eastAsia"/>
          <w:szCs w:val="21"/>
        </w:rPr>
        <w:t>）出现用户解决不了的技术或质量问题时，响应人应在</w:t>
      </w:r>
      <w:r>
        <w:rPr>
          <w:rFonts w:ascii="Times New Roman" w:eastAsia="宋体" w:hAnsi="Times New Roman" w:cs="Times New Roman" w:hint="eastAsia"/>
          <w:szCs w:val="21"/>
        </w:rPr>
        <w:t>48</w:t>
      </w:r>
      <w:r>
        <w:rPr>
          <w:rFonts w:ascii="Times New Roman" w:eastAsia="宋体" w:hAnsi="Times New Roman" w:cs="Times New Roman" w:hint="eastAsia"/>
          <w:szCs w:val="21"/>
        </w:rPr>
        <w:t>小时内派技术人员赴现场解决问题，技术人员所发生的差旅费由响应方自行承担。</w:t>
      </w:r>
    </w:p>
    <w:p w:rsidR="00386CE8" w:rsidRPr="00A33EFA" w:rsidP="00A33EFA">
      <w:pPr>
        <w:spacing w:line="360" w:lineRule="auto"/>
        <w:ind w:firstLine="420" w:firstLineChars="200"/>
        <w:outlineLvl w:val="2"/>
        <w:rPr>
          <w:rFonts w:ascii="Calibri" w:hAnsi="Calibri"/>
          <w:b/>
          <w:color w:val="000000"/>
          <w:kern w:val="0"/>
          <w:szCs w:val="21"/>
        </w:rPr>
      </w:pPr>
      <w:r>
        <w:rPr>
          <w:rFonts w:ascii="Calibri" w:hAnsi="Calibri" w:hint="eastAsia"/>
          <w:b/>
          <w:color w:val="000000"/>
          <w:kern w:val="0"/>
          <w:szCs w:val="21"/>
        </w:rPr>
        <w:t>八</w:t>
      </w:r>
      <w:r w:rsidRPr="00A33EFA">
        <w:rPr>
          <w:rFonts w:ascii="Calibri" w:hAnsi="Calibri" w:hint="eastAsia"/>
          <w:b/>
          <w:color w:val="000000"/>
          <w:kern w:val="0"/>
          <w:szCs w:val="21"/>
        </w:rPr>
        <w:t>、交货要求及履约地点</w:t>
      </w:r>
    </w:p>
    <w:p w:rsidR="00386CE8" w:rsidRPr="00386CE8" w:rsidP="00386CE8">
      <w:pPr>
        <w:spacing w:line="360" w:lineRule="auto"/>
        <w:ind w:firstLine="420" w:firstLineChars="200"/>
        <w:rPr>
          <w:rFonts w:ascii="Times New Roman" w:eastAsia="宋体" w:hAnsi="Times New Roman" w:cs="Times New Roman"/>
          <w:szCs w:val="21"/>
        </w:rPr>
      </w:pPr>
      <w:r w:rsidRPr="00386CE8">
        <w:rPr>
          <w:rFonts w:ascii="Times New Roman" w:eastAsia="宋体" w:hAnsi="Times New Roman" w:cs="Times New Roman" w:hint="eastAsia"/>
          <w:szCs w:val="21"/>
        </w:rPr>
        <w:t>中标供应商将所有设备运送至</w:t>
      </w:r>
      <w:r>
        <w:rPr>
          <w:rFonts w:ascii="Times New Roman" w:eastAsia="宋体" w:hAnsi="Times New Roman" w:cs="Times New Roman" w:hint="eastAsia"/>
          <w:szCs w:val="21"/>
        </w:rPr>
        <w:t>北京</w:t>
      </w:r>
      <w:r w:rsidRPr="00386CE8">
        <w:rPr>
          <w:rFonts w:ascii="Times New Roman" w:eastAsia="宋体" w:hAnsi="Times New Roman" w:cs="Times New Roman" w:hint="eastAsia"/>
          <w:szCs w:val="21"/>
        </w:rPr>
        <w:t>（运输相关费用由供应商负责），并负责安装调试。</w:t>
      </w:r>
    </w:p>
    <w:p w:rsidR="00386CE8" w:rsidP="00386CE8">
      <w:pPr>
        <w:spacing w:line="360" w:lineRule="auto"/>
        <w:ind w:firstLine="420" w:firstLineChars="200"/>
        <w:rPr>
          <w:rFonts w:ascii="Times New Roman" w:eastAsia="宋体" w:hAnsi="Times New Roman" w:cs="Times New Roman"/>
          <w:szCs w:val="21"/>
        </w:rPr>
      </w:pPr>
      <w:r w:rsidRPr="00386CE8">
        <w:rPr>
          <w:rFonts w:ascii="Times New Roman" w:eastAsia="宋体" w:hAnsi="Times New Roman" w:cs="Times New Roman" w:hint="eastAsia"/>
          <w:szCs w:val="21"/>
        </w:rPr>
        <w:t>合同签订后</w:t>
      </w:r>
      <w:r w:rsidRPr="00386CE8">
        <w:rPr>
          <w:rFonts w:ascii="Times New Roman" w:eastAsia="宋体" w:hAnsi="Times New Roman" w:cs="Times New Roman" w:hint="eastAsia"/>
          <w:szCs w:val="21"/>
        </w:rPr>
        <w:t>12</w:t>
      </w:r>
      <w:r w:rsidRPr="00386CE8">
        <w:rPr>
          <w:rFonts w:ascii="Times New Roman" w:eastAsia="宋体" w:hAnsi="Times New Roman" w:cs="Times New Roman" w:hint="eastAsia"/>
          <w:szCs w:val="21"/>
        </w:rPr>
        <w:t>个月内完成交货、安装调试并具备验收条件</w:t>
      </w:r>
      <w:r>
        <w:rPr>
          <w:rFonts w:ascii="Times New Roman" w:eastAsia="宋体" w:hAnsi="Times New Roman" w:cs="Times New Roman" w:hint="eastAsia"/>
          <w:szCs w:val="21"/>
        </w:rPr>
        <w:t>。</w:t>
      </w:r>
    </w:p>
    <w:p w:rsidR="003736CA">
      <w:pPr>
        <w:spacing w:line="360" w:lineRule="auto"/>
        <w:ind w:firstLine="420" w:firstLineChars="200"/>
        <w:outlineLvl w:val="2"/>
        <w:rPr>
          <w:rFonts w:ascii="Calibri" w:hAnsi="Calibri"/>
          <w:b/>
          <w:color w:val="000000"/>
          <w:kern w:val="0"/>
          <w:szCs w:val="21"/>
        </w:rPr>
      </w:pPr>
      <w:r>
        <w:rPr>
          <w:rFonts w:ascii="Calibri" w:hAnsi="Calibri" w:hint="eastAsia"/>
          <w:b/>
          <w:color w:val="000000"/>
          <w:kern w:val="0"/>
          <w:szCs w:val="21"/>
        </w:rPr>
        <w:t>九</w:t>
      </w:r>
      <w:r w:rsidR="00403E07">
        <w:rPr>
          <w:rFonts w:ascii="Calibri" w:hAnsi="Calibri" w:hint="eastAsia"/>
          <w:b/>
          <w:color w:val="000000"/>
          <w:kern w:val="0"/>
          <w:szCs w:val="21"/>
        </w:rPr>
        <w:t>、知识产权原则</w:t>
      </w:r>
    </w:p>
    <w:p w:rsidR="003736CA">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项目所有知识产权归采购方所有，响应人同时应保证该项目执行过程中所应用的算法、程序和软件等没有知识产权纠纷。</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相控阵天气雷达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1,850,000.00</w:t>
            </w:r>
          </w:p>
        </w:tc>
        <w:tc>
          <w:tcPr/>
          <w:p>
            <w:pPr>
              <w:autoSpaceDE w:val="0"/>
              <w:jc w:val="center"/>
              <w:rPr>
                <w:rFonts w:asciiTheme="minorEastAsia" w:hAnsiTheme="minorEastAsia" w:cstheme="minorEastAsia" w:hint="eastAsia"/>
                <w:kern w:val="0"/>
                <w:szCs w:val="21"/>
              </w:rPr>
            </w:pPr>
            <w:r>
              <w:t>365</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1,850,000.00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88"/>
        <w:gridCol w:w="1810"/>
        <w:gridCol w:w="1528"/>
        <w:gridCol w:w="588"/>
        <w:gridCol w:w="1340"/>
        <w:gridCol w:w="1117"/>
        <w:gridCol w:w="964"/>
        <w:gridCol w:w="58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工程室(001023108)</w:t>
            </w:r>
          </w:p>
        </w:tc>
        <w:tc>
          <w:tcPr/>
          <w:p>
            <w:r>
              <w:t>相控阵天气雷达</w:t>
            </w:r>
          </w:p>
        </w:tc>
        <w:tc>
          <w:tcPr/>
          <w:p>
            <w:r>
              <w:t>1</w:t>
            </w:r>
          </w:p>
        </w:tc>
        <w:tc>
          <w:tcPr/>
          <w:p>
            <w:r>
              <w:t>1850000.00</w:t>
            </w:r>
          </w:p>
        </w:tc>
        <w:tc>
          <w:tcPr/>
          <w:p>
            <w:r>
              <w:t xml:space="preserve">1850000.00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rsidR="00694E42">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94E42">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E7398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94E42">
            <w:pPr>
              <w:rPr>
                <w:sz w:val="18"/>
                <w:szCs w:val="18"/>
              </w:rPr>
            </w:pPr>
            <w:r>
              <w:rPr>
                <w:rFonts w:hint="eastAsia"/>
                <w:sz w:val="18"/>
                <w:szCs w:val="18"/>
              </w:rPr>
              <w:t>序号</w:t>
            </w:r>
          </w:p>
        </w:tc>
        <w:tc>
          <w:tcPr>
            <w:tcW w:w="898" w:type="dxa"/>
            <w:vAlign w:val="center"/>
          </w:tcPr>
          <w:p w:rsidR="00694E42">
            <w:pPr>
              <w:jc w:val="center"/>
              <w:rPr>
                <w:sz w:val="18"/>
                <w:szCs w:val="18"/>
              </w:rPr>
            </w:pPr>
            <w:r>
              <w:rPr>
                <w:rFonts w:hint="eastAsia"/>
                <w:sz w:val="18"/>
                <w:szCs w:val="18"/>
              </w:rPr>
              <w:t>对应</w:t>
            </w:r>
          </w:p>
          <w:p w:rsidR="00694E42">
            <w:pPr>
              <w:jc w:val="center"/>
              <w:rPr>
                <w:sz w:val="18"/>
                <w:szCs w:val="18"/>
              </w:rPr>
            </w:pPr>
            <w:r>
              <w:rPr>
                <w:rFonts w:hint="eastAsia"/>
                <w:sz w:val="18"/>
                <w:szCs w:val="18"/>
              </w:rPr>
              <w:t>条款号</w:t>
            </w:r>
          </w:p>
        </w:tc>
        <w:tc>
          <w:tcPr>
            <w:tcW w:w="7347" w:type="dxa"/>
            <w:vAlign w:val="center"/>
          </w:tcPr>
          <w:p w:rsidR="00694E42">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E7398E">
        <w:tblPrEx>
          <w:tblW w:w="8789" w:type="dxa"/>
          <w:tblLayout w:type="fixed"/>
          <w:tblLook w:val="04A0"/>
        </w:tblPrEx>
        <w:trPr>
          <w:cantSplit/>
        </w:trPr>
        <w:tc>
          <w:tcPr>
            <w:tcW w:w="8789" w:type="dxa"/>
            <w:gridSpan w:val="3"/>
            <w:vAlign w:val="center"/>
          </w:tcPr>
          <w:p w:rsidR="00694E42">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E7398E">
        <w:tblPrEx>
          <w:tblW w:w="8789" w:type="dxa"/>
          <w:tblLayout w:type="fixed"/>
          <w:tblLook w:val="04A0"/>
        </w:tblPrEx>
        <w:trPr>
          <w:cantSplit/>
        </w:trPr>
        <w:tc>
          <w:tcPr>
            <w:tcW w:w="544" w:type="dxa"/>
            <w:vAlign w:val="center"/>
          </w:tcPr>
          <w:p w:rsidR="00694E42">
            <w:pPr>
              <w:numPr>
                <w:ilvl w:val="0"/>
                <w:numId w:val="15"/>
              </w:numPr>
              <w:rPr>
                <w:rFonts w:ascii="宋体" w:hAnsi="宋体"/>
                <w:sz w:val="18"/>
                <w:szCs w:val="18"/>
              </w:rPr>
            </w:pPr>
          </w:p>
        </w:tc>
        <w:tc>
          <w:tcPr>
            <w:tcW w:w="898" w:type="dxa"/>
            <w:vAlign w:val="center"/>
          </w:tcPr>
          <w:p w:rsidR="00694E42">
            <w:pPr>
              <w:jc w:val="center"/>
              <w:rPr>
                <w:rFonts w:ascii="宋体" w:hAnsi="宋体"/>
                <w:sz w:val="18"/>
                <w:szCs w:val="18"/>
              </w:rPr>
            </w:pPr>
          </w:p>
        </w:tc>
        <w:tc>
          <w:tcPr>
            <w:tcW w:w="7347" w:type="dxa"/>
          </w:tcPr>
          <w:p w:rsidR="00694E42">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E7398E">
        <w:tblPrEx>
          <w:tblW w:w="8789" w:type="dxa"/>
          <w:tblLayout w:type="fixed"/>
          <w:tblLook w:val="04A0"/>
        </w:tblPrEx>
        <w:trPr>
          <w:cantSplit/>
        </w:trPr>
        <w:tc>
          <w:tcPr>
            <w:tcW w:w="8789" w:type="dxa"/>
            <w:gridSpan w:val="3"/>
            <w:vAlign w:val="center"/>
          </w:tcPr>
          <w:p w:rsidR="00694E42">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C20078">
        <w:tblPrEx>
          <w:tblW w:w="8789" w:type="dxa"/>
          <w:tblLayout w:type="fixed"/>
          <w:tblLook w:val="04A0"/>
        </w:tblPrEx>
        <w:trPr>
          <w:cantSplit/>
        </w:trPr>
        <w:tc>
          <w:tcPr>
            <w:tcW w:w="544" w:type="dxa"/>
            <w:vAlign w:val="center"/>
          </w:tcPr>
          <w:p w:rsidR="00E7398E" w:rsidP="00E7398E">
            <w:pPr>
              <w:numPr>
                <w:ilvl w:val="0"/>
                <w:numId w:val="15"/>
              </w:numPr>
              <w:rPr>
                <w:rFonts w:ascii="宋体" w:hAnsi="宋体"/>
                <w:sz w:val="18"/>
                <w:szCs w:val="18"/>
              </w:rPr>
            </w:pPr>
          </w:p>
        </w:tc>
        <w:tc>
          <w:tcPr>
            <w:tcW w:w="898" w:type="dxa"/>
            <w:vAlign w:val="center"/>
          </w:tcPr>
          <w:p w:rsidR="00E7398E" w:rsidP="00E7398E">
            <w:pPr>
              <w:jc w:val="center"/>
              <w:rPr>
                <w:rFonts w:ascii="宋体" w:hAnsi="宋体"/>
                <w:sz w:val="18"/>
                <w:szCs w:val="18"/>
              </w:rPr>
            </w:pPr>
            <w:r w:rsidRPr="00811E02">
              <w:rPr>
                <w:rFonts w:ascii="宋体" w:hAnsi="宋体" w:hint="eastAsia"/>
                <w:sz w:val="18"/>
                <w:szCs w:val="18"/>
              </w:rPr>
              <w:t>七、</w:t>
            </w:r>
            <w:r w:rsidRPr="00811E02">
              <w:rPr>
                <w:rFonts w:ascii="宋体" w:hAnsi="宋体" w:hint="eastAsia"/>
                <w:sz w:val="18"/>
                <w:szCs w:val="18"/>
              </w:rPr>
              <w:t>售后维保服务</w:t>
            </w:r>
            <w:r w:rsidRPr="00811E02">
              <w:rPr>
                <w:rFonts w:ascii="宋体" w:hAnsi="宋体" w:hint="eastAsia"/>
                <w:sz w:val="18"/>
                <w:szCs w:val="18"/>
              </w:rPr>
              <w:t>要求</w:t>
            </w:r>
          </w:p>
        </w:tc>
        <w:tc>
          <w:tcPr>
            <w:tcW w:w="7347" w:type="dxa"/>
          </w:tcPr>
          <w:p w:rsidR="00E7398E" w:rsidP="00811E02">
            <w:pPr>
              <w:tabs>
                <w:tab w:val="left" w:pos="709"/>
              </w:tabs>
              <w:spacing w:line="360" w:lineRule="auto"/>
              <w:jc w:val="left"/>
              <w:rPr>
                <w:rFonts w:ascii="宋体" w:hAnsi="宋体"/>
                <w:sz w:val="18"/>
                <w:szCs w:val="18"/>
              </w:rPr>
            </w:pPr>
            <w:r w:rsidRPr="00811E02">
              <w:rPr>
                <w:rFonts w:ascii="宋体" w:hAnsi="宋体" w:cs="微软雅黑" w:hint="eastAsia"/>
                <w:b/>
                <w:color w:val="0000FF"/>
                <w:kern w:val="0"/>
                <w:sz w:val="18"/>
                <w:szCs w:val="18"/>
              </w:rPr>
              <w:t>设备供应商对所有设备提供自验收合格后8年的质保服务*，需提供设备质</w:t>
            </w:r>
            <w:r w:rsidRPr="00811E02">
              <w:rPr>
                <w:rFonts w:ascii="宋体" w:hAnsi="宋体" w:cs="微软雅黑" w:hint="eastAsia"/>
                <w:b/>
                <w:color w:val="0000FF"/>
                <w:kern w:val="0"/>
                <w:sz w:val="18"/>
                <w:szCs w:val="18"/>
              </w:rPr>
              <w:t>保承诺</w:t>
            </w:r>
            <w:r w:rsidRPr="00811E02">
              <w:rPr>
                <w:rFonts w:ascii="宋体" w:hAnsi="宋体" w:cs="微软雅黑" w:hint="eastAsia"/>
                <w:b/>
                <w:color w:val="0000FF"/>
                <w:kern w:val="0"/>
                <w:sz w:val="18"/>
                <w:szCs w:val="18"/>
              </w:rPr>
              <w:t>函原件（格式自拟）。</w:t>
            </w:r>
          </w:p>
        </w:tc>
      </w:tr>
    </w:tbl>
    <w:p w:rsidR="00694E42">
      <w:pPr>
        <w:spacing w:before="156" w:beforeLines="50" w:line="360" w:lineRule="auto"/>
        <w:ind w:firstLine="420"/>
      </w:pPr>
      <w:r>
        <w:rPr>
          <w:rFonts w:ascii="宋体" w:hAnsi="宋体" w:hint="eastAsia"/>
          <w:szCs w:val="21"/>
        </w:rPr>
        <w:t>注：根据项目具体情况，对投标人有具体要求</w:t>
      </w:r>
      <w:r>
        <w:rPr>
          <w:rFonts w:ascii="宋体" w:hAnsi="宋体" w:hint="eastAsia"/>
          <w:szCs w:val="21"/>
        </w:rPr>
        <w:t>，且投标人必须遵守的，逐条列出。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77C5F" w:rsidP="00CB627D">
      <w:pPr>
        <w:numPr>
          <w:ilvl w:val="0"/>
          <w:numId w:val="6"/>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177C5F">
      <w:pPr>
        <w:spacing w:line="360" w:lineRule="auto"/>
        <w:ind w:left="1680" w:firstLine="420"/>
        <w:jc w:val="left"/>
        <w:rPr>
          <w:b/>
          <w:bCs/>
          <w:szCs w:val="21"/>
        </w:rPr>
      </w:pPr>
      <w:r>
        <w:rPr>
          <w:rFonts w:hint="eastAsia"/>
          <w:b/>
          <w:bCs/>
          <w:szCs w:val="21"/>
        </w:rPr>
        <w:t>必须明确合同金额支付条件及支付比例</w:t>
      </w:r>
    </w:p>
    <w:p w:rsidR="00177C5F">
      <w:pPr>
        <w:pStyle w:val="BodyText"/>
        <w:spacing w:after="0"/>
        <w:jc w:val="center"/>
        <w:rPr>
          <w:rFonts w:ascii="宋体" w:hAnsi="宋体" w:cs="宋体"/>
          <w:b/>
          <w:bCs/>
          <w:spacing w:val="-20"/>
          <w:kern w:val="44"/>
          <w:sz w:val="48"/>
          <w:szCs w:val="48"/>
        </w:rPr>
      </w:pPr>
      <w:r>
        <w:rPr>
          <w:b/>
          <w:bCs/>
          <w:szCs w:val="21"/>
        </w:rPr>
        <w:br w:type="page"/>
      </w:r>
      <w:bookmarkStart w:id="70" w:name="_Toc3995"/>
    </w:p>
    <w:p w:rsidR="00177C5F">
      <w:pPr>
        <w:pStyle w:val="BodyText"/>
        <w:spacing w:after="0"/>
        <w:jc w:val="center"/>
        <w:rPr>
          <w:rFonts w:ascii="宋体" w:hAnsi="宋体" w:cs="宋体"/>
          <w:b/>
          <w:bCs/>
          <w:spacing w:val="-20"/>
          <w:kern w:val="44"/>
          <w:sz w:val="48"/>
          <w:szCs w:val="48"/>
        </w:rPr>
      </w:pPr>
    </w:p>
    <w:p w:rsidR="00177C5F">
      <w:pPr>
        <w:pStyle w:val="BodyText"/>
        <w:spacing w:after="0"/>
        <w:jc w:val="center"/>
        <w:rPr>
          <w:rFonts w:ascii="宋体" w:hAnsi="宋体" w:cs="宋体"/>
          <w:b/>
          <w:bCs/>
          <w:spacing w:val="-20"/>
          <w:kern w:val="44"/>
          <w:sz w:val="48"/>
          <w:szCs w:val="48"/>
        </w:rPr>
      </w:pPr>
    </w:p>
    <w:p w:rsidR="00177C5F">
      <w:pPr>
        <w:pStyle w:val="BodyText"/>
        <w:spacing w:after="0"/>
        <w:jc w:val="center"/>
        <w:rPr>
          <w:rFonts w:ascii="宋体" w:hAnsi="宋体" w:cs="宋体"/>
          <w:b/>
          <w:bCs/>
          <w:spacing w:val="-20"/>
          <w:kern w:val="44"/>
          <w:sz w:val="48"/>
          <w:szCs w:val="48"/>
        </w:rPr>
      </w:pPr>
    </w:p>
    <w:p w:rsidR="00177C5F">
      <w:pPr>
        <w:pStyle w:val="BodyText"/>
        <w:spacing w:after="0"/>
        <w:jc w:val="center"/>
        <w:rPr>
          <w:rFonts w:ascii="宋体" w:hAnsi="宋体" w:cs="宋体"/>
          <w:b/>
          <w:bCs/>
          <w:spacing w:val="-20"/>
          <w:kern w:val="44"/>
          <w:sz w:val="48"/>
          <w:szCs w:val="48"/>
        </w:rPr>
      </w:pPr>
    </w:p>
    <w:p w:rsidR="00177C5F">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77C5F">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77C5F">
      <w:pPr>
        <w:rPr>
          <w:rFonts w:ascii="宋体" w:hAnsi="宋体" w:cs="宋体"/>
          <w:b/>
          <w:bCs/>
          <w:spacing w:val="-20"/>
          <w:kern w:val="44"/>
          <w:sz w:val="40"/>
          <w:szCs w:val="40"/>
        </w:rPr>
      </w:pPr>
    </w:p>
    <w:p w:rsidR="00177C5F">
      <w:pPr>
        <w:rPr>
          <w:rFonts w:ascii="宋体" w:hAnsi="宋体" w:cs="宋体"/>
          <w:b/>
          <w:bCs/>
          <w:spacing w:val="-20"/>
          <w:kern w:val="44"/>
          <w:sz w:val="40"/>
          <w:szCs w:val="40"/>
        </w:rPr>
      </w:pPr>
    </w:p>
    <w:p w:rsidR="00177C5F">
      <w:pPr>
        <w:rPr>
          <w:rFonts w:ascii="宋体" w:hAnsi="宋体" w:cs="宋体"/>
          <w:b/>
          <w:bCs/>
          <w:spacing w:val="-20"/>
          <w:kern w:val="44"/>
          <w:sz w:val="40"/>
          <w:szCs w:val="40"/>
        </w:rPr>
      </w:pPr>
    </w:p>
    <w:p w:rsidR="00177C5F">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77C5F">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77C5F">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77C5F">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77C5F">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77C5F"/>
    <w:p w:rsidR="00177C5F">
      <w:pPr>
        <w:rPr>
          <w:rFonts w:eastAsia="黑体"/>
          <w:sz w:val="44"/>
          <w:szCs w:val="44"/>
        </w:rPr>
      </w:pPr>
      <w:r>
        <w:rPr>
          <w:rFonts w:eastAsia="黑体"/>
          <w:sz w:val="44"/>
          <w:szCs w:val="44"/>
        </w:rPr>
        <w:br w:type="page"/>
      </w:r>
    </w:p>
    <w:p w:rsidR="00177C5F">
      <w:pPr>
        <w:rPr>
          <w:rFonts w:eastAsia="黑体"/>
          <w:sz w:val="44"/>
          <w:szCs w:val="44"/>
        </w:rPr>
      </w:pPr>
    </w:p>
    <w:p w:rsidR="00177C5F">
      <w:pPr>
        <w:rPr>
          <w:rFonts w:eastAsia="黑体"/>
          <w:sz w:val="44"/>
          <w:szCs w:val="44"/>
        </w:rPr>
      </w:pPr>
    </w:p>
    <w:p w:rsidR="00177C5F">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77C5F">
      <w:pPr>
        <w:ind w:firstLine="640" w:firstLineChars="200"/>
        <w:rPr>
          <w:rFonts w:ascii="仿宋_GB2312" w:eastAsia="仿宋_GB2312" w:hAnsi="仿宋_GB2312" w:cs="仿宋_GB2312"/>
          <w:sz w:val="32"/>
          <w:szCs w:val="32"/>
        </w:rPr>
      </w:pPr>
    </w:p>
    <w:p w:rsidR="00177C5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177C5F">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177C5F">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177C5F">
      <w:pPr>
        <w:rPr>
          <w:rFonts w:eastAsia="黑体"/>
          <w:sz w:val="44"/>
          <w:szCs w:val="44"/>
        </w:rPr>
        <w:sectPr>
          <w:pgSz w:w="11906" w:h="16838"/>
          <w:pgMar w:top="1440" w:right="1800" w:bottom="1440" w:left="1800" w:header="851" w:footer="992" w:gutter="0"/>
          <w:cols w:space="425"/>
          <w:docGrid w:type="lines" w:linePitch="312"/>
        </w:sectPr>
      </w:pPr>
    </w:p>
    <w:p w:rsidR="00177C5F">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177C5F">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177C5F">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77C5F">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77C5F">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77C5F">
      <w:pPr>
        <w:spacing w:line="400" w:lineRule="exact"/>
      </w:pPr>
    </w:p>
    <w:p w:rsidR="00177C5F">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177C5F" w:rsidP="00CB627D">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77C5F">
      <w:pPr>
        <w:pStyle w:val="BodyTextIndent"/>
        <w:numPr>
          <w:ilvl w:val="0"/>
          <w:numId w:val="8"/>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77C5F">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177C5F">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77C5F">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77C5F">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177C5F">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77C5F">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77C5F">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77C5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77C5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177C5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177C5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77C5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77C5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77C5F">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177C5F">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177C5F">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77C5F">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77C5F">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77C5F">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77C5F">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77C5F">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77C5F">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77C5F">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77C5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77C5F">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77C5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77C5F">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177C5F">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177C5F">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177C5F">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77C5F">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77C5F">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177C5F">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177C5F">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77C5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177C5F">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77C5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77C5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77C5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177C5F">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77C5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77C5F">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77C5F">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177C5F">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77C5F">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77C5F">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77C5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77C5F">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177C5F" w:rsidP="00CB627D">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77C5F">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77C5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77C5F">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77C5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77C5F">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77C5F">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77C5F">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177C5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CB627D" w:rsidRPr="00B61C11" w:rsidP="00CB627D">
      <w:pPr>
        <w:snapToGrid w:val="0"/>
        <w:spacing w:line="400" w:lineRule="exact"/>
        <w:ind w:firstLine="630" w:firstLineChars="300"/>
        <w:rPr>
          <w:rFonts w:ascii="宋体" w:eastAsia="宋体" w:hAnsi="宋体" w:cs="Times New Roman"/>
          <w:szCs w:val="21"/>
          <w:u w:val="single"/>
        </w:rPr>
      </w:pPr>
      <w:r>
        <w:rPr>
          <w:rFonts w:ascii="Wingdings" w:eastAsia="宋体" w:hAnsi="Wingdings" w:cs="Times New Roman"/>
          <w:szCs w:val="21"/>
        </w:rPr>
        <w:sym w:font="Wingdings" w:char="F0FE"/>
      </w:r>
      <w:r>
        <w:rPr>
          <w:rFonts w:ascii="宋体" w:eastAsia="宋体" w:hAnsi="宋体" w:cs="Times New Roman" w:hint="eastAsia"/>
          <w:szCs w:val="21"/>
        </w:rPr>
        <w:t>分期付款：</w:t>
      </w:r>
      <w:r>
        <w:rPr>
          <w:rFonts w:ascii="宋体" w:eastAsia="宋体" w:hAnsi="宋体" w:cs="Times New Roman" w:hint="eastAsia"/>
          <w:szCs w:val="21"/>
          <w:u w:val="single"/>
        </w:rPr>
        <w:t xml:space="preserve">  第一阶段：本合同签订生效及提交研究开发计划且项目开</w:t>
      </w:r>
      <w:r w:rsidRPr="00B61C11">
        <w:rPr>
          <w:rFonts w:ascii="宋体" w:eastAsia="宋体" w:hAnsi="宋体" w:cs="Times New Roman" w:hint="eastAsia"/>
          <w:szCs w:val="21"/>
          <w:u w:val="single"/>
        </w:rPr>
        <w:t>工后【 10 】个工作日内，甲方向乙方支付本合同首付款至乙方指定账户，首付款为合同总额 90% ，即：￥  元（大写：人民币    元整）；</w:t>
      </w:r>
    </w:p>
    <w:p w:rsidR="00CB627D" w:rsidRPr="00B61C11" w:rsidP="00CB627D">
      <w:pPr>
        <w:snapToGrid w:val="0"/>
        <w:spacing w:line="400" w:lineRule="exact"/>
        <w:ind w:firstLine="630" w:firstLineChars="300"/>
        <w:rPr>
          <w:rFonts w:ascii="宋体" w:eastAsia="宋体" w:hAnsi="宋体" w:cs="Times New Roman"/>
          <w:szCs w:val="21"/>
          <w:u w:val="single"/>
        </w:rPr>
      </w:pPr>
      <w:r w:rsidRPr="00B61C11">
        <w:rPr>
          <w:rFonts w:ascii="宋体" w:eastAsia="宋体" w:hAnsi="宋体" w:cs="宋体" w:hint="eastAsia"/>
          <w:szCs w:val="21"/>
        </w:rPr>
        <w:t>第二阶段：最后一次付款额应为本合同总额的</w:t>
      </w:r>
      <w:r w:rsidRPr="00B61C11">
        <w:rPr>
          <w:rFonts w:ascii="宋体" w:eastAsia="宋体" w:hAnsi="宋体" w:cs="宋体" w:hint="eastAsia"/>
          <w:szCs w:val="21"/>
          <w:u w:val="single"/>
        </w:rPr>
        <w:t xml:space="preserve"> 10 %</w:t>
      </w:r>
      <w:r w:rsidRPr="00B61C11">
        <w:rPr>
          <w:rFonts w:ascii="宋体" w:eastAsia="宋体" w:hAnsi="宋体" w:cs="宋体" w:hint="eastAsia"/>
          <w:szCs w:val="21"/>
        </w:rPr>
        <w:t>，甲方应在乙方完成</w:t>
      </w:r>
      <w:r w:rsidRPr="00B61C11">
        <w:rPr>
          <w:rFonts w:ascii="宋体" w:eastAsia="宋体" w:hAnsi="宋体" w:cs="宋体" w:hint="eastAsia"/>
          <w:szCs w:val="21"/>
          <w:u w:val="single"/>
        </w:rPr>
        <w:t xml:space="preserve">  合同验收   ，</w:t>
      </w:r>
      <w:r w:rsidRPr="00B61C11">
        <w:rPr>
          <w:rFonts w:ascii="宋体" w:eastAsia="宋体" w:hAnsi="宋体" w:cs="宋体" w:hint="eastAsia"/>
          <w:szCs w:val="21"/>
        </w:rPr>
        <w:t>并完全履行合同约定全部义务后</w:t>
      </w:r>
      <w:r w:rsidRPr="00B61C11">
        <w:rPr>
          <w:rFonts w:ascii="宋体" w:eastAsia="宋体" w:hAnsi="宋体" w:cs="Times New Roman" w:hint="eastAsia"/>
          <w:szCs w:val="21"/>
          <w:u w:val="single"/>
        </w:rPr>
        <w:t>【 10 】个工作日</w:t>
      </w:r>
      <w:r w:rsidRPr="00B61C11">
        <w:rPr>
          <w:rFonts w:ascii="宋体" w:eastAsia="宋体" w:hAnsi="宋体" w:cs="宋体" w:hint="eastAsia"/>
          <w:szCs w:val="21"/>
        </w:rPr>
        <w:t>内付给乙方。</w:t>
      </w:r>
    </w:p>
    <w:p w:rsidR="00177C5F">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177C5F">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177C5F" w:rsidP="00CB627D">
      <w:pPr>
        <w:numPr>
          <w:ilvl w:val="0"/>
          <w:numId w:val="7"/>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77C5F">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77C5F">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77C5F">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177C5F">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177C5F">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177C5F">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177C5F">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77C5F">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77C5F" w:rsidP="00CB627D">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77C5F">
      <w:pPr>
        <w:numPr>
          <w:ilvl w:val="0"/>
          <w:numId w:val="9"/>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177C5F">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77C5F">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77C5F">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77C5F">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77C5F">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77C5F">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77C5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77C5F">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77C5F">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77C5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77C5F">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177C5F">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177C5F">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77C5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177C5F">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77C5F">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177C5F">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77C5F" w:rsidP="00CB627D">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77C5F">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177C5F" w:rsidP="00CB627D">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77C5F" w:rsidP="00CB627D">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77C5F">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77C5F">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77C5F">
      <w:r>
        <w:rPr>
          <w:rFonts w:hint="eastAsia"/>
        </w:rPr>
        <w:br w:type="page"/>
      </w:r>
    </w:p>
    <w:p w:rsidR="00177C5F">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98"/>
        <w:gridCol w:w="2548"/>
        <w:gridCol w:w="2090"/>
        <w:gridCol w:w="2236"/>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77C5F">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77C5F">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法定代表人</w:t>
            </w:r>
          </w:p>
          <w:p w:rsidR="00177C5F">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法定代表人</w:t>
            </w:r>
          </w:p>
          <w:p w:rsidR="00177C5F">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77C5F">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77C5F">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77C5F">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77C5F">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2"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2"/>
    </w:p>
    <w:p w:rsidR="00177C5F">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77C5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77C5F">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77C5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77C5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77C5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177C5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77C5F">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77C5F">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77C5F">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77C5F">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77C5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77C5F">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77C5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77C5F">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77C5F">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77C5F">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77C5F">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177C5F">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77C5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77C5F">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177C5F">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177C5F">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77C5F">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77C5F">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77C5F">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177C5F">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77C5F">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177C5F">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3"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3"/>
      <w:r>
        <w:rPr>
          <w:rFonts w:ascii="宋体" w:hAnsi="宋体" w:hint="eastAsia"/>
          <w:szCs w:val="21"/>
        </w:rPr>
        <w:t>。</w:t>
      </w:r>
    </w:p>
    <w:p w:rsidR="00177C5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177C5F">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177C5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177C5F">
      <w:pPr>
        <w:numPr>
          <w:ilvl w:val="1"/>
          <w:numId w:val="12"/>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77C5F">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177C5F">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77C5F">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77C5F">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77C5F">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77C5F">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177C5F">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77C5F">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77C5F">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77C5F">
      <w:pPr>
        <w:numPr>
          <w:ilvl w:val="0"/>
          <w:numId w:val="13"/>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77C5F">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177C5F">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177C5F">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77C5F">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77C5F">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77C5F">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77C5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77C5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177C5F">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177C5F">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177C5F">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77C5F">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177C5F">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77C5F">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77C5F">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177C5F">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177C5F">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177C5F">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177C5F">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177C5F">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177C5F">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177C5F">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77C5F">
      <w:pPr>
        <w:numPr>
          <w:ilvl w:val="0"/>
          <w:numId w:val="14"/>
        </w:numPr>
        <w:adjustRightInd w:val="0"/>
        <w:snapToGrid w:val="0"/>
        <w:spacing w:line="400" w:lineRule="exact"/>
        <w:jc w:val="left"/>
        <w:rPr>
          <w:rFonts w:ascii="宋体" w:hAnsi="宋体"/>
          <w:b/>
          <w:bCs/>
        </w:rPr>
      </w:pPr>
      <w:r>
        <w:rPr>
          <w:rFonts w:ascii="宋体" w:hAnsi="宋体" w:hint="eastAsia"/>
          <w:b/>
          <w:bCs/>
          <w:sz w:val="24"/>
        </w:rPr>
        <w:t>合同未尽事项</w:t>
      </w:r>
    </w:p>
    <w:p w:rsidR="00177C5F">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77C5F">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4" w:name="_Toc20313"/>
    </w:p>
    <w:p w:rsidR="00177C5F">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77C5F">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4"/>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77C5F"/>
        </w:tc>
      </w:tr>
      <w:tr>
        <w:tblPrEx>
          <w:tblW w:w="8519" w:type="dxa"/>
          <w:tblInd w:w="108" w:type="dxa"/>
          <w:tblLayout w:type="fixed"/>
          <w:tblLook w:val="04A0"/>
        </w:tblPrEx>
        <w:trPr>
          <w:trHeight w:val="667"/>
        </w:trPr>
        <w:tc>
          <w:tcPr>
            <w:tcW w:w="1607" w:type="dxa"/>
            <w:vMerge/>
            <w:vAlign w:val="center"/>
          </w:tcPr>
          <w:p w:rsidR="00177C5F">
            <w:pPr>
              <w:adjustRightInd w:val="0"/>
              <w:snapToGrid w:val="0"/>
              <w:jc w:val="center"/>
              <w:rPr>
                <w:rFonts w:ascii="宋体" w:hAnsi="宋体"/>
                <w:szCs w:val="21"/>
              </w:rPr>
            </w:pPr>
          </w:p>
        </w:tc>
        <w:tc>
          <w:tcPr>
            <w:tcW w:w="1742" w:type="dxa"/>
            <w:vAlign w:val="center"/>
          </w:tcPr>
          <w:p w:rsidR="00177C5F">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77C5F"/>
        </w:tc>
      </w:tr>
      <w:tr>
        <w:tblPrEx>
          <w:tblW w:w="8519" w:type="dxa"/>
          <w:tblInd w:w="108" w:type="dxa"/>
          <w:tblLayout w:type="fixed"/>
          <w:tblLook w:val="04A0"/>
        </w:tblPrEx>
        <w:trPr>
          <w:trHeight w:val="772"/>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77C5F"/>
        </w:tc>
      </w:tr>
      <w:tr>
        <w:tblPrEx>
          <w:tblW w:w="8519" w:type="dxa"/>
          <w:tblInd w:w="108" w:type="dxa"/>
          <w:tblLayout w:type="fixed"/>
          <w:tblLook w:val="04A0"/>
        </w:tblPrEx>
        <w:trPr>
          <w:trHeight w:val="667"/>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77C5F"/>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77C5F">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货物质量缺陷</w:t>
            </w:r>
          </w:p>
          <w:p w:rsidR="00177C5F">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snapToGrid w:val="0"/>
              <w:jc w:val="center"/>
              <w:rPr>
                <w:rFonts w:ascii="宋体" w:hAnsi="宋体" w:cs="宋体"/>
                <w:szCs w:val="21"/>
              </w:rPr>
            </w:pPr>
            <w:r>
              <w:rPr>
                <w:rFonts w:ascii="宋体" w:hAnsi="宋体" w:cs="宋体" w:hint="eastAsia"/>
                <w:szCs w:val="21"/>
              </w:rPr>
              <w:t>第二节</w:t>
            </w:r>
          </w:p>
          <w:p w:rsidR="00177C5F">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177C5F">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77C5F">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77C5F">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77C5F">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77C5F">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77C5F">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77C5F">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77C5F">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77C5F">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77C5F">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77C5F">
            <w:pPr>
              <w:adjustRightInd w:val="0"/>
              <w:snapToGrid w:val="0"/>
              <w:jc w:val="center"/>
              <w:rPr>
                <w:rFonts w:ascii="宋体" w:hAnsi="宋体"/>
                <w:szCs w:val="21"/>
              </w:rPr>
            </w:pPr>
            <w:r>
              <w:rPr>
                <w:rFonts w:ascii="宋体" w:hAnsi="宋体" w:hint="eastAsia"/>
                <w:szCs w:val="21"/>
              </w:rPr>
              <w:t>第二节</w:t>
            </w:r>
          </w:p>
          <w:p w:rsidR="00177C5F">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77C5F">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77C5F">
            <w:pPr>
              <w:adjustRightInd w:val="0"/>
              <w:snapToGrid w:val="0"/>
              <w:jc w:val="left"/>
              <w:rPr>
                <w:rFonts w:ascii="宋体" w:hAnsi="宋体"/>
                <w:szCs w:val="21"/>
              </w:rPr>
            </w:pPr>
          </w:p>
        </w:tc>
      </w:tr>
    </w:tbl>
    <w:p w:rsidR="00177C5F"/>
    <w:p w:rsidR="00177C5F">
      <w:pPr>
        <w:rPr>
          <w:b/>
          <w:bCs/>
          <w:sz w:val="44"/>
          <w:szCs w:val="44"/>
        </w:rPr>
      </w:pPr>
    </w:p>
    <w:p w:rsidR="00177C5F"/>
    <w:p w:rsidR="00A77B3E"/>
    <w:p>
      <w:pPr>
        <w:spacing w:line="360" w:lineRule="auto"/>
        <w:ind w:firstLine="3066" w:firstLineChars="1460"/>
        <w:jc w:val="left"/>
        <w:rPr>
          <w:b/>
          <w:bCs/>
          <w:szCs w:val="21"/>
          <w:highlight w:val="none"/>
        </w:rPr>
      </w:pPr>
      <w:bookmarkEnd w:id="69"/>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868BAA3"/>
    <w:multiLevelType w:val="singleLevel"/>
    <w:tmpl w:val="A868BAA3"/>
    <w:lvl w:ilvl="0">
      <w:start w:val="2"/>
      <w:numFmt w:val="decimal"/>
      <w:suff w:val="nothing"/>
      <w:lvlText w:val="%1、"/>
      <w:lvlJc w:val="left"/>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4BA4259B"/>
    <w:multiLevelType w:val="multilevel"/>
    <w:tmpl w:val="4BA4259B"/>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2"/>
  </w:num>
  <w:num w:numId="5">
    <w:abstractNumId w:val="0"/>
  </w:num>
  <w:num w:numId="6">
    <w:abstractNumId w:val="13"/>
  </w:num>
  <w:num w:numId="7">
    <w:abstractNumId w:val="14"/>
  </w:num>
  <w:num w:numId="8">
    <w:abstractNumId w:val="2"/>
  </w:num>
  <w:num w:numId="9">
    <w:abstractNumId w:val="6"/>
  </w:num>
  <w:num w:numId="10">
    <w:abstractNumId w:val="4"/>
  </w:num>
  <w:num w:numId="11">
    <w:abstractNumId w:val="3"/>
  </w:num>
  <w:num w:numId="12">
    <w:abstractNumId w:val="11"/>
  </w:num>
  <w:num w:numId="13">
    <w:abstractNumId w:val="1"/>
  </w:num>
  <w:num w:numId="14">
    <w:abstractNumId w:val="5"/>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C5F"/>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6CA"/>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6CE8"/>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3E0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4E42"/>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1E02"/>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3EFA"/>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116C"/>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11"/>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27D"/>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398E"/>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rPr>
      <w:rFonts w:ascii="Arial" w:eastAsia="黑体" w:hAnsi="Arial"/>
      <w:sz w:val="20"/>
    </w:rPr>
  </w:style>
  <w:style w:type="paragraph" w:customStyle="1" w:styleId="-">
    <w:name w:val="项目-图表"/>
    <w:basedOn w:val="Normal"/>
    <w:autoRedefine/>
    <w:qFormat/>
    <w:pPr>
      <w:spacing w:line="360" w:lineRule="auto"/>
      <w:jc w:val="center"/>
    </w:pPr>
    <w:rPr>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