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华北人影项目（山西）人工增减雨雪试验示范基地地基微波辐射计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华北人影项目（山西）人工增减雨雪试验示范基地地基微波辐射计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山西省大同市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2026年07月02日 00:00:00</w:t>
      </w:r>
      <w:bookmarkEnd w:id="26"/>
      <w:r>
        <w:rPr>
          <w:rFonts w:ascii="宋体" w:hint="eastAsia"/>
          <w:szCs w:val="21"/>
          <w:highlight w:val="none"/>
        </w:rPr>
        <w:t>至</w:t>
      </w:r>
      <w:bookmarkStart w:id="27" w:name="项目公告_signUpLastTime"/>
      <w:r>
        <w:rPr>
          <w:rFonts w:ascii="宋体" w:hint="eastAsia"/>
          <w:szCs w:val="21"/>
          <w:highlight w:val="none"/>
        </w:rPr>
        <w:t>2026年07月09日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杨俊梅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0351-7562210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山西省太原市朝阳街500号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不允许（仅针对以下产品：地基微波辐射计不允许代理商投标）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（1）标的：地基微波辐射计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销售合同必须包括地基微波辐射计，每提供1份合同得1分，最多得5分。否则不得分。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针对本项目采购的地基微波辐射计，承诺每提前10天交货的得1分，最多得1分。否则不得分。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针对地基微波辐射计，每提供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cr/>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cr/>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针对地基微波辐射计，测试报告应涵盖环境温湿度测试、电磁兼容性等内容，每包含一项得1分，最多得2分。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eastAsia="宋体" w:hAnsi="宋体" w:cs="Times New Roman"/>
          <w:szCs w:val="21"/>
        </w:rPr>
      </w:pPr>
      <w:r>
        <w:rPr>
          <w:rFonts w:ascii="宋体" w:hAnsi="宋体" w:hint="eastAsia"/>
          <w:szCs w:val="21"/>
        </w:rPr>
        <w:t>本次招标内容为华北区域人工影响天气能力建设项目（山西）—人工增减雨雪试验示范基地建设，采购一套地基微波辐射计，获取华北地区</w:t>
      </w:r>
      <w:r>
        <w:rPr>
          <w:rFonts w:ascii="宋体" w:hAnsi="宋体"/>
          <w:szCs w:val="21"/>
        </w:rPr>
        <w:t>大气辐射亮温、大气温度廓线、水汽廓线、相对湿度廓线、液态水廓线等要素的地基遥感</w:t>
      </w:r>
      <w:r>
        <w:rPr>
          <w:rFonts w:ascii="宋体" w:hAnsi="宋体" w:hint="eastAsia"/>
          <w:szCs w:val="21"/>
        </w:rPr>
        <w:t>探测</w:t>
      </w:r>
      <w:r>
        <w:rPr>
          <w:rFonts w:ascii="宋体" w:eastAsia="宋体" w:hAnsi="宋体" w:cs="Times New Roman" w:hint="eastAsia"/>
          <w:szCs w:val="21"/>
        </w:rPr>
        <w:t>。</w:t>
      </w:r>
    </w:p>
    <w:p>
      <w:pPr>
        <w:spacing w:line="360" w:lineRule="auto"/>
        <w:ind w:firstLine="420" w:firstLineChars="200"/>
        <w:rPr>
          <w:rFonts w:ascii="宋体" w:eastAsia="宋体" w:hAnsi="宋体" w:cs="Times New Roman"/>
          <w:szCs w:val="21"/>
        </w:rPr>
      </w:pPr>
      <w:r>
        <w:rPr>
          <w:rFonts w:ascii="宋体" w:hAnsi="宋体" w:hint="eastAsia"/>
          <w:szCs w:val="21"/>
        </w:rPr>
        <w:t>二、设备需求一览表</w:t>
      </w:r>
    </w:p>
    <w:tbl>
      <w:tblPr>
        <w:tblStyle w:val="TableNormal"/>
        <w:tblW w:w="8757" w:type="dxa"/>
        <w:jc w:val="center"/>
        <w:tblLayout w:type="fixed"/>
        <w:tblCellMar>
          <w:top w:w="0" w:type="dxa"/>
          <w:left w:w="0" w:type="dxa"/>
          <w:bottom w:w="0" w:type="dxa"/>
          <w:right w:w="0" w:type="dxa"/>
        </w:tblCellMar>
      </w:tblPr>
      <w:tblGrid>
        <w:gridCol w:w="845"/>
        <w:gridCol w:w="1694"/>
        <w:gridCol w:w="1068"/>
        <w:gridCol w:w="1455"/>
        <w:gridCol w:w="1166"/>
        <w:gridCol w:w="1455"/>
        <w:gridCol w:w="1074"/>
      </w:tblGrid>
      <w:tr>
        <w:tblPrEx>
          <w:tblW w:w="8757" w:type="dxa"/>
          <w:jc w:val="center"/>
          <w:tblLayout w:type="fixed"/>
          <w:tblCellMar>
            <w:top w:w="0" w:type="dxa"/>
            <w:left w:w="0" w:type="dxa"/>
            <w:bottom w:w="0" w:type="dxa"/>
            <w:right w:w="0" w:type="dxa"/>
          </w:tblCellMar>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top w:w="0" w:type="dxa"/>
            <w:left w:w="0" w:type="dxa"/>
            <w:bottom w:w="0" w:type="dxa"/>
            <w:right w:w="0" w:type="dxa"/>
          </w:tblCellMar>
        </w:tblPrEx>
        <w:trPr>
          <w:trHeight w:hRule="exact" w:val="2487"/>
          <w:jc w:val="center"/>
        </w:trPr>
        <w:tc>
          <w:tcPr>
            <w:tcW w:w="845" w:type="dxa"/>
            <w:tcBorders>
              <w:top w:val="single" w:sz="4" w:space="0" w:color="000000"/>
              <w:left w:val="single" w:sz="4" w:space="0" w:color="000000"/>
              <w:bottom w:val="single" w:sz="4" w:space="0" w:color="000000"/>
              <w:right w:val="single" w:sz="4" w:space="0" w:color="000000"/>
            </w:tcBorders>
            <w:vAlign w:val="center"/>
          </w:tcPr>
          <w:p>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ascii="宋体" w:hAnsi="宋体" w:hint="eastAsia"/>
                <w:szCs w:val="21"/>
              </w:rPr>
              <w:t>地基微波辐射计</w:t>
            </w:r>
          </w:p>
        </w:tc>
        <w:tc>
          <w:tcPr>
            <w:tcW w:w="10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 w:val="22"/>
              </w:rPr>
              <w:t>1部</w:t>
            </w:r>
          </w:p>
        </w:tc>
        <w:tc>
          <w:tcPr>
            <w:tcW w:w="116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ascii="宋体" w:hAnsi="宋体" w:cs="微软雅黑" w:hint="eastAsia"/>
                <w:b/>
                <w:kern w:val="0"/>
              </w:rPr>
              <w:t>合同签订后</w:t>
            </w:r>
            <w:r>
              <w:rPr>
                <w:rFonts w:ascii="宋体" w:hAnsi="宋体" w:cs="微软雅黑"/>
                <w:b/>
                <w:kern w:val="0"/>
              </w:rPr>
              <w:t>180</w:t>
            </w:r>
            <w:r>
              <w:rPr>
                <w:rFonts w:ascii="宋体" w:hAnsi="宋体" w:cs="微软雅黑" w:hint="eastAsia"/>
                <w:b/>
                <w:kern w:val="0"/>
              </w:rPr>
              <w:t>天内完成供货、安装调试并具备现场测试条件</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Cs w:val="21"/>
              </w:rPr>
              <w:t>大同</w:t>
            </w:r>
          </w:p>
        </w:tc>
        <w:tc>
          <w:tcPr>
            <w:tcW w:w="10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sz w:val="20"/>
                <w:szCs w:val="20"/>
              </w:rPr>
            </w:pPr>
          </w:p>
        </w:tc>
      </w:tr>
    </w:tbl>
    <w:p>
      <w:pPr>
        <w:spacing w:line="360" w:lineRule="auto"/>
        <w:rPr>
          <w:rFonts w:ascii="宋体" w:hAnsi="宋体"/>
          <w:szCs w:val="21"/>
        </w:rPr>
      </w:pPr>
    </w:p>
    <w:p>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pPr>
        <w:spacing w:line="360" w:lineRule="auto"/>
        <w:ind w:firstLine="420" w:firstLineChars="200"/>
        <w:jc w:val="center"/>
        <w:rPr>
          <w:rFonts w:ascii="宋体" w:hAnsi="宋体"/>
          <w:szCs w:val="21"/>
        </w:rPr>
      </w:pPr>
      <w:r>
        <w:rPr>
          <w:rFonts w:ascii="宋体" w:hAnsi="宋体" w:hint="eastAsia"/>
          <w:szCs w:val="21"/>
        </w:rPr>
        <w:t>微波辐射计主要设备组成表</w:t>
      </w:r>
    </w:p>
    <w:tbl>
      <w:tblPr>
        <w:tblStyle w:val="TableNormal"/>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967"/>
        <w:gridCol w:w="1534"/>
        <w:gridCol w:w="841"/>
        <w:gridCol w:w="5436"/>
      </w:tblGrid>
      <w:tr>
        <w:tblPrEx>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75"/>
          <w:jc w:val="center"/>
        </w:trPr>
        <w:tc>
          <w:tcPr>
            <w:tcW w:w="967" w:type="dxa"/>
            <w:vAlign w:val="center"/>
          </w:tcPr>
          <w:p>
            <w:pPr>
              <w:jc w:val="center"/>
              <w:rPr>
                <w:b/>
                <w:sz w:val="20"/>
              </w:rPr>
            </w:pPr>
            <w:r>
              <w:rPr>
                <w:b/>
                <w:sz w:val="20"/>
              </w:rPr>
              <w:t>序号</w:t>
            </w:r>
          </w:p>
        </w:tc>
        <w:tc>
          <w:tcPr>
            <w:tcW w:w="1534" w:type="dxa"/>
            <w:vAlign w:val="center"/>
          </w:tcPr>
          <w:p>
            <w:pPr>
              <w:jc w:val="center"/>
              <w:rPr>
                <w:b/>
                <w:sz w:val="20"/>
              </w:rPr>
            </w:pPr>
            <w:r>
              <w:rPr>
                <w:b/>
                <w:sz w:val="20"/>
              </w:rPr>
              <w:t>设备名称</w:t>
            </w:r>
          </w:p>
        </w:tc>
        <w:tc>
          <w:tcPr>
            <w:tcW w:w="841" w:type="dxa"/>
            <w:vAlign w:val="center"/>
          </w:tcPr>
          <w:p>
            <w:pPr>
              <w:jc w:val="center"/>
              <w:rPr>
                <w:b/>
                <w:sz w:val="20"/>
              </w:rPr>
            </w:pPr>
            <w:r>
              <w:rPr>
                <w:b/>
                <w:sz w:val="20"/>
              </w:rPr>
              <w:t>数量</w:t>
            </w:r>
          </w:p>
        </w:tc>
        <w:tc>
          <w:tcPr>
            <w:tcW w:w="5437" w:type="dxa"/>
            <w:vAlign w:val="center"/>
          </w:tcPr>
          <w:p>
            <w:pPr>
              <w:jc w:val="center"/>
              <w:rPr>
                <w:b/>
                <w:sz w:val="20"/>
              </w:rPr>
            </w:pPr>
            <w:r>
              <w:rPr>
                <w:b/>
                <w:sz w:val="20"/>
              </w:rPr>
              <w:t>备注</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主设备/系统及标准附件</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地基微波辐射计，包含红外云底温度传感器和地面大气测量单元</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lang w:val="en-US" w:eastAsia="zh-CN"/>
              </w:rPr>
              <w:t>1.1</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微波辐射计室外主机</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具备温度、水汽多通道复合大气微波辐射及云红外辐射接收能力，同时还能监测工作现场的温度、湿度、气压、降水等气象要素以及设备工作状态信息</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lang w:val="en-US" w:eastAsia="zh-CN"/>
              </w:rPr>
              <w:t>1.2</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辐射计管理应用软件</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运算生成大气温湿度廓线等多种气象产品，控制和监测辐射计主机及附属设备的工作状态</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lang w:val="en-US" w:eastAsia="zh-CN"/>
              </w:rPr>
              <w:t>1.3</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辅助单元</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含风机、地面要素传感器等</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lang w:val="en-US" w:eastAsia="zh-CN"/>
              </w:rPr>
              <w:t>1.4</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室外支架</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室外主机安装</w:t>
            </w:r>
          </w:p>
        </w:tc>
      </w:tr>
      <w:tr>
        <w:tblPrEx>
          <w:tblW w:w="4875" w:type="pct"/>
          <w:jc w:val="center"/>
          <w:tblLayout w:type="fixed"/>
          <w:tblCellMar>
            <w:top w:w="0" w:type="dxa"/>
            <w:left w:w="108" w:type="dxa"/>
            <w:bottom w:w="0" w:type="dxa"/>
            <w:right w:w="108" w:type="dxa"/>
          </w:tblCellMar>
        </w:tblPrEx>
        <w:trPr>
          <w:trHeight w:val="285"/>
          <w:jc w:val="center"/>
        </w:trPr>
        <w:tc>
          <w:tcPr>
            <w:tcW w:w="96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lang w:val="en-US" w:eastAsia="zh-CN"/>
              </w:rPr>
              <w:t>1.5</w:t>
            </w:r>
          </w:p>
        </w:tc>
        <w:tc>
          <w:tcPr>
            <w:tcW w:w="1534"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标定源及支架</w:t>
            </w:r>
          </w:p>
        </w:tc>
        <w:tc>
          <w:tcPr>
            <w:tcW w:w="841"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1套</w:t>
            </w:r>
          </w:p>
        </w:tc>
        <w:tc>
          <w:tcPr>
            <w:tcW w:w="5437" w:type="dxa"/>
            <w:vAlign w:val="center"/>
          </w:tcPr>
          <w:p>
            <w:pPr>
              <w:jc w:val="center"/>
              <w:rPr>
                <w:rFonts w:ascii="Times New Roman" w:eastAsia="宋体" w:hAnsi="Times New Roman" w:cs="Times New Roman"/>
                <w:sz w:val="20"/>
              </w:rPr>
            </w:pPr>
            <w:r>
              <w:rPr>
                <w:rFonts w:ascii="Times New Roman" w:eastAsia="宋体" w:hAnsi="Times New Roman" w:cs="Times New Roman" w:hint="eastAsia"/>
                <w:sz w:val="20"/>
              </w:rPr>
              <w:t>提供标定使用</w:t>
            </w:r>
          </w:p>
        </w:tc>
      </w:tr>
    </w:tbl>
    <w:p>
      <w:pPr>
        <w:spacing w:line="360" w:lineRule="auto"/>
        <w:jc w:val="center"/>
        <w:rPr>
          <w:rFonts w:ascii="宋体" w:eastAsia="宋体" w:hAnsi="宋体" w:cs="Times New Roman"/>
          <w:szCs w:val="21"/>
        </w:rPr>
      </w:pPr>
      <w:r>
        <w:rPr>
          <w:rFonts w:ascii="宋体" w:hAnsi="宋体" w:hint="eastAsia"/>
          <w:szCs w:val="21"/>
        </w:rPr>
        <w:t>微波辐射计</w:t>
      </w:r>
      <w:r>
        <w:rPr>
          <w:rFonts w:ascii="宋体" w:eastAsia="宋体" w:hAnsi="宋体" w:cs="Times New Roman" w:hint="eastAsia"/>
          <w:szCs w:val="21"/>
        </w:rPr>
        <w:t>技术性能指标表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938"/>
        <w:gridCol w:w="1691"/>
        <w:gridCol w:w="521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400" w:type="pct"/>
            <w:vAlign w:val="center"/>
          </w:tcPr>
          <w:p>
            <w:pPr>
              <w:tabs>
                <w:tab w:val="left" w:pos="3119"/>
              </w:tabs>
              <w:jc w:val="center"/>
              <w:rPr>
                <w:rFonts w:ascii="宋体" w:eastAsia="宋体" w:hAnsi="宋体" w:cs="宋体"/>
                <w:b/>
                <w:kern w:val="0"/>
                <w:sz w:val="20"/>
                <w:szCs w:val="20"/>
              </w:rPr>
            </w:pPr>
            <w:r>
              <w:rPr>
                <w:rFonts w:ascii="宋体" w:eastAsia="宋体" w:hAnsi="宋体" w:cs="宋体" w:hint="eastAsia"/>
                <w:b/>
                <w:kern w:val="0"/>
                <w:sz w:val="20"/>
                <w:szCs w:val="20"/>
              </w:rPr>
              <w:t>序号</w:t>
            </w:r>
          </w:p>
        </w:tc>
        <w:tc>
          <w:tcPr>
            <w:tcW w:w="1542" w:type="pct"/>
            <w:gridSpan w:val="2"/>
            <w:vAlign w:val="center"/>
          </w:tcPr>
          <w:p>
            <w:pPr>
              <w:tabs>
                <w:tab w:val="left" w:pos="3119"/>
              </w:tabs>
              <w:jc w:val="center"/>
              <w:rPr>
                <w:rFonts w:ascii="宋体" w:eastAsia="宋体" w:hAnsi="宋体" w:cs="宋体"/>
                <w:b/>
                <w:kern w:val="0"/>
                <w:sz w:val="20"/>
                <w:szCs w:val="20"/>
              </w:rPr>
            </w:pPr>
            <w:r>
              <w:rPr>
                <w:rFonts w:ascii="宋体" w:eastAsia="宋体" w:hAnsi="宋体" w:cs="宋体" w:hint="eastAsia"/>
                <w:b/>
                <w:kern w:val="0"/>
                <w:sz w:val="20"/>
                <w:szCs w:val="20"/>
              </w:rPr>
              <w:t>项目</w:t>
            </w:r>
          </w:p>
        </w:tc>
        <w:tc>
          <w:tcPr>
            <w:tcW w:w="3056" w:type="pct"/>
            <w:vAlign w:val="center"/>
          </w:tcPr>
          <w:p>
            <w:pPr>
              <w:tabs>
                <w:tab w:val="left" w:pos="3119"/>
              </w:tabs>
              <w:jc w:val="center"/>
              <w:rPr>
                <w:rFonts w:ascii="宋体" w:eastAsia="宋体" w:hAnsi="宋体" w:cs="宋体"/>
                <w:b/>
                <w:kern w:val="0"/>
                <w:sz w:val="20"/>
                <w:szCs w:val="20"/>
              </w:rPr>
            </w:pPr>
            <w:r>
              <w:rPr>
                <w:rFonts w:ascii="宋体" w:eastAsia="宋体" w:hAnsi="宋体" w:cs="宋体" w:hint="eastAsia"/>
                <w:b/>
                <w:kern w:val="0"/>
                <w:sz w:val="20"/>
                <w:szCs w:val="20"/>
              </w:rPr>
              <w:t>技术指标</w:t>
            </w:r>
          </w:p>
        </w:tc>
      </w:tr>
      <w:tr>
        <w:tblPrEx>
          <w:tblW w:w="5000" w:type="pct"/>
          <w:jc w:val="center"/>
          <w:tblCellMar>
            <w:top w:w="0" w:type="dxa"/>
            <w:left w:w="108" w:type="dxa"/>
            <w:bottom w:w="0" w:type="dxa"/>
            <w:right w:w="108" w:type="dxa"/>
          </w:tblCellMar>
        </w:tblPrEx>
        <w:trPr>
          <w:cantSplit/>
          <w:trHeight w:val="1226"/>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w:t>
            </w:r>
          </w:p>
        </w:tc>
        <w:tc>
          <w:tcPr>
            <w:tcW w:w="1542" w:type="pct"/>
            <w:gridSpan w:val="2"/>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主要功能</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2</w:t>
            </w:r>
          </w:p>
        </w:tc>
        <w:tc>
          <w:tcPr>
            <w:tcW w:w="1542" w:type="pct"/>
            <w:gridSpan w:val="2"/>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基本数据产品</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3</w:t>
            </w:r>
          </w:p>
        </w:tc>
        <w:tc>
          <w:tcPr>
            <w:tcW w:w="1542" w:type="pct"/>
            <w:gridSpan w:val="2"/>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数据质控</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4</w:t>
            </w:r>
          </w:p>
        </w:tc>
        <w:tc>
          <w:tcPr>
            <w:tcW w:w="1542" w:type="pct"/>
            <w:gridSpan w:val="2"/>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廓线采样速率</w:t>
            </w:r>
          </w:p>
        </w:tc>
        <w:tc>
          <w:tcPr>
            <w:tcW w:w="3056" w:type="pct"/>
            <w:vAlign w:val="center"/>
          </w:tcPr>
          <w:p>
            <w:pPr>
              <w:tabs>
                <w:tab w:val="left" w:pos="3119"/>
              </w:tabs>
              <w:rPr>
                <w:rFonts w:ascii="宋体" w:eastAsia="宋体" w:hAnsi="宋体" w:cs="宋体"/>
                <w:bCs/>
                <w:kern w:val="0"/>
                <w:sz w:val="20"/>
                <w:szCs w:val="20"/>
              </w:rPr>
            </w:pPr>
            <w:r>
              <w:rPr>
                <w:rFonts w:ascii="宋体" w:eastAsia="宋体" w:hAnsi="宋体" w:cs="宋体" w:hint="eastAsia"/>
                <w:bCs/>
                <w:kern w:val="0"/>
                <w:sz w:val="20"/>
                <w:szCs w:val="20"/>
              </w:rPr>
              <w:t>≤2min</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5</w:t>
            </w:r>
          </w:p>
        </w:tc>
        <w:tc>
          <w:tcPr>
            <w:tcW w:w="1542" w:type="pct"/>
            <w:gridSpan w:val="2"/>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探测高度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≥10km</w:t>
            </w:r>
          </w:p>
        </w:tc>
      </w:tr>
      <w:tr>
        <w:tblPrEx>
          <w:tblW w:w="5000" w:type="pct"/>
          <w:jc w:val="center"/>
          <w:tblCellMar>
            <w:top w:w="0" w:type="dxa"/>
            <w:left w:w="108" w:type="dxa"/>
            <w:bottom w:w="0" w:type="dxa"/>
            <w:right w:w="108" w:type="dxa"/>
          </w:tblCellMar>
        </w:tblPrEx>
        <w:trPr>
          <w:cantSplit/>
          <w:trHeight w:val="308"/>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6</w:t>
            </w:r>
          </w:p>
        </w:tc>
        <w:tc>
          <w:tcPr>
            <w:tcW w:w="55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lang w:val="en-US" w:eastAsia="zh-CN"/>
              </w:rPr>
              <w:t>天线单元</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#天线半功率波束宽度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水汽通道≤5°，温度通道≤3°</w:t>
            </w:r>
          </w:p>
        </w:tc>
      </w:tr>
      <w:tr>
        <w:tblPrEx>
          <w:tblW w:w="5000" w:type="pct"/>
          <w:jc w:val="center"/>
          <w:tblCellMar>
            <w:top w:w="0" w:type="dxa"/>
            <w:left w:w="108" w:type="dxa"/>
            <w:bottom w:w="0" w:type="dxa"/>
            <w:right w:w="108" w:type="dxa"/>
          </w:tblCellMar>
        </w:tblPrEx>
        <w:trPr>
          <w:cantSplit/>
          <w:trHeight w:val="308"/>
          <w:jc w:val="center"/>
        </w:trPr>
        <w:tc>
          <w:tcPr>
            <w:tcW w:w="400" w:type="pct"/>
            <w:vMerge/>
            <w:vAlign w:val="center"/>
          </w:tcPr>
          <w:p>
            <w:pPr>
              <w:tabs>
                <w:tab w:val="left" w:pos="3119"/>
              </w:tabs>
              <w:jc w:val="center"/>
              <w:rPr>
                <w:rFonts w:ascii="宋体" w:eastAsia="宋体" w:hAnsi="宋体" w:cs="宋体"/>
                <w:bCs/>
                <w:kern w:val="0"/>
                <w:sz w:val="20"/>
                <w:szCs w:val="20"/>
              </w:rPr>
            </w:pPr>
          </w:p>
        </w:tc>
        <w:tc>
          <w:tcPr>
            <w:tcW w:w="550" w:type="pct"/>
            <w:vMerge/>
            <w:vAlign w:val="center"/>
          </w:tcPr>
          <w:p>
            <w:pPr>
              <w:tabs>
                <w:tab w:val="left" w:pos="3119"/>
              </w:tabs>
              <w:jc w:val="center"/>
              <w:rPr>
                <w:rFonts w:ascii="宋体" w:eastAsia="宋体" w:hAnsi="宋体" w:cs="宋体"/>
                <w:bCs/>
                <w:kern w:val="0"/>
                <w:sz w:val="20"/>
                <w:szCs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#天线旁瓣电平</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水汽通道＜-25 dB，温度通道＜-28dB</w:t>
            </w:r>
          </w:p>
        </w:tc>
      </w:tr>
      <w:tr>
        <w:tblPrEx>
          <w:tblW w:w="5000" w:type="pct"/>
          <w:jc w:val="center"/>
          <w:tblCellMar>
            <w:top w:w="0" w:type="dxa"/>
            <w:left w:w="108" w:type="dxa"/>
            <w:bottom w:w="0" w:type="dxa"/>
            <w:right w:w="108" w:type="dxa"/>
          </w:tblCellMar>
        </w:tblPrEx>
        <w:trPr>
          <w:cantSplit/>
          <w:trHeight w:val="308"/>
          <w:jc w:val="center"/>
        </w:trPr>
        <w:tc>
          <w:tcPr>
            <w:tcW w:w="400" w:type="pct"/>
            <w:vMerge/>
            <w:vAlign w:val="center"/>
          </w:tcPr>
          <w:p>
            <w:pPr>
              <w:tabs>
                <w:tab w:val="left" w:pos="3119"/>
              </w:tabs>
              <w:jc w:val="center"/>
              <w:rPr>
                <w:rFonts w:ascii="宋体" w:eastAsia="宋体" w:hAnsi="宋体" w:cs="宋体"/>
                <w:bCs/>
                <w:kern w:val="0"/>
                <w:sz w:val="20"/>
                <w:szCs w:val="20"/>
              </w:rPr>
            </w:pPr>
          </w:p>
        </w:tc>
        <w:tc>
          <w:tcPr>
            <w:tcW w:w="550" w:type="pct"/>
            <w:vMerge/>
            <w:vAlign w:val="center"/>
          </w:tcPr>
          <w:p>
            <w:pPr>
              <w:tabs>
                <w:tab w:val="left" w:pos="3119"/>
              </w:tabs>
              <w:jc w:val="center"/>
              <w:rPr>
                <w:rFonts w:ascii="宋体" w:eastAsia="宋体" w:hAnsi="宋体" w:cs="宋体"/>
                <w:bCs/>
                <w:kern w:val="0"/>
                <w:sz w:val="20"/>
                <w:szCs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天线罩损耗</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≤0.1dB</w:t>
            </w:r>
          </w:p>
        </w:tc>
      </w:tr>
      <w:tr>
        <w:tblPrEx>
          <w:tblW w:w="5000" w:type="pct"/>
          <w:jc w:val="center"/>
          <w:tblCellMar>
            <w:top w:w="0" w:type="dxa"/>
            <w:left w:w="108" w:type="dxa"/>
            <w:bottom w:w="0" w:type="dxa"/>
            <w:right w:w="108" w:type="dxa"/>
          </w:tblCellMar>
        </w:tblPrEx>
        <w:trPr>
          <w:cantSplit/>
          <w:trHeight w:val="68"/>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7</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接收单元</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技术体制</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直接检波或混频检波</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工作频率</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 22～32GHz ，温度通道 51～59GHz</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通道数量</w:t>
            </w:r>
          </w:p>
        </w:tc>
        <w:tc>
          <w:tcPr>
            <w:tcW w:w="3056" w:type="pct"/>
            <w:vAlign w:val="center"/>
          </w:tcPr>
          <w:p>
            <w:pPr>
              <w:widowControl/>
              <w:jc w:val="left"/>
              <w:rPr>
                <w:rFonts w:ascii="宋体" w:eastAsia="宋体" w:hAnsi="宋体" w:cs="宋体"/>
                <w:sz w:val="20"/>
              </w:rPr>
            </w:pPr>
            <w:r>
              <w:rPr>
                <w:rFonts w:ascii="宋体" w:eastAsia="宋体" w:hAnsi="宋体" w:cs="宋体" w:hint="eastAsia"/>
                <w:bCs/>
                <w:kern w:val="0"/>
                <w:sz w:val="20"/>
              </w:rPr>
              <w:t>温度通道≥7个</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Merge/>
            <w:vAlign w:val="center"/>
          </w:tcPr>
          <w:p>
            <w:pPr>
              <w:widowControl/>
              <w:jc w:val="center"/>
              <w:rPr>
                <w:rFonts w:ascii="宋体" w:eastAsia="宋体" w:hAnsi="宋体" w:cs="宋体"/>
                <w:bCs/>
                <w:kern w:val="0"/>
                <w:sz w:val="20"/>
              </w:rPr>
            </w:pP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水汽通道≥7个</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#噪声系数</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水汽通道≤4dB，温度通道≤6dB</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亮温测量范围</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0K～400K</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亮温灵敏度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水汽通道≤0.2K（1s 积分时间）</w:t>
            </w:r>
          </w:p>
          <w:p>
            <w:pPr>
              <w:widowControl/>
              <w:jc w:val="left"/>
              <w:rPr>
                <w:rFonts w:ascii="宋体" w:eastAsia="宋体" w:hAnsi="宋体" w:cs="宋体"/>
                <w:bCs/>
                <w:kern w:val="0"/>
                <w:sz w:val="20"/>
              </w:rPr>
            </w:pPr>
            <w:r>
              <w:rPr>
                <w:rFonts w:ascii="宋体" w:eastAsia="宋体" w:hAnsi="宋体" w:cs="宋体" w:hint="eastAsia"/>
                <w:bCs/>
                <w:kern w:val="0"/>
                <w:sz w:val="20"/>
              </w:rPr>
              <w:t>氧气通道≤0.3K（1s 积分时间）</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#亮温测量误差</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≤1K RMS</w:t>
            </w:r>
          </w:p>
        </w:tc>
      </w:tr>
      <w:tr>
        <w:tblPrEx>
          <w:tblW w:w="5000" w:type="pct"/>
          <w:jc w:val="center"/>
          <w:tblCellMar>
            <w:top w:w="0" w:type="dxa"/>
            <w:left w:w="108" w:type="dxa"/>
            <w:bottom w:w="0" w:type="dxa"/>
            <w:right w:w="108" w:type="dxa"/>
          </w:tblCellMar>
        </w:tblPrEx>
        <w:trPr>
          <w:cantSplit/>
          <w:trHeight w:val="68"/>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#检波器线性度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0.9999</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8</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定标单元</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#内置黑体温度均匀性</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≤0.5K</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黑体内置温度传感器误差</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≤0.2K</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9</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辅助单元</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地面温度传感器</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测量范围：-50℃～50℃；</w:t>
            </w:r>
          </w:p>
          <w:p>
            <w:pPr>
              <w:widowControl/>
              <w:jc w:val="left"/>
              <w:rPr>
                <w:rFonts w:ascii="宋体" w:eastAsia="宋体" w:hAnsi="宋体" w:cs="宋体"/>
                <w:bCs/>
                <w:kern w:val="0"/>
                <w:sz w:val="20"/>
              </w:rPr>
            </w:pPr>
            <w:r>
              <w:rPr>
                <w:rFonts w:ascii="宋体" w:eastAsia="宋体" w:hAnsi="宋体" w:cs="宋体" w:hint="eastAsia"/>
                <w:bCs/>
                <w:kern w:val="0"/>
                <w:sz w:val="20"/>
              </w:rPr>
              <w:t>允许误差：≤0.2℃</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地面湿度传感器</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测量范围：5%～100%RH；</w:t>
            </w:r>
          </w:p>
          <w:p>
            <w:pPr>
              <w:widowControl/>
              <w:jc w:val="left"/>
              <w:rPr>
                <w:rFonts w:ascii="宋体" w:eastAsia="宋体" w:hAnsi="宋体" w:cs="宋体"/>
                <w:bCs/>
                <w:kern w:val="0"/>
                <w:sz w:val="20"/>
              </w:rPr>
            </w:pPr>
            <w:r>
              <w:rPr>
                <w:rFonts w:ascii="宋体" w:eastAsia="宋体" w:hAnsi="宋体" w:cs="宋体" w:hint="eastAsia"/>
                <w:bCs/>
                <w:kern w:val="0"/>
                <w:sz w:val="20"/>
              </w:rPr>
              <w:t>允许误差：≤3%（≤80%）；≤5%（＞80%）</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地面气压传感器</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测量范围：500hPa～1060hPa；</w:t>
            </w:r>
          </w:p>
          <w:p>
            <w:pPr>
              <w:widowControl/>
              <w:jc w:val="left"/>
              <w:rPr>
                <w:rFonts w:ascii="宋体" w:eastAsia="宋体" w:hAnsi="宋体" w:cs="宋体"/>
                <w:bCs/>
                <w:kern w:val="0"/>
                <w:sz w:val="20"/>
              </w:rPr>
            </w:pPr>
            <w:r>
              <w:rPr>
                <w:rFonts w:ascii="宋体" w:eastAsia="宋体" w:hAnsi="宋体" w:cs="宋体" w:hint="eastAsia"/>
                <w:bCs/>
                <w:kern w:val="0"/>
                <w:sz w:val="20"/>
              </w:rPr>
              <w:t>允许误差：≤0.3hPa</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tcPr>
          <w:p>
            <w:pPr>
              <w:widowControl/>
              <w:jc w:val="center"/>
              <w:rPr>
                <w:rFonts w:ascii="宋体" w:eastAsia="宋体" w:hAnsi="宋体" w:cs="宋体"/>
                <w:bCs/>
                <w:kern w:val="0"/>
                <w:sz w:val="20"/>
              </w:rPr>
            </w:pPr>
            <w:r>
              <w:rPr>
                <w:rFonts w:ascii="Times New Roman" w:eastAsia="宋体" w:hint="eastAsia"/>
                <w:szCs w:val="21"/>
              </w:rPr>
              <w:t>雨雪传感器灵敏阈</w:t>
            </w:r>
          </w:p>
        </w:tc>
        <w:tc>
          <w:tcPr>
            <w:tcW w:w="3056" w:type="pct"/>
            <w:vAlign w:val="center"/>
          </w:tcPr>
          <w:p>
            <w:pPr>
              <w:widowControl/>
              <w:jc w:val="center"/>
              <w:rPr>
                <w:rFonts w:ascii="宋体" w:eastAsia="宋体" w:hAnsi="宋体" w:cs="宋体"/>
                <w:bCs/>
                <w:kern w:val="0"/>
                <w:sz w:val="20"/>
              </w:rPr>
            </w:pPr>
            <w:r>
              <w:rPr>
                <w:rFonts w:ascii="Times New Roman" w:eastAsia="宋体" w:hint="eastAsia"/>
                <w:szCs w:val="21"/>
              </w:rPr>
              <w:t>≤</w:t>
            </w:r>
            <w:r>
              <w:rPr>
                <w:rFonts w:ascii="Times New Roman" w:eastAsia="宋体"/>
                <w:szCs w:val="21"/>
              </w:rPr>
              <w:t>0.03mm</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tcPr>
          <w:p>
            <w:pPr>
              <w:widowControl/>
              <w:jc w:val="center"/>
              <w:rPr>
                <w:rFonts w:ascii="宋体" w:eastAsia="宋体" w:hAnsi="宋体" w:cs="宋体"/>
                <w:bCs/>
                <w:kern w:val="0"/>
                <w:sz w:val="20"/>
              </w:rPr>
            </w:pPr>
            <w:r>
              <w:rPr>
                <w:rFonts w:ascii="Times New Roman" w:eastAsia="宋体" w:hint="eastAsia"/>
                <w:szCs w:val="21"/>
              </w:rPr>
              <w:t>时钟精度</w:t>
            </w:r>
          </w:p>
        </w:tc>
        <w:tc>
          <w:tcPr>
            <w:tcW w:w="3056" w:type="pct"/>
            <w:vAlign w:val="center"/>
          </w:tcPr>
          <w:p>
            <w:pPr>
              <w:widowControl/>
              <w:jc w:val="center"/>
              <w:rPr>
                <w:rFonts w:ascii="宋体" w:eastAsia="宋体" w:hAnsi="宋体" w:cs="宋体"/>
                <w:bCs/>
                <w:kern w:val="0"/>
                <w:sz w:val="20"/>
              </w:rPr>
            </w:pPr>
            <w:r>
              <w:rPr>
                <w:rFonts w:ascii="Times New Roman" w:eastAsia="宋体" w:hint="eastAsia"/>
                <w:szCs w:val="21"/>
              </w:rPr>
              <w:t>不会因断电造成走时误差，走时误差不大于</w:t>
            </w:r>
            <w:r>
              <w:rPr>
                <w:rFonts w:ascii="Times New Roman" w:eastAsia="宋体"/>
                <w:szCs w:val="21"/>
              </w:rPr>
              <w:t>15s /</w:t>
            </w:r>
            <w:r>
              <w:rPr>
                <w:rFonts w:ascii="Times New Roman" w:eastAsia="宋体" w:hint="eastAsia"/>
                <w:szCs w:val="21"/>
              </w:rPr>
              <w:t>月</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10</w:t>
            </w:r>
          </w:p>
        </w:tc>
        <w:tc>
          <w:tcPr>
            <w:tcW w:w="550"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采集与控制单元</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存储</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满足 1 年以上基数据和产品等数据存储要求</w:t>
            </w:r>
          </w:p>
        </w:tc>
      </w:tr>
      <w:tr>
        <w:tblPrEx>
          <w:tblW w:w="5000" w:type="pct"/>
          <w:jc w:val="center"/>
          <w:tblCellMar>
            <w:top w:w="0" w:type="dxa"/>
            <w:left w:w="108" w:type="dxa"/>
            <w:bottom w:w="0" w:type="dxa"/>
            <w:right w:w="108" w:type="dxa"/>
          </w:tblCellMar>
        </w:tblPrEx>
        <w:trPr>
          <w:cantSplit/>
          <w:trHeight w:val="75"/>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11</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观测性能</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#相对湿度廓线</w:t>
            </w:r>
          </w:p>
        </w:tc>
        <w:tc>
          <w:tcPr>
            <w:tcW w:w="3056" w:type="pct"/>
            <w:vAlign w:val="center"/>
          </w:tcPr>
          <w:p>
            <w:pPr>
              <w:widowControl/>
              <w:jc w:val="left"/>
              <w:rPr>
                <w:rFonts w:ascii="宋体" w:eastAsia="宋体" w:hAnsi="宋体" w:cs="宋体"/>
                <w:sz w:val="20"/>
              </w:rPr>
            </w:pPr>
            <w:r>
              <w:rPr>
                <w:rFonts w:ascii="宋体" w:eastAsia="宋体" w:hAnsi="宋体" w:cs="宋体" w:hint="eastAsia"/>
                <w:bCs/>
                <w:kern w:val="0"/>
                <w:sz w:val="20"/>
              </w:rPr>
              <w:t>垂直分辨率：</w:t>
            </w:r>
          </w:p>
          <w:p>
            <w:pPr>
              <w:widowControl/>
              <w:jc w:val="left"/>
              <w:rPr>
                <w:rFonts w:ascii="宋体" w:eastAsia="宋体" w:hAnsi="宋体" w:cs="宋体"/>
                <w:bCs/>
                <w:kern w:val="0"/>
                <w:sz w:val="20"/>
              </w:rPr>
            </w:pPr>
            <w:r>
              <w:rPr>
                <w:rFonts w:ascii="宋体" w:eastAsia="宋体" w:hAnsi="宋体" w:cs="宋体" w:hint="eastAsia"/>
                <w:bCs/>
                <w:kern w:val="0"/>
                <w:sz w:val="20"/>
              </w:rPr>
              <w:t>≤50m（0m～500m）；</w:t>
            </w:r>
          </w:p>
          <w:p>
            <w:pPr>
              <w:widowControl/>
              <w:jc w:val="left"/>
              <w:rPr>
                <w:rFonts w:ascii="宋体" w:eastAsia="宋体" w:hAnsi="宋体" w:cs="宋体"/>
                <w:bCs/>
                <w:kern w:val="0"/>
                <w:sz w:val="20"/>
              </w:rPr>
            </w:pPr>
            <w:r>
              <w:rPr>
                <w:rFonts w:ascii="Times New Roman" w:eastAsia="宋体" w:hint="eastAsia"/>
                <w:szCs w:val="21"/>
              </w:rPr>
              <w:t>≤</w:t>
            </w:r>
            <w:r>
              <w:rPr>
                <w:rFonts w:ascii="Times New Roman" w:eastAsia="宋体"/>
                <w:szCs w:val="21"/>
              </w:rPr>
              <w:t>100m</w:t>
            </w:r>
            <w:r>
              <w:rPr>
                <w:rFonts w:ascii="Times New Roman" w:eastAsia="宋体" w:hint="eastAsia"/>
                <w:szCs w:val="21"/>
              </w:rPr>
              <w:t>（</w:t>
            </w:r>
            <w:r>
              <w:rPr>
                <w:rFonts w:ascii="Times New Roman" w:eastAsia="宋体"/>
                <w:szCs w:val="21"/>
              </w:rPr>
              <w:t>500m</w:t>
            </w:r>
            <w:r>
              <w:rPr>
                <w:rFonts w:ascii="Times New Roman" w:eastAsia="宋体" w:hint="eastAsia"/>
                <w:szCs w:val="21"/>
              </w:rPr>
              <w:t>～</w:t>
            </w:r>
            <w:r>
              <w:rPr>
                <w:rFonts w:ascii="Times New Roman" w:eastAsia="宋体"/>
                <w:szCs w:val="21"/>
              </w:rPr>
              <w:t>2000m</w:t>
            </w:r>
            <w:r>
              <w:rPr>
                <w:rFonts w:ascii="Times New Roman" w:eastAsia="宋体" w:hint="eastAsia"/>
                <w:szCs w:val="21"/>
              </w:rPr>
              <w:t>）；</w:t>
            </w:r>
          </w:p>
          <w:p>
            <w:r>
              <w:rPr>
                <w:rFonts w:ascii="宋体" w:eastAsia="宋体" w:hAnsi="宋体" w:cs="宋体" w:hint="eastAsia"/>
                <w:bCs/>
                <w:kern w:val="0"/>
                <w:sz w:val="20"/>
              </w:rPr>
              <w:t>≤250m</w:t>
            </w:r>
          </w:p>
          <w:p>
            <w:pPr>
              <w:widowControl/>
              <w:jc w:val="left"/>
              <w:rPr>
                <w:rFonts w:ascii="宋体" w:eastAsia="宋体" w:hAnsi="宋体" w:cs="宋体"/>
                <w:bCs/>
                <w:kern w:val="0"/>
                <w:sz w:val="20"/>
              </w:rPr>
            </w:pPr>
            <w:r>
              <w:rPr>
                <w:rFonts w:ascii="宋体" w:eastAsia="宋体" w:hAnsi="宋体" w:cs="宋体" w:hint="eastAsia"/>
                <w:bCs/>
                <w:kern w:val="0"/>
                <w:sz w:val="20"/>
              </w:rPr>
              <w:t>（2000m～10000m）;</w:t>
            </w:r>
          </w:p>
          <w:p>
            <w:pPr>
              <w:widowControl/>
              <w:jc w:val="left"/>
              <w:rPr>
                <w:rFonts w:ascii="宋体" w:eastAsia="宋体" w:hAnsi="宋体" w:cs="宋体"/>
                <w:bCs/>
                <w:kern w:val="0"/>
                <w:sz w:val="20"/>
              </w:rPr>
            </w:pPr>
            <w:r>
              <w:rPr>
                <w:rFonts w:ascii="宋体" w:eastAsia="宋体" w:hAnsi="宋体" w:cs="宋体" w:hint="eastAsia"/>
                <w:bCs/>
                <w:kern w:val="0"/>
                <w:sz w:val="20"/>
              </w:rPr>
              <w:t>均方根误差：≤15%RH</w:t>
            </w:r>
          </w:p>
        </w:tc>
      </w:tr>
      <w:tr>
        <w:tblPrEx>
          <w:tblW w:w="5000" w:type="pct"/>
          <w:jc w:val="center"/>
          <w:tblCellMar>
            <w:top w:w="0" w:type="dxa"/>
            <w:left w:w="108" w:type="dxa"/>
            <w:bottom w:w="0" w:type="dxa"/>
            <w:right w:w="108" w:type="dxa"/>
          </w:tblCellMar>
        </w:tblPrEx>
        <w:trPr>
          <w:cantSplit/>
          <w:trHeight w:val="75"/>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#水汽密度廓线</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垂直分辨率：</w:t>
            </w:r>
          </w:p>
          <w:p>
            <w:pPr>
              <w:widowControl/>
              <w:jc w:val="left"/>
              <w:rPr>
                <w:rFonts w:ascii="宋体" w:eastAsia="宋体" w:hAnsi="宋体" w:cs="宋体"/>
                <w:bCs/>
                <w:kern w:val="0"/>
                <w:sz w:val="20"/>
              </w:rPr>
            </w:pPr>
            <w:r>
              <w:rPr>
                <w:rFonts w:ascii="宋体" w:eastAsia="宋体" w:hAnsi="宋体" w:cs="宋体" w:hint="eastAsia"/>
                <w:bCs/>
                <w:kern w:val="0"/>
                <w:sz w:val="20"/>
              </w:rPr>
              <w:t>≤50m（0m～500m）；</w:t>
            </w:r>
          </w:p>
          <w:p>
            <w:pPr>
              <w:widowControl/>
              <w:jc w:val="left"/>
              <w:rPr>
                <w:rFonts w:ascii="宋体" w:eastAsia="宋体" w:hAnsi="宋体" w:cs="宋体"/>
                <w:bCs/>
                <w:kern w:val="0"/>
                <w:sz w:val="20"/>
              </w:rPr>
            </w:pPr>
            <w:r>
              <w:rPr>
                <w:rFonts w:ascii="宋体" w:eastAsia="宋体" w:hAnsi="宋体" w:cs="宋体" w:hint="eastAsia"/>
                <w:bCs/>
                <w:kern w:val="0"/>
                <w:sz w:val="20"/>
              </w:rPr>
              <w:t>≤100m（500m～2000m）；</w:t>
            </w:r>
          </w:p>
          <w:p>
            <w:pPr>
              <w:widowControl/>
              <w:jc w:val="left"/>
              <w:rPr>
                <w:rFonts w:ascii="宋体" w:eastAsia="宋体" w:hAnsi="宋体" w:cs="宋体"/>
                <w:bCs/>
                <w:kern w:val="0"/>
                <w:sz w:val="20"/>
              </w:rPr>
            </w:pPr>
            <w:r>
              <w:rPr>
                <w:rFonts w:ascii="宋体" w:eastAsia="宋体" w:hAnsi="宋体" w:cs="宋体" w:hint="eastAsia"/>
                <w:bCs/>
                <w:kern w:val="0"/>
                <w:sz w:val="20"/>
              </w:rPr>
              <w:t>≤250m（2000m～10000m）;</w:t>
            </w:r>
          </w:p>
          <w:p>
            <w:pPr>
              <w:widowControl/>
              <w:jc w:val="left"/>
              <w:rPr>
                <w:rFonts w:ascii="宋体" w:eastAsia="宋体" w:hAnsi="宋体" w:cs="宋体"/>
                <w:bCs/>
                <w:kern w:val="0"/>
                <w:sz w:val="20"/>
              </w:rPr>
            </w:pPr>
            <w:r>
              <w:rPr>
                <w:rFonts w:ascii="宋体" w:eastAsia="宋体" w:hAnsi="宋体" w:cs="宋体" w:hint="eastAsia"/>
                <w:bCs/>
                <w:kern w:val="0"/>
                <w:sz w:val="20"/>
              </w:rPr>
              <w:t>均方根误差：≤0.8g/m3</w:t>
            </w:r>
          </w:p>
        </w:tc>
      </w:tr>
      <w:tr>
        <w:tblPrEx>
          <w:tblW w:w="5000" w:type="pct"/>
          <w:jc w:val="center"/>
          <w:tblCellMar>
            <w:top w:w="0" w:type="dxa"/>
            <w:left w:w="108" w:type="dxa"/>
            <w:bottom w:w="0" w:type="dxa"/>
            <w:right w:w="108" w:type="dxa"/>
          </w:tblCellMar>
        </w:tblPrEx>
        <w:trPr>
          <w:cantSplit/>
          <w:trHeight w:val="75"/>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#温度廓线</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垂直分辨率：</w:t>
            </w:r>
          </w:p>
          <w:p>
            <w:pPr>
              <w:widowControl/>
              <w:jc w:val="left"/>
              <w:rPr>
                <w:rFonts w:ascii="宋体" w:eastAsia="宋体" w:hAnsi="宋体" w:cs="宋体"/>
                <w:bCs/>
                <w:kern w:val="0"/>
                <w:sz w:val="20"/>
              </w:rPr>
            </w:pPr>
            <w:r>
              <w:rPr>
                <w:rFonts w:ascii="宋体" w:eastAsia="宋体" w:hAnsi="宋体" w:cs="宋体" w:hint="eastAsia"/>
                <w:bCs/>
                <w:kern w:val="0"/>
                <w:sz w:val="20"/>
              </w:rPr>
              <w:t>≤25m（0m～500m）；</w:t>
            </w:r>
          </w:p>
          <w:p>
            <w:pPr>
              <w:widowControl/>
              <w:jc w:val="left"/>
              <w:rPr>
                <w:rFonts w:ascii="宋体" w:eastAsia="宋体" w:hAnsi="宋体" w:cs="宋体"/>
                <w:bCs/>
                <w:kern w:val="0"/>
                <w:sz w:val="20"/>
              </w:rPr>
            </w:pPr>
            <w:r>
              <w:rPr>
                <w:rFonts w:ascii="宋体" w:eastAsia="宋体" w:hAnsi="宋体" w:cs="宋体" w:hint="eastAsia"/>
                <w:bCs/>
                <w:kern w:val="0"/>
                <w:sz w:val="20"/>
              </w:rPr>
              <w:t>≤50m（500m～2000m）；</w:t>
            </w:r>
          </w:p>
          <w:p>
            <w:pPr>
              <w:widowControl/>
              <w:jc w:val="left"/>
              <w:rPr>
                <w:rFonts w:ascii="宋体" w:eastAsia="宋体" w:hAnsi="宋体" w:cs="宋体"/>
                <w:bCs/>
                <w:kern w:val="0"/>
                <w:sz w:val="20"/>
              </w:rPr>
            </w:pPr>
            <w:r>
              <w:rPr>
                <w:rFonts w:ascii="宋体" w:eastAsia="宋体" w:hAnsi="宋体" w:cs="宋体" w:hint="eastAsia"/>
                <w:bCs/>
                <w:kern w:val="0"/>
                <w:sz w:val="20"/>
              </w:rPr>
              <w:t>≤250m（2000m～10000m）;</w:t>
            </w:r>
          </w:p>
          <w:p>
            <w:pPr>
              <w:widowControl/>
              <w:jc w:val="left"/>
              <w:rPr>
                <w:rFonts w:ascii="宋体" w:eastAsia="宋体" w:hAnsi="宋体" w:cs="宋体"/>
                <w:bCs/>
                <w:kern w:val="0"/>
                <w:sz w:val="20"/>
              </w:rPr>
            </w:pPr>
            <w:r>
              <w:rPr>
                <w:rFonts w:ascii="宋体" w:eastAsia="宋体" w:hAnsi="宋体" w:cs="宋体" w:hint="eastAsia"/>
                <w:bCs/>
                <w:kern w:val="0"/>
                <w:sz w:val="20"/>
              </w:rPr>
              <w:t>均方根误差：</w:t>
            </w:r>
          </w:p>
          <w:p>
            <w:pPr>
              <w:widowControl/>
              <w:jc w:val="left"/>
              <w:rPr>
                <w:rFonts w:ascii="Times New Roman" w:eastAsia="宋体"/>
                <w:szCs w:val="21"/>
              </w:rPr>
            </w:pPr>
            <w:r>
              <w:rPr>
                <w:rFonts w:ascii="Times New Roman" w:eastAsia="宋体" w:hint="eastAsia"/>
                <w:szCs w:val="21"/>
              </w:rPr>
              <w:t>当高度＞</w:t>
            </w:r>
            <w:r>
              <w:rPr>
                <w:rFonts w:ascii="Times New Roman" w:eastAsia="宋体"/>
                <w:szCs w:val="21"/>
              </w:rPr>
              <w:t>2000m</w:t>
            </w:r>
            <w:r>
              <w:rPr>
                <w:rFonts w:ascii="Times New Roman" w:eastAsia="宋体" w:hint="eastAsia"/>
                <w:szCs w:val="21"/>
              </w:rPr>
              <w:t>时，均方根误差：≤</w:t>
            </w:r>
            <w:r>
              <w:rPr>
                <w:rFonts w:ascii="Times New Roman" w:eastAsia="宋体"/>
                <w:szCs w:val="21"/>
              </w:rPr>
              <w:t>1.8K</w:t>
            </w:r>
            <w:r>
              <w:rPr>
                <w:rFonts w:ascii="Times New Roman" w:eastAsia="宋体" w:hint="eastAsia"/>
                <w:szCs w:val="21"/>
              </w:rPr>
              <w:t>；</w:t>
            </w:r>
          </w:p>
          <w:p>
            <w:pPr>
              <w:widowControl/>
              <w:jc w:val="left"/>
              <w:rPr>
                <w:rFonts w:ascii="宋体" w:eastAsia="宋体" w:hAnsi="宋体" w:cs="宋体"/>
                <w:bCs/>
                <w:kern w:val="0"/>
                <w:sz w:val="20"/>
              </w:rPr>
            </w:pPr>
            <w:r>
              <w:rPr>
                <w:rFonts w:ascii="Times New Roman" w:eastAsia="宋体" w:hint="eastAsia"/>
                <w:szCs w:val="21"/>
              </w:rPr>
              <w:t>当高度≤</w:t>
            </w:r>
            <w:r>
              <w:rPr>
                <w:rFonts w:ascii="Times New Roman" w:eastAsia="宋体"/>
                <w:szCs w:val="21"/>
              </w:rPr>
              <w:t>2000m</w:t>
            </w:r>
            <w:r>
              <w:rPr>
                <w:rFonts w:ascii="Times New Roman" w:eastAsia="宋体" w:hint="eastAsia"/>
                <w:szCs w:val="21"/>
              </w:rPr>
              <w:t>时，均方根误差：≤</w:t>
            </w:r>
            <w:r>
              <w:rPr>
                <w:rFonts w:ascii="Times New Roman" w:eastAsia="宋体"/>
                <w:szCs w:val="21"/>
              </w:rPr>
              <w:t>1K</w:t>
            </w:r>
          </w:p>
        </w:tc>
      </w:tr>
      <w:tr>
        <w:tblPrEx>
          <w:tblW w:w="5000" w:type="pct"/>
          <w:jc w:val="center"/>
          <w:tblCellMar>
            <w:top w:w="0" w:type="dxa"/>
            <w:left w:w="108" w:type="dxa"/>
            <w:bottom w:w="0" w:type="dxa"/>
            <w:right w:w="108" w:type="dxa"/>
          </w:tblCellMar>
        </w:tblPrEx>
        <w:trPr>
          <w:cantSplit/>
          <w:trHeight w:val="75"/>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#积分水汽含量</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均方根误差≤4mm</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12</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供电</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供电</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220V、50Hz，电压变化－15％～10％，频率变化±3％时，系统能正常工作</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ign w:val="center"/>
          </w:tcPr>
          <w:p>
            <w:pPr>
              <w:tabs>
                <w:tab w:val="left" w:pos="3119"/>
              </w:tabs>
              <w:jc w:val="center"/>
              <w:rPr>
                <w:rFonts w:ascii="宋体" w:eastAsia="宋体" w:hAnsi="宋体" w:cs="宋体"/>
                <w:bCs/>
                <w:kern w:val="0"/>
                <w:sz w:val="20"/>
                <w:szCs w:val="20"/>
              </w:rPr>
            </w:pPr>
          </w:p>
        </w:tc>
        <w:tc>
          <w:tcPr>
            <w:tcW w:w="550" w:type="pct"/>
            <w:vMerge/>
            <w:vAlign w:val="center"/>
          </w:tcPr>
          <w:p>
            <w:pPr>
              <w:tabs>
                <w:tab w:val="left" w:pos="3119"/>
              </w:tabs>
              <w:jc w:val="center"/>
              <w:rPr>
                <w:rFonts w:ascii="宋体" w:eastAsia="宋体" w:hAnsi="宋体" w:cs="宋体"/>
                <w:bCs/>
                <w:kern w:val="0"/>
                <w:sz w:val="20"/>
                <w:szCs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功耗</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未开启防雾干燥系统加热模块时，整机功耗应≤600W；</w:t>
            </w:r>
          </w:p>
          <w:p>
            <w:pPr>
              <w:widowControl/>
              <w:jc w:val="left"/>
              <w:rPr>
                <w:rFonts w:ascii="宋体" w:eastAsia="宋体" w:hAnsi="宋体" w:cs="宋体"/>
                <w:bCs/>
                <w:kern w:val="0"/>
                <w:sz w:val="20"/>
              </w:rPr>
            </w:pPr>
            <w:r>
              <w:rPr>
                <w:rFonts w:ascii="宋体" w:eastAsia="宋体" w:hAnsi="宋体" w:cs="宋体" w:hint="eastAsia"/>
                <w:bCs/>
                <w:kern w:val="0"/>
                <w:sz w:val="20"/>
              </w:rPr>
              <w:t>最大允许功耗应≤2100W</w:t>
            </w:r>
          </w:p>
        </w:tc>
      </w:tr>
      <w:tr>
        <w:tblPrEx>
          <w:tblW w:w="5000" w:type="pct"/>
          <w:jc w:val="center"/>
          <w:tblCellMar>
            <w:top w:w="0" w:type="dxa"/>
            <w:left w:w="108" w:type="dxa"/>
            <w:bottom w:w="0" w:type="dxa"/>
            <w:right w:w="108" w:type="dxa"/>
          </w:tblCellMar>
        </w:tblPrEx>
        <w:trPr>
          <w:cantSplit/>
          <w:trHeight w:val="307"/>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13</w:t>
            </w:r>
          </w:p>
        </w:tc>
        <w:tc>
          <w:tcPr>
            <w:tcW w:w="550" w:type="pct"/>
            <w:vAlign w:val="center"/>
          </w:tcPr>
          <w:p>
            <w:pPr>
              <w:widowControl/>
              <w:jc w:val="center"/>
              <w:rPr>
                <w:rFonts w:ascii="Times New Roman" w:eastAsia="宋体"/>
                <w:szCs w:val="21"/>
              </w:rPr>
            </w:pPr>
            <w:r>
              <w:rPr>
                <w:rFonts w:ascii="Times New Roman" w:eastAsia="宋体" w:hint="eastAsia"/>
                <w:szCs w:val="21"/>
              </w:rPr>
              <w:t>可靠性</w:t>
            </w:r>
          </w:p>
        </w:tc>
        <w:tc>
          <w:tcPr>
            <w:tcW w:w="992" w:type="pct"/>
            <w:vAlign w:val="center"/>
          </w:tcPr>
          <w:p>
            <w:pPr>
              <w:widowControl/>
              <w:jc w:val="center"/>
              <w:rPr>
                <w:rFonts w:ascii="Times New Roman" w:eastAsia="宋体"/>
                <w:szCs w:val="21"/>
              </w:rPr>
            </w:pPr>
            <w:r>
              <w:rPr>
                <w:rFonts w:ascii="Times New Roman" w:eastAsia="宋体" w:hint="eastAsia"/>
                <w:szCs w:val="21"/>
              </w:rPr>
              <w:t>平均故障间隔时间（</w:t>
            </w:r>
            <w:r>
              <w:rPr>
                <w:rFonts w:ascii="Times New Roman" w:eastAsia="宋体"/>
                <w:szCs w:val="21"/>
              </w:rPr>
              <w:t>MTBF</w:t>
            </w:r>
            <w:r>
              <w:rPr>
                <w:rFonts w:ascii="Times New Roman" w:eastAsia="宋体" w:hint="eastAsia"/>
                <w:szCs w:val="21"/>
              </w:rPr>
              <w:t>）</w:t>
            </w:r>
          </w:p>
        </w:tc>
        <w:tc>
          <w:tcPr>
            <w:tcW w:w="3056" w:type="pct"/>
            <w:vAlign w:val="center"/>
          </w:tcPr>
          <w:p>
            <w:pPr>
              <w:widowControl/>
              <w:jc w:val="center"/>
              <w:rPr>
                <w:rFonts w:ascii="Times New Roman" w:eastAsia="宋体"/>
                <w:szCs w:val="21"/>
              </w:rPr>
            </w:pPr>
            <w:r>
              <w:rPr>
                <w:rFonts w:ascii="Times New Roman" w:eastAsia="宋体" w:hint="eastAsia"/>
                <w:szCs w:val="21"/>
              </w:rPr>
              <w:t>≥</w:t>
            </w:r>
            <w:r>
              <w:rPr>
                <w:rFonts w:ascii="Times New Roman" w:eastAsia="宋体"/>
                <w:szCs w:val="21"/>
              </w:rPr>
              <w:t>2500h</w:t>
            </w:r>
          </w:p>
        </w:tc>
      </w:tr>
      <w:tr>
        <w:tblPrEx>
          <w:tblW w:w="5000" w:type="pct"/>
          <w:jc w:val="center"/>
          <w:tblCellMar>
            <w:top w:w="0" w:type="dxa"/>
            <w:left w:w="108" w:type="dxa"/>
            <w:bottom w:w="0" w:type="dxa"/>
            <w:right w:w="108" w:type="dxa"/>
          </w:tblCellMar>
        </w:tblPrEx>
        <w:trPr>
          <w:cantSplit/>
          <w:trHeight w:val="307"/>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14</w:t>
            </w:r>
          </w:p>
        </w:tc>
        <w:tc>
          <w:tcPr>
            <w:tcW w:w="550" w:type="pct"/>
            <w:vAlign w:val="center"/>
          </w:tcPr>
          <w:p>
            <w:pPr>
              <w:widowControl/>
              <w:jc w:val="center"/>
              <w:rPr>
                <w:rFonts w:ascii="Times New Roman" w:eastAsia="宋体"/>
                <w:szCs w:val="21"/>
              </w:rPr>
            </w:pPr>
            <w:r>
              <w:rPr>
                <w:rFonts w:ascii="Times New Roman" w:eastAsia="宋体" w:hint="eastAsia"/>
                <w:szCs w:val="21"/>
              </w:rPr>
              <w:t>维修性</w:t>
            </w:r>
          </w:p>
        </w:tc>
        <w:tc>
          <w:tcPr>
            <w:tcW w:w="992" w:type="pct"/>
            <w:vAlign w:val="center"/>
          </w:tcPr>
          <w:p>
            <w:pPr>
              <w:widowControl/>
              <w:jc w:val="center"/>
              <w:rPr>
                <w:rFonts w:ascii="Times New Roman" w:eastAsia="宋体"/>
                <w:szCs w:val="21"/>
              </w:rPr>
            </w:pPr>
            <w:r>
              <w:rPr>
                <w:rFonts w:ascii="Times New Roman" w:eastAsia="宋体" w:hint="eastAsia"/>
                <w:szCs w:val="21"/>
              </w:rPr>
              <w:t>平均故障修复时间（</w:t>
            </w:r>
            <w:r>
              <w:rPr>
                <w:rFonts w:ascii="Times New Roman" w:eastAsia="宋体"/>
                <w:szCs w:val="21"/>
              </w:rPr>
              <w:t>MTTR</w:t>
            </w:r>
            <w:r>
              <w:rPr>
                <w:rFonts w:ascii="Times New Roman" w:eastAsia="宋体" w:hint="eastAsia"/>
                <w:szCs w:val="21"/>
              </w:rPr>
              <w:t>）</w:t>
            </w:r>
          </w:p>
        </w:tc>
        <w:tc>
          <w:tcPr>
            <w:tcW w:w="3056" w:type="pct"/>
            <w:vAlign w:val="center"/>
          </w:tcPr>
          <w:p>
            <w:pPr>
              <w:widowControl/>
              <w:jc w:val="center"/>
              <w:rPr>
                <w:rFonts w:ascii="Times New Roman" w:eastAsia="宋体"/>
                <w:szCs w:val="21"/>
              </w:rPr>
            </w:pPr>
            <w:r>
              <w:rPr>
                <w:rFonts w:ascii="Times New Roman" w:eastAsia="宋体" w:hint="eastAsia"/>
                <w:szCs w:val="21"/>
              </w:rPr>
              <w:t>≤</w:t>
            </w:r>
            <w:r>
              <w:rPr>
                <w:rFonts w:ascii="Times New Roman" w:eastAsia="宋体"/>
                <w:szCs w:val="21"/>
              </w:rPr>
              <w:t>0.5h</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15</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环境适应性</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温度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工作温度：−40℃～50℃（室外设备），0℃～40℃（室内设备）；</w:t>
            </w:r>
          </w:p>
          <w:p>
            <w:pPr>
              <w:widowControl/>
              <w:jc w:val="left"/>
              <w:rPr>
                <w:rFonts w:ascii="宋体" w:eastAsia="宋体" w:hAnsi="宋体" w:cs="宋体"/>
                <w:bCs/>
                <w:kern w:val="0"/>
                <w:sz w:val="20"/>
              </w:rPr>
            </w:pPr>
            <w:r>
              <w:rPr>
                <w:rFonts w:ascii="宋体" w:eastAsia="宋体" w:hAnsi="宋体" w:cs="宋体" w:hint="eastAsia"/>
                <w:bCs/>
                <w:kern w:val="0"/>
                <w:sz w:val="20"/>
              </w:rPr>
              <w:t>贮存温度：−50℃～55℃。</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恒定湿热</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室外设备相对湿度95%，环境温度35℃，试验时间48h</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气压</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500～1060hPa。</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外壳防护</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室外设备外壳防护等级应达到IP55。</w:t>
            </w:r>
          </w:p>
        </w:tc>
      </w:tr>
      <w:tr>
        <w:tblPrEx>
          <w:tblW w:w="5000" w:type="pct"/>
          <w:jc w:val="center"/>
          <w:tblCellMar>
            <w:top w:w="0" w:type="dxa"/>
            <w:left w:w="108" w:type="dxa"/>
            <w:bottom w:w="0" w:type="dxa"/>
            <w:right w:w="108" w:type="dxa"/>
          </w:tblCellMar>
        </w:tblPrEx>
        <w:trPr>
          <w:cantSplit/>
          <w:trHeight w:val="122"/>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抗盐雾腐</w:t>
            </w:r>
          </w:p>
          <w:p>
            <w:pPr>
              <w:widowControl/>
              <w:jc w:val="center"/>
              <w:rPr>
                <w:rFonts w:ascii="宋体" w:eastAsia="宋体" w:hAnsi="宋体" w:cs="宋体"/>
                <w:bCs/>
                <w:kern w:val="0"/>
                <w:sz w:val="20"/>
              </w:rPr>
            </w:pPr>
            <w:r>
              <w:rPr>
                <w:rFonts w:ascii="宋体" w:eastAsia="宋体" w:hAnsi="宋体" w:cs="宋体" w:hint="eastAsia"/>
                <w:bCs/>
                <w:kern w:val="0"/>
                <w:sz w:val="20"/>
              </w:rPr>
              <w:t>蚀</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外露零件镀层耐48小时盐雾沉降试验。</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16</w:t>
            </w:r>
          </w:p>
        </w:tc>
        <w:tc>
          <w:tcPr>
            <w:tcW w:w="550"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机械</w:t>
            </w:r>
          </w:p>
          <w:p>
            <w:pPr>
              <w:widowControl/>
              <w:jc w:val="center"/>
              <w:rPr>
                <w:rFonts w:ascii="宋体" w:eastAsia="宋体" w:hAnsi="宋体" w:cs="宋体"/>
                <w:bCs/>
                <w:kern w:val="0"/>
                <w:sz w:val="20"/>
              </w:rPr>
            </w:pPr>
            <w:r>
              <w:rPr>
                <w:rFonts w:ascii="宋体" w:eastAsia="宋体" w:hAnsi="宋体" w:cs="宋体" w:hint="eastAsia"/>
                <w:bCs/>
                <w:kern w:val="0"/>
                <w:sz w:val="20"/>
              </w:rPr>
              <w:t>条件</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冲击振动</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17</w:t>
            </w:r>
          </w:p>
        </w:tc>
        <w:tc>
          <w:tcPr>
            <w:tcW w:w="550"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电磁兼容性</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电磁抗扰度</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满足GB/T17626.2-2018 静电放电抗扰度要求</w:t>
            </w:r>
          </w:p>
          <w:p>
            <w:pPr>
              <w:widowControl/>
              <w:jc w:val="left"/>
              <w:rPr>
                <w:rFonts w:ascii="宋体" w:eastAsia="宋体" w:hAnsi="宋体" w:cs="宋体"/>
                <w:bCs/>
                <w:kern w:val="0"/>
                <w:sz w:val="20"/>
              </w:rPr>
            </w:pPr>
            <w:r>
              <w:rPr>
                <w:rFonts w:ascii="宋体" w:eastAsia="宋体" w:hAnsi="宋体" w:cs="宋体" w:hint="eastAsia"/>
                <w:bCs/>
                <w:kern w:val="0"/>
                <w:sz w:val="20"/>
              </w:rPr>
              <w:t>满足GB/T17626.4-2018 电快速瞬变脉冲群抗扰度要求</w:t>
            </w:r>
          </w:p>
          <w:p>
            <w:pPr>
              <w:widowControl/>
              <w:jc w:val="left"/>
              <w:rPr>
                <w:rFonts w:ascii="宋体" w:eastAsia="宋体" w:hAnsi="宋体" w:cs="宋体"/>
                <w:bCs/>
                <w:kern w:val="0"/>
                <w:sz w:val="20"/>
              </w:rPr>
            </w:pPr>
            <w:r>
              <w:rPr>
                <w:rFonts w:ascii="宋体" w:eastAsia="宋体" w:hAnsi="宋体" w:cs="宋体" w:hint="eastAsia"/>
                <w:bCs/>
                <w:kern w:val="0"/>
                <w:sz w:val="20"/>
              </w:rPr>
              <w:t>满足GB/T17626.5-2018 浪涌（冲击）抗扰度要求</w:t>
            </w:r>
          </w:p>
          <w:p>
            <w:pPr>
              <w:widowControl/>
              <w:jc w:val="left"/>
              <w:rPr>
                <w:rFonts w:ascii="宋体" w:eastAsia="宋体" w:hAnsi="宋体" w:cs="宋体"/>
                <w:bCs/>
                <w:kern w:val="0"/>
                <w:sz w:val="20"/>
              </w:rPr>
            </w:pPr>
            <w:r>
              <w:rPr>
                <w:rFonts w:ascii="宋体" w:eastAsia="宋体" w:hAnsi="宋体" w:cs="宋体" w:hint="eastAsia"/>
                <w:bCs/>
                <w:kern w:val="0"/>
                <w:sz w:val="20"/>
              </w:rPr>
              <w:t>提供投标产品的电磁兼容检测报告</w:t>
            </w:r>
          </w:p>
        </w:tc>
      </w:tr>
      <w:tr>
        <w:tblPrEx>
          <w:tblW w:w="5000" w:type="pct"/>
          <w:jc w:val="center"/>
          <w:tblCellMar>
            <w:top w:w="0" w:type="dxa"/>
            <w:left w:w="108" w:type="dxa"/>
            <w:bottom w:w="0" w:type="dxa"/>
            <w:right w:w="108" w:type="dxa"/>
          </w:tblCellMar>
        </w:tblPrEx>
        <w:trPr>
          <w:cantSplit/>
          <w:trHeight w:val="307"/>
          <w:jc w:val="center"/>
        </w:trPr>
        <w:tc>
          <w:tcPr>
            <w:tcW w:w="400" w:type="pct"/>
            <w:vMerge w:val="restar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16</w:t>
            </w:r>
          </w:p>
        </w:tc>
        <w:tc>
          <w:tcPr>
            <w:tcW w:w="550" w:type="pct"/>
            <w:vMerge w:val="restar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其他</w:t>
            </w: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天线罩性能</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微波天线罩具有雨、雪、尘土等防护作用</w:t>
            </w:r>
          </w:p>
        </w:tc>
      </w:tr>
      <w:tr>
        <w:tblPrEx>
          <w:tblW w:w="5000" w:type="pct"/>
          <w:jc w:val="center"/>
          <w:tblCellMar>
            <w:top w:w="0" w:type="dxa"/>
            <w:left w:w="108" w:type="dxa"/>
            <w:bottom w:w="0" w:type="dxa"/>
            <w:right w:w="108" w:type="dxa"/>
          </w:tblCellMar>
        </w:tblPrEx>
        <w:trPr>
          <w:cantSplit/>
          <w:trHeight w:val="441"/>
          <w:jc w:val="center"/>
        </w:trPr>
        <w:tc>
          <w:tcPr>
            <w:tcW w:w="400" w:type="pct"/>
            <w:vMerge/>
            <w:vAlign w:val="center"/>
          </w:tcPr>
          <w:p>
            <w:pPr>
              <w:widowControl/>
              <w:jc w:val="center"/>
              <w:rPr>
                <w:rFonts w:ascii="宋体" w:eastAsia="宋体" w:hAnsi="宋体" w:cs="宋体"/>
                <w:bCs/>
                <w:kern w:val="0"/>
                <w:sz w:val="20"/>
              </w:rPr>
            </w:pPr>
          </w:p>
        </w:tc>
        <w:tc>
          <w:tcPr>
            <w:tcW w:w="550" w:type="pct"/>
            <w:vMerge/>
            <w:vAlign w:val="center"/>
          </w:tcPr>
          <w:p>
            <w:pPr>
              <w:widowControl/>
              <w:jc w:val="center"/>
              <w:rPr>
                <w:rFonts w:ascii="宋体" w:eastAsia="宋体" w:hAnsi="宋体" w:cs="宋体"/>
                <w:bCs/>
                <w:kern w:val="0"/>
                <w:sz w:val="20"/>
              </w:rPr>
            </w:pPr>
          </w:p>
        </w:tc>
        <w:tc>
          <w:tcPr>
            <w:tcW w:w="992" w:type="pct"/>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自动观测</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17</w:t>
            </w:r>
          </w:p>
        </w:tc>
        <w:tc>
          <w:tcPr>
            <w:tcW w:w="1542" w:type="pct"/>
            <w:gridSpan w:val="2"/>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标准输出控制单元</w:t>
            </w:r>
          </w:p>
        </w:tc>
        <w:tc>
          <w:tcPr>
            <w:tcW w:w="3056" w:type="pct"/>
            <w:vAlign w:val="center"/>
          </w:tcPr>
          <w:p>
            <w:pPr>
              <w:widowControl/>
              <w:jc w:val="left"/>
              <w:rPr>
                <w:rFonts w:ascii="宋体" w:eastAsia="宋体" w:hAnsi="宋体" w:cs="宋体"/>
                <w:bCs/>
                <w:kern w:val="0"/>
                <w:sz w:val="20"/>
              </w:rPr>
            </w:pPr>
            <w:r>
              <w:rPr>
                <w:rFonts w:ascii="宋体" w:eastAsia="宋体" w:hAnsi="宋体" w:cs="宋体" w:hint="eastAsia"/>
                <w:bCs/>
                <w:kern w:val="0"/>
                <w:sz w:val="20"/>
              </w:rPr>
              <w:t>具备数据采集、处理、存储、通讯，以及产品显示、质量控制、业务过程、状态监控等功能（满足中国局《气象监测预警补短板工程建设技术指南（修订）》要求）</w:t>
            </w:r>
          </w:p>
        </w:tc>
      </w:tr>
      <w:tr>
        <w:tblPrEx>
          <w:tblW w:w="5000" w:type="pct"/>
          <w:jc w:val="center"/>
          <w:tblCellMar>
            <w:top w:w="0" w:type="dxa"/>
            <w:left w:w="108" w:type="dxa"/>
            <w:bottom w:w="0" w:type="dxa"/>
            <w:right w:w="108" w:type="dxa"/>
          </w:tblCellMar>
        </w:tblPrEx>
        <w:trPr>
          <w:cantSplit/>
          <w:jc w:val="center"/>
        </w:trPr>
        <w:tc>
          <w:tcPr>
            <w:tcW w:w="400" w:type="pct"/>
            <w:vAlign w:val="center"/>
          </w:tcPr>
          <w:p>
            <w:pPr>
              <w:tabs>
                <w:tab w:val="left" w:pos="3119"/>
              </w:tabs>
              <w:jc w:val="center"/>
              <w:rPr>
                <w:rFonts w:ascii="宋体" w:eastAsia="宋体" w:hAnsi="宋体" w:cs="宋体"/>
                <w:bCs/>
                <w:kern w:val="0"/>
                <w:sz w:val="20"/>
                <w:szCs w:val="20"/>
              </w:rPr>
            </w:pPr>
            <w:r>
              <w:rPr>
                <w:rFonts w:ascii="宋体" w:eastAsia="宋体" w:hAnsi="宋体" w:cs="宋体" w:hint="eastAsia"/>
                <w:bCs/>
                <w:kern w:val="0"/>
                <w:sz w:val="20"/>
                <w:szCs w:val="20"/>
              </w:rPr>
              <w:t>18</w:t>
            </w:r>
          </w:p>
        </w:tc>
        <w:tc>
          <w:tcPr>
            <w:tcW w:w="1542" w:type="pct"/>
            <w:gridSpan w:val="2"/>
            <w:vAlign w:val="center"/>
          </w:tcPr>
          <w:p>
            <w:pPr>
              <w:widowControl/>
              <w:jc w:val="center"/>
              <w:rPr>
                <w:rFonts w:ascii="宋体" w:eastAsia="宋体" w:hAnsi="宋体" w:cs="宋体"/>
                <w:bCs/>
                <w:kern w:val="0"/>
                <w:sz w:val="20"/>
              </w:rPr>
            </w:pPr>
            <w:r>
              <w:rPr>
                <w:rFonts w:ascii="宋体" w:eastAsia="宋体" w:hAnsi="宋体" w:cs="宋体" w:hint="eastAsia"/>
                <w:bCs/>
                <w:kern w:val="0"/>
                <w:sz w:val="20"/>
              </w:rPr>
              <w:t>设备寿命</w:t>
            </w:r>
          </w:p>
        </w:tc>
        <w:tc>
          <w:tcPr>
            <w:tcW w:w="3056" w:type="pct"/>
            <w:vAlign w:val="center"/>
          </w:tcPr>
          <w:p>
            <w:pPr>
              <w:widowControl/>
              <w:jc w:val="center"/>
              <w:rPr>
                <w:rFonts w:ascii="宋体" w:eastAsia="宋体" w:hAnsi="宋体" w:cs="宋体"/>
                <w:bCs/>
                <w:kern w:val="0"/>
                <w:sz w:val="20"/>
              </w:rPr>
            </w:pPr>
            <w:r>
              <w:rPr>
                <w:rFonts w:hint="eastAsia"/>
              </w:rPr>
              <w:t>≥10年</w:t>
            </w: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（一）质量标准</w:t>
      </w:r>
    </w:p>
    <w:p>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pPr>
        <w:spacing w:line="360" w:lineRule="auto"/>
        <w:ind w:firstLine="420" w:firstLineChars="200"/>
        <w:rPr>
          <w:rFonts w:ascii="宋体" w:hAnsi="宋体"/>
          <w:szCs w:val="21"/>
        </w:rPr>
      </w:pPr>
      <w:r>
        <w:rPr>
          <w:rFonts w:ascii="宋体" w:hAnsi="宋体" w:hint="eastAsia"/>
          <w:szCs w:val="21"/>
        </w:rPr>
        <w:t>（二）验收组织</w:t>
      </w:r>
    </w:p>
    <w:p>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1.出厂验收</w:t>
      </w:r>
    </w:p>
    <w:p>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 现场安装验收</w:t>
      </w:r>
    </w:p>
    <w:p>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3.试运行验收</w:t>
      </w:r>
    </w:p>
    <w:p>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地面观测设备现场调试合格后进入试运行期，试运行周期不少于 90 天。试运行期间设备应连续稳定运行，无重大故障停机，观测数据完整率、运行稳定性、产品精度均满足气象业务运行要求。中标人做好运行值守、故障处置、运行台账记录，并完成现场操作及维护培训。</w:t>
      </w:r>
    </w:p>
    <w:p>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4.合同验收</w:t>
      </w:r>
    </w:p>
    <w:p>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（一）技术服务</w:t>
      </w:r>
    </w:p>
    <w:p>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3.中标人需提供详细培训方案，包括设备使用、日常维护、观测原理及产品应用等理论培训及现场培训，培训时间及地点双方协商确定，确保使用方参训人员熟练掌握设备操作、日常维护及业务应用技能。</w:t>
      </w:r>
    </w:p>
    <w:p>
      <w:pPr>
        <w:spacing w:line="360" w:lineRule="auto"/>
        <w:ind w:firstLine="420" w:firstLineChars="200"/>
        <w:rPr>
          <w:rFonts w:ascii="宋体" w:hAnsi="宋体"/>
          <w:szCs w:val="21"/>
        </w:rPr>
      </w:pPr>
      <w:r>
        <w:rPr>
          <w:rFonts w:ascii="宋体" w:eastAsia="宋体" w:hAnsi="宋体" w:cs="Times New Roman" w:hint="eastAsia"/>
          <w:szCs w:val="21"/>
        </w:rPr>
        <w:t>4.采购人有重大活动或应急保障时，可要求中标人提供现场保障服务。</w:t>
      </w:r>
    </w:p>
    <w:p>
      <w:pPr>
        <w:spacing w:line="360" w:lineRule="auto"/>
        <w:ind w:firstLine="420" w:firstLineChars="200"/>
        <w:rPr>
          <w:rFonts w:ascii="宋体" w:eastAsia="宋体" w:hAnsi="宋体"/>
          <w:szCs w:val="21"/>
        </w:rPr>
      </w:pPr>
      <w:r>
        <w:rPr>
          <w:rFonts w:ascii="宋体" w:hAnsi="宋体" w:hint="eastAsia"/>
          <w:szCs w:val="21"/>
        </w:rPr>
        <w:t>（二）质保期服务</w:t>
      </w:r>
    </w:p>
    <w:p>
      <w:pPr>
        <w:spacing w:line="360" w:lineRule="auto"/>
        <w:ind w:firstLine="420" w:firstLineChars="200"/>
        <w:rPr>
          <w:rFonts w:cs="宋体"/>
          <w:szCs w:val="21"/>
        </w:rPr>
      </w:pPr>
      <w:r>
        <w:rPr>
          <w:rFonts w:ascii="宋体" w:hAnsi="宋体" w:cs="宋体" w:hint="eastAsia"/>
          <w:szCs w:val="21"/>
          <w:highlight w:val="yellow"/>
        </w:rPr>
        <w:t>1.中标人提供自用户验收合格后8年的免费质保期服务（提供相关承诺函）</w:t>
      </w:r>
      <w:r>
        <w:rPr>
          <w:rFonts w:ascii="宋体" w:hAnsi="宋体" w:cs="宋体" w:hint="eastAsia"/>
          <w:szCs w:val="21"/>
          <w:highlight w:val="yellow"/>
        </w:rPr>
        <w:t>*</w:t>
      </w:r>
      <w:r>
        <w:rPr>
          <w:rFonts w:cs="宋体" w:hint="eastAsia"/>
          <w:szCs w:val="21"/>
          <w:highlight w:val="yellow"/>
        </w:rPr>
        <w:t>,</w:t>
      </w:r>
      <w:r>
        <w:rPr>
          <w:rFonts w:ascii="宋体" w:hAnsi="宋体" w:cs="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widowControl/>
        <w:snapToGrid w:val="0"/>
        <w:spacing w:line="360" w:lineRule="auto"/>
        <w:ind w:firstLine="420" w:firstLineChars="200"/>
        <w:jc w:val="left"/>
        <w:rPr>
          <w:rFonts w:ascii="宋体" w:eastAsia="宋体" w:hAnsi="宋体" w:cs="Times New Roman"/>
          <w:szCs w:val="21"/>
        </w:rPr>
      </w:pPr>
      <w:r>
        <w:rPr>
          <w:rFonts w:ascii="宋体" w:hAnsi="宋体" w:cs="宋体" w:hint="eastAsia"/>
          <w:szCs w:val="21"/>
        </w:rPr>
        <w:t>2.中标人应对投标产品提供巡检和定标服务，主要包括日巡查、周维护、月维护及标校、汛前巡检及标校、年维护及标校（标定）、消防设备检测等现场巡检巡查工作。</w:t>
      </w:r>
      <w:r>
        <w:rPr>
          <w:rFonts w:ascii="宋体" w:hAnsi="宋体" w:hint="eastAsia"/>
          <w:szCs w:val="21"/>
        </w:rPr>
        <w:t>质保期内为免费用户提供1</w:t>
      </w:r>
      <w:r>
        <w:rPr>
          <w:rFonts w:ascii="Times New Roman" w:hAnsi="Times New Roman" w:cs="Times New Roman"/>
          <w:szCs w:val="21"/>
        </w:rPr>
        <w:t>~</w:t>
      </w:r>
      <w:r>
        <w:rPr>
          <w:rFonts w:ascii="宋体" w:hAnsi="宋体" w:hint="eastAsia"/>
          <w:szCs w:val="21"/>
        </w:rPr>
        <w:t>2次搬移服务。</w:t>
      </w:r>
    </w:p>
    <w:p>
      <w:pPr>
        <w:spacing w:line="360" w:lineRule="auto"/>
        <w:ind w:firstLine="420" w:firstLineChars="200"/>
        <w:rPr>
          <w:rFonts w:ascii="宋体" w:hAnsi="宋体"/>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.提供投标产品软件免费升级服务，所提供观测设备观测数据能接入采购人现有气象数据平台。</w:t>
      </w:r>
    </w:p>
    <w:p>
      <w:pPr>
        <w:spacing w:line="360" w:lineRule="auto"/>
        <w:ind w:firstLine="420" w:firstLineChars="200"/>
        <w:rPr>
          <w:rFonts w:ascii="宋体" w:hAnsi="宋体"/>
          <w:szCs w:val="21"/>
        </w:rPr>
      </w:pPr>
      <w:r>
        <w:rPr>
          <w:rFonts w:ascii="宋体" w:eastAsia="宋体" w:hAnsi="宋体" w:hint="eastAsia"/>
          <w:szCs w:val="21"/>
        </w:rPr>
        <w:t>5</w:t>
      </w:r>
      <w:r>
        <w:rPr>
          <w:rFonts w:ascii="宋体" w:eastAsia="宋体" w:hAnsi="宋体" w:cs="Times New Roman" w:hint="eastAsia"/>
          <w:szCs w:val="21"/>
        </w:rPr>
        <w:t>.</w:t>
      </w:r>
      <w:r>
        <w:rPr>
          <w:rFonts w:ascii="宋体" w:hAnsi="宋体" w:hint="eastAsia"/>
          <w:szCs w:val="21"/>
        </w:rPr>
        <w:t>质保期过后，中标人仍有义务提供技术服务(包括提供设备维护、备件等)。</w:t>
      </w:r>
    </w:p>
    <w:p>
      <w:pPr>
        <w:spacing w:line="360" w:lineRule="auto"/>
        <w:ind w:firstLine="420" w:firstLineChars="200"/>
        <w:rPr>
          <w:rFonts w:ascii="宋体" w:hAnsi="宋体"/>
          <w:b/>
          <w:bCs/>
          <w:szCs w:val="21"/>
        </w:rPr>
      </w:pPr>
      <w:r>
        <w:rPr>
          <w:rFonts w:ascii="宋体" w:hAnsi="宋体" w:hint="eastAsia"/>
          <w:b/>
          <w:bCs/>
          <w:szCs w:val="21"/>
        </w:rPr>
        <w:t>六、培训要求</w:t>
      </w:r>
    </w:p>
    <w:p>
      <w:pPr>
        <w:spacing w:line="360" w:lineRule="auto"/>
        <w:ind w:firstLine="420" w:firstLineChars="200"/>
        <w:rPr>
          <w:rFonts w:ascii="宋体" w:hAnsi="宋体" w:cs="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设备供应商对每套投标产品提供至少2次技术培训，培训内容包括设备安装、使用、日常维护、观测原理及产品应用，培训时间及地点双方协商确定。</w:t>
      </w:r>
    </w:p>
    <w:p>
      <w:pPr>
        <w:spacing w:line="360" w:lineRule="auto"/>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4"/>
        <w:gridCol w:w="870"/>
        <w:gridCol w:w="728"/>
        <w:gridCol w:w="1012"/>
        <w:gridCol w:w="1154"/>
        <w:gridCol w:w="3924"/>
        <w:gridCol w:w="42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1,350,000.00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35"/>
        <w:gridCol w:w="2759"/>
        <w:gridCol w:w="1048"/>
        <w:gridCol w:w="535"/>
        <w:gridCol w:w="1219"/>
        <w:gridCol w:w="1016"/>
        <w:gridCol w:w="877"/>
        <w:gridCol w:w="5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业务与科技发展科(001034015002)</w:t>
            </w:r>
          </w:p>
        </w:tc>
        <w:tc>
          <w:tcPr/>
          <w:p>
            <w:r>
              <w:t>微波辐射计</w:t>
            </w:r>
          </w:p>
        </w:tc>
        <w:tc>
          <w:tcPr/>
          <w:p>
            <w:r>
              <w:t>1</w:t>
            </w:r>
          </w:p>
        </w:tc>
        <w:tc>
          <w:tcPr/>
          <w:p>
            <w:r>
              <w:t>1350000.00</w:t>
            </w:r>
          </w:p>
        </w:tc>
        <w:tc>
          <w:tcPr/>
          <w:p>
            <w:r>
              <w:t xml:space="preserve">1350000.00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rFonts w:ascii="宋体" w:hAnsi="宋体"/>
                <w:sz w:val="18"/>
                <w:szCs w:val="18"/>
              </w:rPr>
            </w:pPr>
            <w:r>
              <w:rPr>
                <w:rFonts w:ascii="宋体" w:hAnsi="宋体"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宋体" w:hAnsi="宋体"/>
                <w:sz w:val="18"/>
                <w:szCs w:val="18"/>
              </w:rPr>
            </w:pPr>
            <w:r>
              <w:rPr>
                <w:rFonts w:ascii="宋体" w:hAnsi="宋体" w:hint="eastAsia"/>
                <w:sz w:val="18"/>
                <w:szCs w:val="18"/>
              </w:rPr>
              <w:t>第六章</w:t>
            </w:r>
            <w:r>
              <w:rPr>
                <w:rFonts w:ascii="宋体" w:hAnsi="宋体"/>
                <w:sz w:val="18"/>
                <w:szCs w:val="18"/>
              </w:rPr>
              <w:t xml:space="preserve">  </w:t>
            </w:r>
            <w:r>
              <w:rPr>
                <w:rFonts w:ascii="宋体" w:hAnsi="宋体" w:hint="eastAsia"/>
                <w:sz w:val="18"/>
                <w:szCs w:val="18"/>
              </w:rPr>
              <w:t>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5.7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hint="eastAsia"/>
                <w:sz w:val="18"/>
                <w:szCs w:val="18"/>
              </w:rPr>
              <w:t>投标人应具有以下到投标截止日仍在有效期内的资质：地基微波辐射计《气象专用技术装备使用许可证》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宋体" w:hAnsi="宋体"/>
                <w:sz w:val="18"/>
                <w:szCs w:val="18"/>
              </w:rPr>
            </w:pPr>
            <w:r>
              <w:rPr>
                <w:rFonts w:ascii="宋体" w:hAnsi="宋体" w:hint="eastAsia"/>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hint="eastAsia"/>
                <w:sz w:val="18"/>
                <w:szCs w:val="18"/>
              </w:rPr>
              <w:t>中标人提供自用户验收合格后8年的免费质保期服务（提供相关承诺函）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801F45" w:rsidP="00506701">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801F45">
      <w:pPr>
        <w:spacing w:line="360" w:lineRule="auto"/>
        <w:ind w:left="1680" w:firstLine="420"/>
        <w:jc w:val="left"/>
        <w:rPr>
          <w:b/>
          <w:bCs/>
          <w:szCs w:val="21"/>
        </w:rPr>
      </w:pPr>
      <w:r>
        <w:rPr>
          <w:rFonts w:hint="eastAsia"/>
          <w:b/>
          <w:bCs/>
          <w:szCs w:val="21"/>
        </w:rPr>
        <w:t>必须明确合同金额支付条件及支付比例</w:t>
      </w:r>
    </w:p>
    <w:p w:rsidR="00801F45">
      <w:pPr>
        <w:pStyle w:val="BodyText"/>
        <w:spacing w:after="0"/>
        <w:jc w:val="center"/>
        <w:rPr>
          <w:rFonts w:ascii="宋体" w:hAnsi="宋体" w:cs="宋体"/>
          <w:b/>
          <w:bCs/>
          <w:spacing w:val="-20"/>
          <w:kern w:val="44"/>
          <w:sz w:val="48"/>
          <w:szCs w:val="48"/>
        </w:rPr>
      </w:pPr>
      <w:r>
        <w:rPr>
          <w:b/>
          <w:bCs/>
          <w:szCs w:val="21"/>
        </w:rPr>
        <w:br w:type="page"/>
      </w:r>
      <w:bookmarkStart w:id="70" w:name="_Toc3995"/>
    </w:p>
    <w:p w:rsidR="00801F45">
      <w:pPr>
        <w:pStyle w:val="BodyText"/>
        <w:spacing w:after="0"/>
        <w:jc w:val="center"/>
        <w:rPr>
          <w:rFonts w:ascii="宋体" w:hAnsi="宋体" w:cs="宋体"/>
          <w:b/>
          <w:bCs/>
          <w:spacing w:val="-20"/>
          <w:kern w:val="44"/>
          <w:sz w:val="48"/>
          <w:szCs w:val="48"/>
        </w:rPr>
      </w:pPr>
    </w:p>
    <w:p w:rsidR="00801F45">
      <w:pPr>
        <w:pStyle w:val="BodyText"/>
        <w:spacing w:after="0"/>
        <w:jc w:val="center"/>
        <w:rPr>
          <w:rFonts w:ascii="宋体" w:hAnsi="宋体" w:cs="宋体"/>
          <w:b/>
          <w:bCs/>
          <w:spacing w:val="-20"/>
          <w:kern w:val="44"/>
          <w:sz w:val="48"/>
          <w:szCs w:val="48"/>
        </w:rPr>
      </w:pPr>
    </w:p>
    <w:p w:rsidR="00801F45">
      <w:pPr>
        <w:pStyle w:val="BodyText"/>
        <w:spacing w:after="0"/>
        <w:jc w:val="center"/>
        <w:rPr>
          <w:rFonts w:ascii="宋体" w:hAnsi="宋体" w:cs="宋体"/>
          <w:b/>
          <w:bCs/>
          <w:spacing w:val="-20"/>
          <w:kern w:val="44"/>
          <w:sz w:val="48"/>
          <w:szCs w:val="48"/>
        </w:rPr>
      </w:pPr>
    </w:p>
    <w:p w:rsidR="00801F45">
      <w:pPr>
        <w:pStyle w:val="BodyText"/>
        <w:spacing w:after="0"/>
        <w:jc w:val="center"/>
        <w:rPr>
          <w:rFonts w:ascii="宋体" w:hAnsi="宋体" w:cs="宋体"/>
          <w:b/>
          <w:bCs/>
          <w:spacing w:val="-20"/>
          <w:kern w:val="44"/>
          <w:sz w:val="48"/>
          <w:szCs w:val="48"/>
        </w:rPr>
      </w:pPr>
    </w:p>
    <w:p w:rsidR="00801F45">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801F45">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801F45">
      <w:pPr>
        <w:rPr>
          <w:rFonts w:ascii="宋体" w:hAnsi="宋体" w:cs="宋体"/>
          <w:b/>
          <w:bCs/>
          <w:spacing w:val="-20"/>
          <w:kern w:val="44"/>
          <w:sz w:val="40"/>
          <w:szCs w:val="40"/>
        </w:rPr>
      </w:pPr>
    </w:p>
    <w:p w:rsidR="00801F45">
      <w:pPr>
        <w:rPr>
          <w:rFonts w:ascii="宋体" w:hAnsi="宋体" w:cs="宋体"/>
          <w:b/>
          <w:bCs/>
          <w:spacing w:val="-20"/>
          <w:kern w:val="44"/>
          <w:sz w:val="40"/>
          <w:szCs w:val="40"/>
        </w:rPr>
      </w:pPr>
    </w:p>
    <w:p w:rsidR="00801F45">
      <w:pPr>
        <w:rPr>
          <w:rFonts w:ascii="宋体" w:hAnsi="宋体" w:cs="宋体"/>
          <w:b/>
          <w:bCs/>
          <w:spacing w:val="-20"/>
          <w:kern w:val="44"/>
          <w:sz w:val="40"/>
          <w:szCs w:val="40"/>
        </w:rPr>
      </w:pPr>
    </w:p>
    <w:p w:rsidR="00801F45">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801F45">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801F45">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801F45">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801F45">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801F45"/>
    <w:p w:rsidR="00801F45">
      <w:pPr>
        <w:rPr>
          <w:rFonts w:eastAsia="黑体"/>
          <w:sz w:val="44"/>
          <w:szCs w:val="44"/>
        </w:rPr>
      </w:pPr>
      <w:r>
        <w:rPr>
          <w:rFonts w:eastAsia="黑体"/>
          <w:sz w:val="44"/>
          <w:szCs w:val="44"/>
        </w:rPr>
        <w:br w:type="page"/>
      </w:r>
    </w:p>
    <w:p w:rsidR="00801F45">
      <w:pPr>
        <w:rPr>
          <w:rFonts w:eastAsia="黑体"/>
          <w:sz w:val="44"/>
          <w:szCs w:val="44"/>
        </w:rPr>
      </w:pPr>
    </w:p>
    <w:p w:rsidR="00801F45">
      <w:pPr>
        <w:rPr>
          <w:rFonts w:eastAsia="黑体"/>
          <w:sz w:val="44"/>
          <w:szCs w:val="44"/>
        </w:rPr>
      </w:pPr>
    </w:p>
    <w:p w:rsidR="00801F45">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801F45">
      <w:pPr>
        <w:ind w:firstLine="640" w:firstLineChars="200"/>
        <w:rPr>
          <w:rFonts w:ascii="仿宋_GB2312" w:eastAsia="仿宋_GB2312" w:hAnsi="仿宋_GB2312" w:cs="仿宋_GB2312"/>
          <w:sz w:val="32"/>
          <w:szCs w:val="32"/>
        </w:rPr>
      </w:pPr>
    </w:p>
    <w:p w:rsidR="00801F45">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801F45">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801F45">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801F45">
      <w:pPr>
        <w:rPr>
          <w:rFonts w:eastAsia="黑体"/>
          <w:sz w:val="44"/>
          <w:szCs w:val="44"/>
        </w:rPr>
        <w:sectPr>
          <w:pgSz w:w="11906" w:h="16838"/>
          <w:pgMar w:top="1440" w:right="1800" w:bottom="1440" w:left="1800" w:header="851" w:footer="992" w:gutter="0"/>
          <w:cols w:space="425"/>
          <w:docGrid w:type="lines" w:linePitch="312"/>
        </w:sectPr>
      </w:pPr>
    </w:p>
    <w:p w:rsidR="00801F45">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rsidR="00801F45">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801F45">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801F45">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801F45">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801F45">
      <w:pPr>
        <w:spacing w:line="400" w:lineRule="exact"/>
      </w:pPr>
    </w:p>
    <w:p w:rsidR="00801F45">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801F45">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801F45">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801F45">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801F45">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801F45">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801F45">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801F45">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801F45">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801F45">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01F45">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801F4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801F4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801F4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801F4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801F45">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801F45">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801F45">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801F45">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801F45">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01F45">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01F45">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01F45">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01F45">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801F45">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801F45">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801F45">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801F45">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801F45">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801F45">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801F45">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801F45">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801F45">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801F45">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801F45">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801F45">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801F45">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801F45">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01F45">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01F45">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01F45">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801F45">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801F45">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01F45">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801F45">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801F45">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801F45">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801F45">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801F45">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801F45">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801F45">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01F45">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801F45">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801F45">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801F45">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801F45">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801F45">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801F45">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7A06B1" w:rsidRPr="007A06B1" w:rsidP="007A06B1">
      <w:pPr>
        <w:snapToGrid w:val="0"/>
        <w:spacing w:line="400" w:lineRule="exact"/>
        <w:ind w:firstLine="630" w:firstLineChars="300"/>
        <w:rPr>
          <w:rFonts w:ascii="宋体" w:eastAsia="宋体" w:hAnsi="宋体" w:cs="Times New Roman"/>
          <w:szCs w:val="21"/>
          <w:highlight w:val="yellow"/>
        </w:rPr>
      </w:pPr>
      <w:r w:rsidRPr="007A06B1">
        <w:rPr>
          <w:rFonts w:ascii="Wingdings" w:eastAsia="宋体" w:hAnsi="Wingdings" w:cs="Times New Roman"/>
          <w:szCs w:val="20"/>
          <w:highlight w:val="yellow"/>
        </w:rPr>
        <w:sym w:font="Wingdings" w:char="F0FE"/>
      </w:r>
      <w:r w:rsidRPr="007A06B1">
        <w:rPr>
          <w:rFonts w:ascii="宋体" w:eastAsia="宋体" w:hAnsi="宋体" w:cs="Times New Roman" w:hint="eastAsia"/>
          <w:szCs w:val="21"/>
          <w:highlight w:val="yellow"/>
        </w:rPr>
        <w:t>分期付款：</w:t>
      </w:r>
    </w:p>
    <w:p w:rsidR="007A06B1" w:rsidRPr="007A06B1" w:rsidP="007A06B1">
      <w:pPr>
        <w:spacing w:line="360" w:lineRule="auto"/>
        <w:ind w:firstLine="420" w:firstLineChars="200"/>
        <w:rPr>
          <w:rFonts w:ascii="宋体" w:eastAsia="宋体" w:hAnsi="宋体" w:cs="Times New Roman"/>
          <w:szCs w:val="21"/>
          <w:highlight w:val="yellow"/>
        </w:rPr>
      </w:pPr>
      <w:r w:rsidRPr="007A06B1">
        <w:rPr>
          <w:rFonts w:ascii="宋体" w:eastAsia="宋体" w:hAnsi="宋体" w:cs="Times New Roman"/>
          <w:szCs w:val="21"/>
          <w:highlight w:val="yellow"/>
        </w:rPr>
        <w:t>1.</w:t>
      </w:r>
      <w:r w:rsidRPr="007A06B1">
        <w:rPr>
          <w:rFonts w:ascii="宋体" w:eastAsia="宋体" w:hAnsi="宋体" w:cs="Times New Roman" w:hint="eastAsia"/>
          <w:szCs w:val="21"/>
          <w:highlight w:val="yellow"/>
        </w:rPr>
        <w:t>合同签订后，乙方向甲方提供合同总金额</w:t>
      </w:r>
      <w:r w:rsidRPr="007A06B1">
        <w:rPr>
          <w:rFonts w:ascii="宋体" w:eastAsia="宋体" w:hAnsi="宋体" w:cs="Times New Roman"/>
          <w:szCs w:val="21"/>
          <w:highlight w:val="yellow"/>
        </w:rPr>
        <w:t xml:space="preserve"> 5 %</w:t>
      </w:r>
      <w:r w:rsidRPr="007A06B1">
        <w:rPr>
          <w:rFonts w:ascii="宋体" w:eastAsia="宋体" w:hAnsi="宋体" w:cs="Times New Roman" w:hint="eastAsia"/>
          <w:szCs w:val="21"/>
          <w:highlight w:val="yellow"/>
        </w:rPr>
        <w:t>的银行履约保函，设备验收合格后，甲方将银行履约保函退还乙方。</w:t>
      </w:r>
    </w:p>
    <w:p w:rsidR="007A06B1" w:rsidRPr="007A06B1" w:rsidP="007A06B1">
      <w:pPr>
        <w:spacing w:line="360" w:lineRule="auto"/>
        <w:ind w:firstLine="420" w:firstLineChars="200"/>
        <w:rPr>
          <w:rFonts w:ascii="宋体" w:eastAsia="宋体" w:hAnsi="宋体" w:cs="Times New Roman"/>
          <w:szCs w:val="21"/>
          <w:highlight w:val="yellow"/>
        </w:rPr>
      </w:pPr>
      <w:r w:rsidRPr="007A06B1">
        <w:rPr>
          <w:rFonts w:ascii="宋体" w:eastAsia="宋体" w:hAnsi="宋体" w:cs="Times New Roman"/>
          <w:szCs w:val="21"/>
          <w:highlight w:val="yellow"/>
        </w:rPr>
        <w:t>2.</w:t>
      </w:r>
      <w:r w:rsidRPr="007A06B1">
        <w:rPr>
          <w:rFonts w:ascii="宋体" w:eastAsia="宋体" w:hAnsi="宋体" w:cs="Times New Roman" w:hint="eastAsia"/>
          <w:szCs w:val="21"/>
          <w:highlight w:val="yellow"/>
        </w:rPr>
        <w:t>合同签订后</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日内甲方向乙方支付合同总金额的</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；设备出厂验收合格后</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日内向乙方支付合同总金额的</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；设备安装调试完毕，现场验收合格</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日内支付合同总金额的</w:t>
      </w:r>
      <w:r w:rsidRPr="007A06B1">
        <w:rPr>
          <w:rFonts w:ascii="宋体" w:eastAsia="宋体" w:hAnsi="宋体" w:cs="Times New Roman"/>
          <w:szCs w:val="21"/>
          <w:highlight w:val="yellow"/>
        </w:rPr>
        <w:t>30%</w:t>
      </w:r>
      <w:r w:rsidRPr="007A06B1">
        <w:rPr>
          <w:rFonts w:ascii="宋体" w:eastAsia="宋体" w:hAnsi="宋体" w:cs="Times New Roman" w:hint="eastAsia"/>
          <w:szCs w:val="21"/>
          <w:highlight w:val="yellow"/>
        </w:rPr>
        <w:t>；</w:t>
      </w:r>
    </w:p>
    <w:p w:rsidR="007A06B1" w:rsidRPr="007A06B1" w:rsidP="007A06B1">
      <w:pPr>
        <w:spacing w:line="360" w:lineRule="auto"/>
        <w:rPr>
          <w:rFonts w:ascii="宋体" w:eastAsia="宋体" w:hAnsi="宋体" w:cs="Times New Roman"/>
          <w:szCs w:val="21"/>
        </w:rPr>
      </w:pPr>
      <w:r w:rsidRPr="007A06B1">
        <w:rPr>
          <w:rFonts w:ascii="宋体" w:eastAsia="宋体" w:hAnsi="宋体" w:cs="Times New Roman" w:hint="eastAsia"/>
          <w:szCs w:val="21"/>
          <w:highlight w:val="yellow"/>
        </w:rPr>
        <w:t>合同验收通过后支付合同总金额的</w:t>
      </w:r>
      <w:r w:rsidRPr="007A06B1">
        <w:rPr>
          <w:rFonts w:ascii="宋体" w:eastAsia="宋体" w:hAnsi="宋体" w:cs="Times New Roman"/>
          <w:szCs w:val="21"/>
          <w:highlight w:val="yellow"/>
        </w:rPr>
        <w:t>10%</w:t>
      </w:r>
      <w:r w:rsidRPr="007A06B1">
        <w:rPr>
          <w:rFonts w:ascii="宋体" w:eastAsia="宋体" w:hAnsi="宋体" w:cs="Times New Roman" w:hint="eastAsia"/>
          <w:szCs w:val="21"/>
          <w:highlight w:val="yellow"/>
        </w:rPr>
        <w:t>。</w:t>
      </w:r>
    </w:p>
    <w:p w:rsidR="00801F45">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801F45">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801F45" w:rsidP="00506701">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801F45">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801F45">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801F45">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801F45">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801F45">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801F45">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801F45">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801F45">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801F45">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801F45">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801F45">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801F45">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801F45">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801F45">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801F45">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801F45">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801F45">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801F45">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801F45">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801F45">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801F45">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801F45">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801F45" w:rsidP="00506701">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801F45">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801F45">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801F45">
      <w:r>
        <w:rPr>
          <w:rFonts w:hint="eastAsia"/>
        </w:rPr>
        <w:br w:type="page"/>
      </w:r>
    </w:p>
    <w:p w:rsidR="00801F45">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801F45">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801F45">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法定代表人</w:t>
            </w:r>
          </w:p>
          <w:p w:rsidR="00801F45">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法定代表人</w:t>
            </w:r>
          </w:p>
          <w:p w:rsidR="00801F45">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801F45">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801F45">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801F45">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801F45">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rsidR="00801F45">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801F45">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801F45">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801F4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801F45">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801F45">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801F4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801F4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801F45">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801F45">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801F45">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801F45">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801F45">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801F45">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801F45">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801F45">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801F45">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801F45">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801F45">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801F45">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801F45">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801F45">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801F45">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801F45">
      <w:pPr>
        <w:pStyle w:val="PlainText"/>
        <w:adjustRightInd w:val="0"/>
        <w:snapToGrid w:val="0"/>
        <w:spacing w:line="400" w:lineRule="exact"/>
        <w:ind w:firstLine="420" w:firstLineChars="200"/>
        <w:jc w:val="left"/>
        <w:rPr>
          <w:rFonts w:hAnsi="宋体"/>
          <w:b/>
        </w:rPr>
      </w:pPr>
      <w:r>
        <w:rPr>
          <w:rFonts w:hAnsi="宋体" w:hint="eastAsia"/>
        </w:rPr>
        <w:t>8.1 质量标准</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801F45">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801F45">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801F45">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801F45">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801F45">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801F45">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801F45">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801F45">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801F45">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801F45">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801F45">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801F45">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801F45">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801F45">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801F45">
      <w:pPr>
        <w:adjustRightInd w:val="0"/>
        <w:snapToGrid w:val="0"/>
        <w:spacing w:line="400" w:lineRule="exact"/>
        <w:jc w:val="left"/>
        <w:rPr>
          <w:rFonts w:ascii="宋体" w:hAnsi="宋体"/>
          <w:b/>
          <w:bCs/>
        </w:rPr>
      </w:pPr>
      <w:r>
        <w:rPr>
          <w:rFonts w:ascii="宋体" w:hAnsi="宋体" w:hint="eastAsia"/>
          <w:b/>
          <w:bCs/>
          <w:sz w:val="24"/>
        </w:rPr>
        <w:t>15. 违约责任</w:t>
      </w:r>
    </w:p>
    <w:p w:rsidR="00801F45">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801F45">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801F45">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801F45">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801F45">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801F45">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801F45">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801F45">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801F45">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801F45">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801F45">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801F45">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801F45">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801F45">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801F45">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801F45">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801F45">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801F45">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801F45">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801F45">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801F45">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801F45">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801F45">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801F45">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801F45">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801F45">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801F45">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801F45">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801F45">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rsidR="00801F45">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801F45">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snapToGrid w:val="0"/>
              <w:jc w:val="center"/>
            </w:pPr>
            <w:r>
              <w:rPr>
                <w:rFonts w:ascii="宋体" w:hAnsi="宋体" w:hint="eastAsia"/>
                <w:szCs w:val="21"/>
              </w:rPr>
              <w:t>第5.4款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snapToGrid w:val="0"/>
              <w:jc w:val="center"/>
              <w:rPr>
                <w:rFonts w:ascii="宋体" w:hAnsi="宋体"/>
                <w:szCs w:val="21"/>
              </w:rPr>
            </w:pPr>
            <w:r>
              <w:rPr>
                <w:rFonts w:ascii="宋体" w:hAnsi="宋体" w:hint="eastAsia"/>
                <w:szCs w:val="21"/>
              </w:rPr>
              <w:t>第6.1款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801F45"/>
        </w:tc>
      </w:tr>
      <w:tr>
        <w:tblPrEx>
          <w:tblW w:w="8519" w:type="dxa"/>
          <w:tblInd w:w="108" w:type="dxa"/>
          <w:tblLayout w:type="fixed"/>
          <w:tblLook w:val="04A0"/>
        </w:tblPrEx>
        <w:trPr>
          <w:trHeight w:val="667"/>
        </w:trPr>
        <w:tc>
          <w:tcPr>
            <w:tcW w:w="1607" w:type="dxa"/>
            <w:vMerge/>
            <w:vAlign w:val="center"/>
          </w:tcPr>
          <w:p w:rsidR="00801F45">
            <w:pPr>
              <w:adjustRightInd w:val="0"/>
              <w:snapToGrid w:val="0"/>
              <w:jc w:val="center"/>
              <w:rPr>
                <w:rFonts w:ascii="宋体" w:hAnsi="宋体"/>
                <w:szCs w:val="21"/>
              </w:rPr>
            </w:pPr>
          </w:p>
        </w:tc>
        <w:tc>
          <w:tcPr>
            <w:tcW w:w="1742" w:type="dxa"/>
            <w:vAlign w:val="center"/>
          </w:tcPr>
          <w:p w:rsidR="00801F45">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801F45"/>
        </w:tc>
      </w:tr>
      <w:tr>
        <w:tblPrEx>
          <w:tblW w:w="8519" w:type="dxa"/>
          <w:tblInd w:w="108" w:type="dxa"/>
          <w:tblLayout w:type="fixed"/>
          <w:tblLook w:val="04A0"/>
        </w:tblPrEx>
        <w:trPr>
          <w:trHeight w:val="772"/>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801F45"/>
        </w:tc>
      </w:tr>
      <w:tr>
        <w:tblPrEx>
          <w:tblW w:w="8519" w:type="dxa"/>
          <w:tblInd w:w="108" w:type="dxa"/>
          <w:tblLayout w:type="fixed"/>
          <w:tblLook w:val="04A0"/>
        </w:tblPrEx>
        <w:trPr>
          <w:trHeight w:val="667"/>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801F45"/>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801F45">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货物质量缺陷</w:t>
            </w:r>
          </w:p>
          <w:p w:rsidR="00801F45">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snapToGrid w:val="0"/>
              <w:jc w:val="center"/>
              <w:rPr>
                <w:rFonts w:ascii="宋体" w:hAnsi="宋体" w:cs="宋体"/>
                <w:szCs w:val="21"/>
              </w:rPr>
            </w:pPr>
            <w:r>
              <w:rPr>
                <w:rFonts w:ascii="宋体" w:hAnsi="宋体" w:cs="宋体" w:hint="eastAsia"/>
                <w:szCs w:val="21"/>
              </w:rPr>
              <w:t>第二节</w:t>
            </w:r>
          </w:p>
          <w:p w:rsidR="00801F45">
            <w:pPr>
              <w:pStyle w:val="AONormal"/>
              <w:ind w:firstLine="0" w:firstLineChars="0"/>
              <w:jc w:val="center"/>
            </w:pPr>
            <w:r>
              <w:rPr>
                <w:rFonts w:ascii="宋体" w:eastAsia="宋体" w:hAnsi="宋体" w:cs="宋体" w:hint="eastAsia"/>
              </w:rPr>
              <w:t>第11.1款</w:t>
            </w:r>
          </w:p>
        </w:tc>
        <w:tc>
          <w:tcPr>
            <w:tcW w:w="1742" w:type="dxa"/>
            <w:vAlign w:val="center"/>
          </w:tcPr>
          <w:p w:rsidR="00801F45">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801F45">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801F45">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801F45">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801F45">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801F45">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801F45">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801F45">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801F45">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801F45">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801F45">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801F45">
            <w:pPr>
              <w:adjustRightInd w:val="0"/>
              <w:snapToGrid w:val="0"/>
              <w:jc w:val="center"/>
              <w:rPr>
                <w:rFonts w:ascii="宋体" w:hAnsi="宋体"/>
                <w:szCs w:val="21"/>
              </w:rPr>
            </w:pPr>
            <w:r>
              <w:rPr>
                <w:rFonts w:ascii="宋体" w:hAnsi="宋体" w:hint="eastAsia"/>
                <w:szCs w:val="21"/>
              </w:rPr>
              <w:t>第二节</w:t>
            </w:r>
          </w:p>
          <w:p w:rsidR="00801F45">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801F45">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801F45">
            <w:pPr>
              <w:adjustRightInd w:val="0"/>
              <w:snapToGrid w:val="0"/>
              <w:jc w:val="left"/>
              <w:rPr>
                <w:rFonts w:ascii="宋体" w:hAnsi="宋体"/>
                <w:szCs w:val="21"/>
              </w:rPr>
            </w:pPr>
          </w:p>
        </w:tc>
      </w:tr>
    </w:tbl>
    <w:p w:rsidR="00801F45"/>
    <w:p w:rsidR="00801F45">
      <w:pPr>
        <w:rPr>
          <w:b/>
          <w:bCs/>
          <w:sz w:val="44"/>
          <w:szCs w:val="44"/>
        </w:rPr>
      </w:pPr>
    </w:p>
    <w:p w:rsidR="00801F45"/>
    <w:p w:rsidR="00A77B3E"/>
    <w:p w:rsidR="00801F45" w:rsidP="00506701">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altName w:val="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altName w:val="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altName w:val="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0FDA683"/>
    <w:multiLevelType w:val="singleLevel"/>
    <w:tmpl w:val="60FDA683"/>
    <w:lvl w:ilvl="0">
      <w:start w:val="3"/>
      <w:numFmt w:val="chineseCounting"/>
      <w:suff w:val="nothing"/>
      <w:lvlText w:val="%1、"/>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701"/>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6B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1F45"/>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