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固城国家综合气象观测试验基地土壤水分观测仪（宇宙射线法）设备购置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ZQCD-25410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中国气象科学研究院</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固城国家综合气象观测试验基地土壤水分观测仪（宇宙射线法）设备购置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ZQCD-25410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河北省保定市定兴县固城国家综合气象观测试验基地</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2025年11月21日 00:00:00</w:t>
      </w:r>
      <w:bookmarkEnd w:id="26"/>
      <w:r>
        <w:rPr>
          <w:rFonts w:ascii="宋体" w:hint="eastAsia"/>
          <w:szCs w:val="21"/>
          <w:highlight w:val="none"/>
        </w:rPr>
        <w:t>至</w:t>
      </w:r>
      <w:bookmarkStart w:id="27" w:name="项目公告_signUpLastTime"/>
      <w:r>
        <w:rPr>
          <w:rFonts w:ascii="宋体" w:hint="eastAsia"/>
          <w:szCs w:val="21"/>
          <w:highlight w:val="none"/>
        </w:rPr>
        <w:t>2025年11月28日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2025年12月12日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中国气象科学研究院</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杨影</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010-58995137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北京市海淀区中关村南大街46号中国气象科学研究院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中国气象科学研究院</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不允许（仅针对以下产品：1、土壤水分观测仪不允许代理商投标）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必须，以下产品需要提供至投标截止日仍有效的《气象专用技术装备使用许可证》：1、土壤水分观测仪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（1）标的：货物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采用低价优先法计算，公式：投标人得分=评标基准价/评标价×30</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销售合同必须包括土壤水分观测仪（宇宙射线法）设备，每提供1份合同得1分，最多得5分。否则不得分。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针对本项目采购的土壤水分观测仪（宇宙射线法）设备，承诺每提前10天交货的得0.5分，最多得1分。否则不得分。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针对土壤水分观测仪（宇宙射线法）设备，每提供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针对土壤水分观测仪（宇宙射线法）设备，试报告应涵盖高低温、湿热、盐雾、振动、防尘、防水、低气压等内容，全部满足得3分。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投标产品软件兼容性强，观测数据能接入国家级系统得2分。否则不得分。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3"/>
        <w:gridCol w:w="7617"/>
      </w:tblGrid>
      <w:tr>
        <w:tblPrEx>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jc w:val="center"/>
        </w:trPr>
        <w:tc>
          <w:tcPr>
            <w:tcW w:w="856" w:type="pct"/>
            <w:vAlign w:val="center"/>
          </w:tcPr>
          <w:p>
            <w:pPr>
              <w:rPr>
                <w:rFonts w:ascii="仿宋" w:eastAsia="仿宋" w:hAnsi="仿宋" w:cs="仿宋" w:hint="eastAsia"/>
              </w:rPr>
            </w:pPr>
            <w:r>
              <w:rPr>
                <w:rFonts w:ascii="仿宋" w:eastAsia="仿宋" w:hAnsi="仿宋" w:cs="仿宋" w:hint="eastAsia"/>
                <w:sz w:val="24"/>
              </w:rPr>
              <w:t>土壤水分观测仪（宇宙射线法）</w:t>
            </w:r>
          </w:p>
        </w:tc>
        <w:tc>
          <w:tcPr>
            <w:tcW w:w="4144" w:type="pct"/>
          </w:tcPr>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（1）快中子传感器</w:t>
            </w:r>
          </w:p>
          <w:p>
            <w:pPr>
              <w:rPr>
                <w:rFonts w:ascii="仿宋" w:eastAsia="仿宋" w:hAnsi="仿宋" w:cs="仿宋" w:hint="eastAsia"/>
                <w:color w:val="000000"/>
              </w:rPr>
            </w:pPr>
            <w:r>
              <w:rPr>
                <w:rFonts w:ascii="仿宋" w:eastAsia="仿宋" w:hAnsi="仿宋" w:cs="仿宋" w:hint="eastAsia"/>
                <w:color w:val="000000"/>
                <w:sz w:val="24"/>
              </w:rPr>
              <w:t>快中子传感器为智能传感器，外壳采用铝合金材质，外观呈圆柱形，内部采用气体正比计数管作为敏感元件，电子学部分可直接安装在正比计数管上，并通过环形聚乙烯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（2）热中子传感器</w:t>
            </w:r>
          </w:p>
          <w:p>
            <w:pPr>
              <w:rPr>
                <w:rFonts w:ascii="仿宋" w:eastAsia="仿宋" w:hAnsi="仿宋" w:cs="仿宋" w:hint="eastAsia"/>
                <w:color w:val="000000"/>
              </w:rPr>
            </w:pPr>
            <w:r>
              <w:rPr>
                <w:rFonts w:ascii="仿宋" w:eastAsia="仿宋" w:hAnsi="仿宋" w:cs="仿宋" w:hint="eastAsia"/>
                <w:color w:val="000000"/>
                <w:sz w:val="24"/>
              </w:rPr>
              <w:t>热中子传感器为智能传感器，外壳采用铝合金材质，外观呈圆柱形，内部采用气体正比计数管作为敏感元件，电子学部分可直接安装在正比计数管上，并通过金属支架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（3）气压传感器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气压传感器由压敏元件、测量电路、监测电路、处理器、供电电路、电源和RS232接口组成，为智能传感器。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a）测量范围：500～1100hPa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b）分辨力：0.1hPa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0.3hPa</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电流：平均值小于30mA（+12V）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（4）温度传感器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温度传感器由铂电阻感应元件、测量电路、监测电路、处理器、供电电路、电源和RS232接口组成，为智能传感器。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b）分辨力：0.1</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highlight w:val="yellow"/>
                <w:lang w:eastAsia="zh-CN"/>
              </w:rPr>
              <w:t>c）#准确度：</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lang w:eastAsia="zh-CN"/>
              </w:rPr>
              <w:t>0.2</w:t>
            </w:r>
            <w:r>
              <w:rPr>
                <w:rFonts w:ascii="仿宋" w:eastAsia="仿宋" w:hAnsi="仿宋" w:cs="仿宋" w:hint="eastAsia"/>
                <w:color w:val="000000"/>
                <w:sz w:val="24"/>
                <w:szCs w:val="24"/>
                <w:highlight w:val="yellow"/>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20S（通风速度2.5m/s）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（5）湿度传感器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湿度传感器由湿敏电容感应元件、温度补偿电路、测量电路、监测电路、处理器、供电电路、电源和RS232接口组成，为智能传感器。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a）测量范围：5～100%RH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b）分辨力：1%RH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3%RH（</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80%），</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5%RH（＞80%）</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40s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（6）雨量传感器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雨量传感器由翻斗式雨量传感器、测量电路、监测电路、处理器、供电电路、电源接口和RS232接口组成，为智能传感器。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a）承水口面积：314.16cm</w:t>
            </w:r>
            <w:r>
              <w:rPr>
                <w:rFonts w:ascii="仿宋" w:eastAsia="仿宋" w:hAnsi="仿宋" w:cs="仿宋" w:hint="eastAsia"/>
                <w:color w:val="000000"/>
                <w:sz w:val="24"/>
                <w:szCs w:val="24"/>
                <w:vertAlign w:val="superscript"/>
                <w:lang w:eastAsia="zh-CN"/>
              </w:rPr>
              <w:t>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b）雨强测量范围：0～4mm/min</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c）分辨力：0.1mm</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d）</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准确度：0.4mm（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10mm），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4%（＞10mm）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e）使用温度范围：0～50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（7）数据采集器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具有RS-232、网口接口</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（8）供电系统</w:t>
            </w:r>
          </w:p>
          <w:p>
            <w:pPr>
              <w:rPr>
                <w:rFonts w:ascii="仿宋" w:eastAsia="仿宋" w:hAnsi="仿宋" w:cs="仿宋"/>
                <w:color w:val="000000"/>
              </w:rPr>
            </w:pPr>
            <w:r>
              <w:rPr>
                <w:rFonts w:ascii="仿宋" w:eastAsia="仿宋" w:hAnsi="仿宋" w:cs="仿宋" w:hint="eastAsia"/>
                <w:color w:val="000000"/>
                <w:sz w:val="24"/>
              </w:rPr>
              <w:t>供电电源为12V蓄电池。</w:t>
            </w:r>
          </w:p>
          <w:p>
            <w:pPr>
              <w:rPr>
                <w:rFonts w:ascii="仿宋" w:eastAsia="仿宋" w:hAnsi="仿宋" w:cs="仿宋" w:hint="eastAsia"/>
                <w:color w:val="000000"/>
                <w:highlight w:val="yellow"/>
              </w:rPr>
            </w:pPr>
            <w:r>
              <w:rPr>
                <w:rFonts w:ascii="仿宋" w:eastAsia="仿宋" w:hAnsi="仿宋" w:cs="仿宋" w:hint="eastAsia"/>
                <w:color w:val="000000"/>
                <w:sz w:val="24"/>
                <w:highlight w:val="yellow"/>
              </w:rPr>
              <w:t>#其容量必须保证设备能在脱离辅助电源的条件下连续工作15天。</w:t>
            </w:r>
          </w:p>
          <w:p>
            <w:pPr>
              <w:rPr>
                <w:rFonts w:ascii="仿宋" w:eastAsia="仿宋" w:hAnsi="仿宋" w:cs="仿宋" w:hint="eastAsia"/>
              </w:rPr>
            </w:pPr>
            <w:r>
              <w:rPr>
                <w:rFonts w:ascii="仿宋" w:eastAsia="仿宋" w:hAnsi="仿宋" w:cs="仿宋" w:hint="eastAsia"/>
                <w:color w:val="000000"/>
                <w:sz w:val="24"/>
                <w:highlight w:val="yellow"/>
              </w:rPr>
              <w:t>#整机功耗不大于6W。</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（9）通信系统</w:t>
            </w:r>
          </w:p>
          <w:p>
            <w:pPr>
              <w:rPr>
                <w:rFonts w:ascii="仿宋" w:eastAsia="仿宋" w:hAnsi="仿宋" w:cs="仿宋" w:hint="eastAsia"/>
                <w:color w:val="000000"/>
              </w:rPr>
            </w:pPr>
            <w:r>
              <w:rPr>
                <w:rFonts w:ascii="仿宋" w:eastAsia="仿宋" w:hAnsi="仿宋" w:cs="仿宋" w:hint="eastAsia"/>
                <w:color w:val="000000"/>
                <w:sz w:val="24"/>
              </w:rPr>
              <w:t>支持有线和无线通信接口。</w:t>
            </w:r>
          </w:p>
          <w:p>
            <w:pPr>
              <w:rPr>
                <w:rFonts w:ascii="仿宋" w:eastAsia="仿宋" w:hAnsi="仿宋" w:cs="仿宋" w:hint="eastAsia"/>
                <w:color w:val="000000"/>
              </w:rPr>
            </w:pPr>
            <w:r>
              <w:rPr>
                <w:rFonts w:ascii="仿宋" w:eastAsia="仿宋" w:hAnsi="仿宋" w:cs="仿宋" w:hint="eastAsia"/>
                <w:color w:val="000000"/>
                <w:sz w:val="24"/>
              </w:rPr>
              <w:t>无线通信：无线通信模块支持4G、5G等无线传输协议。</w:t>
            </w:r>
          </w:p>
          <w:p>
            <w:pPr>
              <w:rPr>
                <w:rFonts w:ascii="仿宋" w:eastAsia="仿宋" w:hAnsi="仿宋" w:cs="仿宋" w:hint="eastAsia"/>
                <w:color w:val="000000"/>
              </w:rPr>
            </w:pPr>
            <w:r>
              <w:rPr>
                <w:rFonts w:ascii="仿宋" w:eastAsia="仿宋" w:hAnsi="仿宋" w:cs="仿宋" w:hint="eastAsia"/>
                <w:color w:val="000000"/>
                <w:sz w:val="24"/>
              </w:rPr>
              <w:t>有线通信：数据采集器支持RJ45网线和RS232接入。</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（10）配套设备</w:t>
            </w:r>
          </w:p>
          <w:p>
            <w:pPr>
              <w:widowControl/>
              <w:rPr>
                <w:rFonts w:ascii="仿宋" w:eastAsia="仿宋" w:hAnsi="仿宋" w:cs="仿宋"/>
                <w:color w:val="000000"/>
              </w:rPr>
            </w:pPr>
            <w:r>
              <w:rPr>
                <w:rFonts w:ascii="仿宋" w:eastAsia="仿宋" w:hAnsi="仿宋" w:cs="仿宋" w:hint="eastAsia"/>
                <w:color w:val="000000"/>
                <w:sz w:val="24"/>
              </w:rPr>
              <w:t>包括立柱、机箱、避雷针等。</w:t>
            </w:r>
          </w:p>
          <w:p>
            <w:pPr>
              <w:widowControl/>
              <w:rPr>
                <w:rFonts w:ascii="仿宋" w:eastAsia="仿宋" w:hAnsi="仿宋" w:cs="仿宋"/>
                <w:color w:val="000000"/>
              </w:rPr>
            </w:pPr>
            <w:r>
              <w:rPr>
                <w:rFonts w:ascii="仿宋" w:eastAsia="仿宋" w:hAnsi="仿宋" w:cs="仿宋" w:hint="eastAsia"/>
                <w:color w:val="000000"/>
                <w:sz w:val="24"/>
              </w:rPr>
              <w:t>（11）气候条件</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#低温贮存温度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color w:val="000000"/>
                <w:highlight w:val="yellow"/>
              </w:rPr>
            </w:pPr>
            <w:r>
              <w:rPr>
                <w:rFonts w:ascii="仿宋" w:eastAsia="仿宋" w:hAnsi="仿宋" w:cs="仿宋" w:hint="eastAsia"/>
                <w:color w:val="000000"/>
                <w:sz w:val="24"/>
                <w:highlight w:val="yellow"/>
              </w:rPr>
              <w:t>#低温工作温度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#高温贮存温度</w:t>
            </w:r>
            <w:r>
              <w:rPr>
                <w:rFonts w:ascii="仿宋" w:eastAsia="仿宋" w:hAnsi="仿宋" w:cs="仿宋"/>
                <w:color w:val="000000"/>
                <w:sz w:val="24"/>
                <w:highlight w:val="yellow"/>
              </w:rPr>
              <w:t>：+6</w:t>
            </w:r>
            <w:r>
              <w:rPr>
                <w:rFonts w:ascii="仿宋" w:eastAsia="仿宋" w:hAnsi="仿宋" w:cs="仿宋" w:hint="eastAsia"/>
                <w:color w:val="000000"/>
                <w:sz w:val="24"/>
                <w:highlight w:val="yellow"/>
              </w:rPr>
              <w:t>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#高温工作温度</w:t>
            </w:r>
            <w:r>
              <w:rPr>
                <w:rFonts w:ascii="仿宋" w:eastAsia="仿宋" w:hAnsi="仿宋" w:cs="仿宋"/>
                <w:color w:val="000000"/>
                <w:sz w:val="24"/>
                <w:highlight w:val="yellow"/>
              </w:rPr>
              <w:t>：+</w:t>
            </w:r>
            <w:r>
              <w:rPr>
                <w:rFonts w:ascii="仿宋" w:eastAsia="仿宋" w:hAnsi="仿宋" w:cs="仿宋" w:hint="eastAsia"/>
                <w:color w:val="000000"/>
                <w:sz w:val="24"/>
                <w:highlight w:val="yellow"/>
              </w:rPr>
              <w:t>50</w:t>
            </w:r>
            <w:r>
              <w:rPr>
                <w:rFonts w:ascii="仿宋" w:eastAsia="仿宋" w:hAnsi="仿宋" w:cs="仿宋" w:hint="eastAsia"/>
                <w:color w:val="000000"/>
                <w:sz w:val="24"/>
                <w:highlight w:val="yellow"/>
              </w:rPr>
              <w:t>℃</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
        <w:gridCol w:w="1108"/>
        <w:gridCol w:w="699"/>
        <w:gridCol w:w="972"/>
        <w:gridCol w:w="1108"/>
        <w:gridCol w:w="3836"/>
        <w:gridCol w:w="41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土壤水分观测仪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350,000.00</w:t>
            </w:r>
          </w:p>
        </w:tc>
        <w:tc>
          <w:tcPr/>
          <w:p>
            <w:pPr>
              <w:autoSpaceDE w:val="0"/>
              <w:jc w:val="center"/>
              <w:rPr>
                <w:rFonts w:asciiTheme="minorEastAsia" w:hAnsiTheme="minorEastAsia" w:cstheme="minorEastAsia" w:hint="eastAsia"/>
                <w:kern w:val="0"/>
                <w:szCs w:val="21"/>
              </w:rPr>
            </w:pPr>
            <w:r>
              <w:t>合同签订后90天内交货，30天内完成安装调试并具备验收条件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4"/>
        <w:gridCol w:w="2621"/>
        <w:gridCol w:w="1363"/>
        <w:gridCol w:w="524"/>
        <w:gridCol w:w="1195"/>
        <w:gridCol w:w="911"/>
        <w:gridCol w:w="860"/>
        <w:gridCol w:w="5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中国气象科学研究院(001024017)</w:t>
            </w:r>
          </w:p>
        </w:tc>
        <w:tc>
          <w:tcPr/>
          <w:p>
            <w:r>
              <w:t>土壤水分观测仪</w:t>
            </w:r>
          </w:p>
        </w:tc>
        <w:tc>
          <w:tcPr/>
          <w:p>
            <w:r>
              <w:t>1</w:t>
            </w:r>
          </w:p>
        </w:tc>
        <w:tc>
          <w:tcPr/>
          <w:p>
            <w:r>
              <w:t>350000.00</w:t>
            </w:r>
          </w:p>
        </w:tc>
        <w:tc>
          <w:tcPr/>
          <w:p>
            <w:r>
              <w:t xml:space="preserve">350000.00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w:t>
      </w:r>
      <w:r>
        <w:rPr>
          <w:rFonts w:ascii="仿宋" w:eastAsia="仿宋" w:hAnsi="仿宋" w:cs="仿宋" w:hint="eastAsia"/>
          <w:b/>
          <w:sz w:val="36"/>
          <w:szCs w:val="36"/>
        </w:rPr>
        <w:t>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新建1套土壤水分观测仪（宇宙射线法），提升固城基地的现代农业气象观测分析能力，增强作物光合生理和光谱特征、作物品质及土壤水分的动态监测分析，为粮食安全气象保障服务提供观测数据支撑</w:t>
      </w:r>
      <w:r>
        <w:rPr>
          <w:rFonts w:ascii="仿宋" w:eastAsia="仿宋" w:hAnsi="仿宋" w:cs="仿宋" w:hint="eastAsia"/>
          <w:sz w:val="28"/>
          <w:szCs w:val="20"/>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6</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中标供应商将所有设备运送至河北省保定市定兴县固城国家综合气象观测试验基地（运输相关费用由供应商负责），并负责安装调试。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90</w:t>
      </w:r>
      <w:r>
        <w:rPr>
          <w:rFonts w:ascii="仿宋" w:eastAsia="仿宋" w:hAnsi="仿宋" w:cs="仿宋" w:hint="eastAsia"/>
          <w:sz w:val="28"/>
          <w:szCs w:val="20"/>
        </w:rPr>
        <w:t>天内</w:t>
      </w:r>
      <w:r>
        <w:rPr>
          <w:rFonts w:ascii="仿宋" w:eastAsia="仿宋" w:hAnsi="仿宋" w:cs="仿宋" w:hint="eastAsia"/>
          <w:sz w:val="28"/>
          <w:szCs w:val="20"/>
          <w:lang w:val="en-US" w:eastAsia="zh-CN"/>
        </w:rPr>
        <w:t>交货，30天内</w:t>
      </w:r>
      <w:r>
        <w:rPr>
          <w:rFonts w:ascii="仿宋" w:eastAsia="仿宋" w:hAnsi="仿宋" w:cs="仿宋" w:hint="eastAsia"/>
          <w:sz w:val="28"/>
          <w:szCs w:val="20"/>
        </w:rPr>
        <w:t>完成安装调试并具备验收条件。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国家局下发的《土壤水分观测仪（宇宙射线法）需求书》，设备观测数据通过外网可以接入天擎平台，完全符合甲方相关要求和规范，保证其系统的兼容性和功能的完整性。</w:t>
      </w:r>
      <w:r>
        <w:rPr>
          <w:rFonts w:ascii="仿宋" w:eastAsia="仿宋" w:hAnsi="仿宋" w:cs="仿宋" w:hint="eastAsia"/>
          <w:sz w:val="28"/>
          <w:szCs w:val="20"/>
        </w:rPr>
        <w:br/>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rsidR="00442D8D">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42D8D">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42D8D">
            <w:pPr>
              <w:rPr>
                <w:sz w:val="18"/>
                <w:szCs w:val="18"/>
              </w:rPr>
            </w:pPr>
            <w:r>
              <w:rPr>
                <w:rFonts w:hint="eastAsia"/>
                <w:sz w:val="18"/>
                <w:szCs w:val="18"/>
              </w:rPr>
              <w:t>序号</w:t>
            </w:r>
          </w:p>
        </w:tc>
        <w:tc>
          <w:tcPr>
            <w:tcW w:w="898" w:type="dxa"/>
            <w:vAlign w:val="center"/>
          </w:tcPr>
          <w:p w:rsidR="00442D8D">
            <w:pPr>
              <w:jc w:val="center"/>
              <w:rPr>
                <w:sz w:val="18"/>
                <w:szCs w:val="18"/>
              </w:rPr>
            </w:pPr>
            <w:r>
              <w:rPr>
                <w:rFonts w:hint="eastAsia"/>
                <w:sz w:val="18"/>
                <w:szCs w:val="18"/>
              </w:rPr>
              <w:t>对应</w:t>
            </w:r>
          </w:p>
          <w:p w:rsidR="00442D8D">
            <w:pPr>
              <w:jc w:val="center"/>
              <w:rPr>
                <w:sz w:val="18"/>
                <w:szCs w:val="18"/>
              </w:rPr>
            </w:pPr>
            <w:r>
              <w:rPr>
                <w:rFonts w:hint="eastAsia"/>
                <w:sz w:val="18"/>
                <w:szCs w:val="18"/>
              </w:rPr>
              <w:t>条款号</w:t>
            </w:r>
          </w:p>
        </w:tc>
        <w:tc>
          <w:tcPr>
            <w:tcW w:w="7347" w:type="dxa"/>
            <w:vAlign w:val="center"/>
          </w:tcPr>
          <w:p w:rsidR="00442D8D">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442D8D">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442D8D">
            <w:pPr>
              <w:numPr>
                <w:ilvl w:val="0"/>
                <w:numId w:val="13"/>
              </w:numPr>
              <w:rPr>
                <w:rFonts w:ascii="宋体" w:hAnsi="宋体"/>
                <w:sz w:val="18"/>
                <w:szCs w:val="18"/>
              </w:rPr>
            </w:pPr>
          </w:p>
        </w:tc>
        <w:tc>
          <w:tcPr>
            <w:tcW w:w="898" w:type="dxa"/>
            <w:vAlign w:val="center"/>
          </w:tcPr>
          <w:p w:rsidR="00442D8D">
            <w:pPr>
              <w:jc w:val="center"/>
              <w:rPr>
                <w:rFonts w:ascii="宋体" w:hAnsi="宋体"/>
                <w:sz w:val="18"/>
                <w:szCs w:val="18"/>
              </w:rPr>
            </w:pPr>
            <w:r>
              <w:rPr>
                <w:rFonts w:ascii="宋体" w:hAnsi="宋体" w:hint="eastAsia"/>
                <w:sz w:val="18"/>
                <w:szCs w:val="18"/>
              </w:rPr>
              <w:t>5</w:t>
            </w:r>
            <w:r w:rsidR="000A4A9E">
              <w:rPr>
                <w:rFonts w:ascii="宋体" w:hAnsi="宋体"/>
                <w:sz w:val="18"/>
                <w:szCs w:val="18"/>
              </w:rPr>
              <w:t>.</w:t>
            </w:r>
            <w:r w:rsidR="000A4A9E">
              <w:rPr>
                <w:rFonts w:ascii="宋体" w:hAnsi="宋体" w:hint="eastAsia"/>
                <w:sz w:val="18"/>
                <w:szCs w:val="18"/>
              </w:rPr>
              <w:t>7</w:t>
            </w:r>
          </w:p>
        </w:tc>
        <w:tc>
          <w:tcPr>
            <w:tcW w:w="7347" w:type="dxa"/>
          </w:tcPr>
          <w:p w:rsidR="00442D8D" w:rsidP="00F90960">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sidR="00F90960">
              <w:rPr>
                <w:rFonts w:ascii="宋体" w:hAnsi="宋体" w:cs="微软雅黑" w:hint="eastAsia"/>
                <w:b/>
                <w:color w:val="0000FF"/>
                <w:kern w:val="0"/>
                <w:sz w:val="18"/>
                <w:szCs w:val="18"/>
              </w:rPr>
              <w:t>土壤水分观测仪</w:t>
            </w:r>
          </w:p>
        </w:tc>
      </w:tr>
      <w:tr>
        <w:tblPrEx>
          <w:tblW w:w="0" w:type="auto"/>
          <w:tblLayout w:type="fixed"/>
          <w:tblLook w:val="04A0"/>
        </w:tblPrEx>
        <w:trPr>
          <w:cantSplit/>
        </w:trPr>
        <w:tc>
          <w:tcPr>
            <w:tcW w:w="544" w:type="dxa"/>
            <w:vAlign w:val="center"/>
          </w:tcPr>
          <w:p w:rsidR="00442D8D">
            <w:pPr>
              <w:numPr>
                <w:ilvl w:val="0"/>
                <w:numId w:val="13"/>
              </w:numPr>
              <w:rPr>
                <w:rFonts w:ascii="宋体" w:hAnsi="宋体"/>
                <w:sz w:val="18"/>
                <w:szCs w:val="18"/>
              </w:rPr>
            </w:pPr>
          </w:p>
        </w:tc>
        <w:tc>
          <w:tcPr>
            <w:tcW w:w="898" w:type="dxa"/>
            <w:vAlign w:val="center"/>
          </w:tcPr>
          <w:p w:rsidR="00442D8D">
            <w:pPr>
              <w:jc w:val="center"/>
              <w:rPr>
                <w:rFonts w:ascii="宋体" w:hAnsi="宋体"/>
                <w:sz w:val="18"/>
                <w:szCs w:val="18"/>
              </w:rPr>
            </w:pPr>
            <w:r>
              <w:rPr>
                <w:rFonts w:ascii="宋体" w:hAnsi="宋体"/>
                <w:sz w:val="18"/>
                <w:szCs w:val="18"/>
              </w:rPr>
              <w:t>……</w:t>
            </w:r>
          </w:p>
        </w:tc>
        <w:tc>
          <w:tcPr>
            <w:tcW w:w="7347" w:type="dxa"/>
            <w:vAlign w:val="center"/>
          </w:tcPr>
          <w:p w:rsidR="00442D8D">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442D8D">
            <w:pPr>
              <w:numPr>
                <w:ilvl w:val="0"/>
                <w:numId w:val="13"/>
              </w:numPr>
              <w:rPr>
                <w:rFonts w:ascii="宋体" w:hAnsi="宋体"/>
                <w:sz w:val="18"/>
                <w:szCs w:val="18"/>
              </w:rPr>
            </w:pPr>
          </w:p>
        </w:tc>
        <w:tc>
          <w:tcPr>
            <w:tcW w:w="898" w:type="dxa"/>
            <w:vAlign w:val="center"/>
          </w:tcPr>
          <w:p w:rsidR="00442D8D">
            <w:pPr>
              <w:jc w:val="center"/>
              <w:rPr>
                <w:rFonts w:ascii="宋体" w:hAnsi="宋体"/>
                <w:sz w:val="18"/>
                <w:szCs w:val="18"/>
              </w:rPr>
            </w:pPr>
            <w:r>
              <w:rPr>
                <w:rFonts w:ascii="宋体" w:hAnsi="宋体"/>
                <w:sz w:val="18"/>
                <w:szCs w:val="18"/>
              </w:rPr>
              <w:t>……</w:t>
            </w:r>
          </w:p>
        </w:tc>
        <w:tc>
          <w:tcPr>
            <w:tcW w:w="7347" w:type="dxa"/>
            <w:vAlign w:val="center"/>
          </w:tcPr>
          <w:p w:rsidR="00442D8D">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442D8D">
            <w:pPr>
              <w:numPr>
                <w:ilvl w:val="0"/>
                <w:numId w:val="13"/>
              </w:numPr>
              <w:rPr>
                <w:rFonts w:ascii="宋体" w:hAnsi="宋体"/>
                <w:sz w:val="18"/>
                <w:szCs w:val="18"/>
              </w:rPr>
            </w:pPr>
          </w:p>
        </w:tc>
        <w:tc>
          <w:tcPr>
            <w:tcW w:w="898" w:type="dxa"/>
            <w:vAlign w:val="center"/>
          </w:tcPr>
          <w:p w:rsidR="00442D8D">
            <w:pPr>
              <w:jc w:val="center"/>
              <w:rPr>
                <w:rFonts w:ascii="宋体" w:hAnsi="宋体"/>
                <w:sz w:val="18"/>
                <w:szCs w:val="18"/>
              </w:rPr>
            </w:pPr>
            <w:r>
              <w:rPr>
                <w:rFonts w:ascii="宋体" w:hAnsi="宋体"/>
                <w:sz w:val="18"/>
                <w:szCs w:val="18"/>
              </w:rPr>
              <w:t>……</w:t>
            </w:r>
          </w:p>
        </w:tc>
        <w:tc>
          <w:tcPr>
            <w:tcW w:w="7347" w:type="dxa"/>
            <w:vAlign w:val="center"/>
          </w:tcPr>
          <w:p w:rsidR="00442D8D">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442D8D">
            <w:pPr>
              <w:numPr>
                <w:ilvl w:val="0"/>
                <w:numId w:val="13"/>
              </w:numPr>
              <w:rPr>
                <w:rFonts w:ascii="宋体" w:hAnsi="宋体"/>
                <w:sz w:val="18"/>
                <w:szCs w:val="18"/>
              </w:rPr>
            </w:pPr>
          </w:p>
        </w:tc>
        <w:tc>
          <w:tcPr>
            <w:tcW w:w="898" w:type="dxa"/>
            <w:vAlign w:val="center"/>
          </w:tcPr>
          <w:p w:rsidR="00442D8D">
            <w:pPr>
              <w:jc w:val="center"/>
              <w:rPr>
                <w:rFonts w:ascii="宋体" w:hAnsi="宋体"/>
                <w:sz w:val="18"/>
                <w:szCs w:val="18"/>
              </w:rPr>
            </w:pPr>
            <w:r>
              <w:rPr>
                <w:rFonts w:ascii="宋体" w:hAnsi="宋体"/>
                <w:sz w:val="18"/>
                <w:szCs w:val="18"/>
              </w:rPr>
              <w:t>……</w:t>
            </w:r>
          </w:p>
        </w:tc>
        <w:tc>
          <w:tcPr>
            <w:tcW w:w="7347" w:type="dxa"/>
            <w:vAlign w:val="center"/>
          </w:tcPr>
          <w:p w:rsidR="00442D8D">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442D8D">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442D8D">
            <w:pPr>
              <w:numPr>
                <w:ilvl w:val="0"/>
                <w:numId w:val="13"/>
              </w:numPr>
              <w:rPr>
                <w:rFonts w:ascii="宋体" w:hAnsi="宋体"/>
                <w:sz w:val="18"/>
                <w:szCs w:val="18"/>
              </w:rPr>
            </w:pPr>
          </w:p>
        </w:tc>
        <w:tc>
          <w:tcPr>
            <w:tcW w:w="898" w:type="dxa"/>
            <w:vAlign w:val="center"/>
          </w:tcPr>
          <w:p w:rsidR="00442D8D">
            <w:pPr>
              <w:jc w:val="center"/>
              <w:rPr>
                <w:rFonts w:ascii="宋体" w:hAnsi="宋体"/>
                <w:sz w:val="18"/>
                <w:szCs w:val="18"/>
              </w:rPr>
            </w:pPr>
            <w:r>
              <w:rPr>
                <w:rFonts w:ascii="宋体" w:hAnsi="宋体"/>
                <w:sz w:val="18"/>
                <w:szCs w:val="18"/>
              </w:rPr>
              <w:t>……</w:t>
            </w:r>
          </w:p>
        </w:tc>
        <w:tc>
          <w:tcPr>
            <w:tcW w:w="7347" w:type="dxa"/>
            <w:vAlign w:val="center"/>
          </w:tcPr>
          <w:p w:rsidR="00442D8D">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设备供应商对所有设备提供自验收合格后8年的质保服务*</w:t>
            </w:r>
          </w:p>
        </w:tc>
      </w:tr>
    </w:tbl>
    <w:p w:rsidR="00442D8D">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442D8D">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1</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合同生效后付款，双方签署合同后7个工作日内，乙方向甲方提供合同总金额10%即人民    元（大写）     （小写）的履约保函或保证金。乙方向甲方开具合同总金额的85%，即人民   元（大写）     （小写）的增值税普通发票，同时甲方向乙方支付相应金额款项。</w:t>
      </w:r>
    </w:p>
    <w:p>
      <w:pPr>
        <w:numPr>
          <w:ilvl w:val="0"/>
          <w:numId w:val="6"/>
        </w:numPr>
        <w:snapToGrid w:val="0"/>
        <w:spacing w:line="400" w:lineRule="exact"/>
        <w:ind w:left="0" w:firstLine="420" w:leftChars="0" w:firstLineChars="200"/>
        <w:rPr>
          <w:rFonts w:ascii="宋体" w:hAnsi="宋体" w:hint="eastAsia"/>
          <w:szCs w:val="21"/>
          <w:highlight w:val="none"/>
          <w:u w:val="single"/>
        </w:rPr>
      </w:pPr>
      <w:r>
        <w:rPr>
          <w:rFonts w:ascii="宋体" w:hAnsi="宋体" w:hint="eastAsia"/>
          <w:szCs w:val="21"/>
          <w:highlight w:val="none"/>
          <w:u w:val="single"/>
          <w:lang w:val="en-US" w:eastAsia="zh-CN"/>
        </w:rPr>
        <w:t>到货后付款：设备到货、检验签收后20个工作日内，乙方向甲方开具合同总金额的15%即人民    元（大写）    元（小写）的增值税普通发票，同时甲方向乙方支付相应金额款项。</w:t>
      </w:r>
      <w:r>
        <w:rPr>
          <w:rFonts w:ascii="宋体" w:hAnsi="宋体" w:hint="eastAsia"/>
          <w:szCs w:val="21"/>
          <w:highlight w:val="none"/>
          <w:u w:val="single"/>
        </w:rPr>
        <w:t xml:space="preserve"> </w:t>
      </w:r>
    </w:p>
    <w:p>
      <w:pPr>
        <w:numPr>
          <w:ilvl w:val="0"/>
          <w:numId w:val="6"/>
        </w:numPr>
        <w:snapToGrid w:val="0"/>
        <w:spacing w:line="400" w:lineRule="exact"/>
        <w:ind w:left="0" w:firstLine="420" w:leftChars="0" w:firstLineChars="200"/>
        <w:rPr>
          <w:rFonts w:ascii="宋体" w:hAnsi="宋体" w:hint="eastAsia"/>
          <w:szCs w:val="21"/>
          <w:highlight w:val="none"/>
          <w:u w:val="single"/>
        </w:rPr>
      </w:pPr>
      <w:r>
        <w:rPr>
          <w:rFonts w:ascii="宋体" w:hAnsi="宋体" w:hint="eastAsia"/>
          <w:szCs w:val="21"/>
          <w:highlight w:val="none"/>
          <w:u w:val="single"/>
          <w:lang w:val="en-US" w:eastAsia="zh-CN"/>
        </w:rPr>
        <w:t>履约验收一年后，甲方将履约保函或保证金无息退还乙方。</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A9E"/>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2D8D"/>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0960"/>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段"/>
    <w:qFormat/>
    <w:pPr>
      <w:autoSpaceDE w:val="0"/>
      <w:autoSpaceDN w:val="0"/>
      <w:spacing w:after="200" w:line="276" w:lineRule="auto"/>
      <w:ind w:firstLine="200" w:firstLineChars="200"/>
      <w:jc w:val="both"/>
    </w:pPr>
    <w:rPr>
      <w:rFonts w:ascii="宋体" w:hAnsi="Calibri"/>
      <w:sz w:val="21"/>
      <w:szCs w:val="22"/>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